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4DF3D"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 xml:space="preserve">Anexă </w:t>
      </w:r>
    </w:p>
    <w:p w14:paraId="71F4FA41"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 xml:space="preserve">la Hotărârea Curții de Conturi </w:t>
      </w:r>
    </w:p>
    <w:p w14:paraId="5E317A4F" w14:textId="77777777" w:rsidR="00C947A6" w:rsidRPr="00650D66" w:rsidRDefault="00FC5DC1" w:rsidP="00C947A6">
      <w:pPr>
        <w:tabs>
          <w:tab w:val="left" w:pos="720"/>
        </w:tabs>
        <w:spacing w:after="0" w:line="240" w:lineRule="auto"/>
        <w:jc w:val="right"/>
        <w:rPr>
          <w:rFonts w:ascii="Times New Roman" w:eastAsia="Times New Roman" w:hAnsi="Times New Roman" w:cs="Times New Roman"/>
          <w:bCs/>
          <w:color w:val="1F4E79" w:themeColor="accent1" w:themeShade="80"/>
          <w:sz w:val="24"/>
          <w:szCs w:val="24"/>
          <w:lang w:val="ro-RO"/>
        </w:rPr>
      </w:pPr>
      <w:r>
        <w:rPr>
          <w:rFonts w:ascii="Times New Roman" w:eastAsia="Times New Roman" w:hAnsi="Times New Roman" w:cs="Times New Roman"/>
          <w:bCs/>
          <w:sz w:val="24"/>
          <w:szCs w:val="24"/>
          <w:lang w:val="ro-RO"/>
        </w:rPr>
        <w:t xml:space="preserve"> nr.6 </w:t>
      </w:r>
      <w:r w:rsidR="00C947A6" w:rsidRPr="00650D66">
        <w:rPr>
          <w:rFonts w:ascii="Times New Roman" w:eastAsia="Times New Roman" w:hAnsi="Times New Roman" w:cs="Times New Roman"/>
          <w:bCs/>
          <w:sz w:val="24"/>
          <w:szCs w:val="24"/>
          <w:lang w:val="ro-RO"/>
        </w:rPr>
        <w:t xml:space="preserve">din </w:t>
      </w:r>
      <w:r w:rsidR="003C51BD" w:rsidRPr="00650D66">
        <w:rPr>
          <w:rFonts w:ascii="Times New Roman" w:eastAsia="Times New Roman" w:hAnsi="Times New Roman" w:cs="Times New Roman"/>
          <w:bCs/>
          <w:sz w:val="24"/>
          <w:szCs w:val="24"/>
          <w:lang w:val="ro-RO"/>
        </w:rPr>
        <w:t>09 februarie</w:t>
      </w:r>
      <w:r w:rsidR="004648A1" w:rsidRPr="00650D66">
        <w:rPr>
          <w:rFonts w:ascii="Times New Roman" w:eastAsia="Times New Roman" w:hAnsi="Times New Roman" w:cs="Times New Roman"/>
          <w:bCs/>
          <w:sz w:val="24"/>
          <w:szCs w:val="24"/>
          <w:lang w:val="ro-RO"/>
        </w:rPr>
        <w:t xml:space="preserve"> 2024</w:t>
      </w:r>
    </w:p>
    <w:p w14:paraId="2B2E1BB7" w14:textId="77777777" w:rsidR="00C947A6" w:rsidRPr="00650D66" w:rsidRDefault="00C947A6" w:rsidP="00C947A6">
      <w:pPr>
        <w:spacing w:after="0" w:line="240" w:lineRule="auto"/>
        <w:rPr>
          <w:rFonts w:ascii="Times New Roman" w:hAnsi="Times New Roman" w:cs="Times New Roman"/>
          <w:lang w:val="ro-RO"/>
        </w:rPr>
      </w:pPr>
    </w:p>
    <w:p w14:paraId="22EA0E5A" w14:textId="77777777" w:rsidR="00C947A6" w:rsidRPr="00650D66" w:rsidRDefault="00C947A6" w:rsidP="00C947A6">
      <w:pPr>
        <w:spacing w:after="0" w:line="240" w:lineRule="auto"/>
        <w:rPr>
          <w:rFonts w:ascii="Times New Roman" w:hAnsi="Times New Roman" w:cs="Times New Roman"/>
          <w:lang w:val="ro-RO"/>
        </w:rPr>
      </w:pPr>
    </w:p>
    <w:p w14:paraId="0835687E" w14:textId="77777777" w:rsidR="00C947A6" w:rsidRPr="00650D66" w:rsidRDefault="00C947A6" w:rsidP="00C947A6">
      <w:pPr>
        <w:spacing w:after="0" w:line="240" w:lineRule="auto"/>
        <w:rPr>
          <w:rFonts w:ascii="Times New Roman" w:hAnsi="Times New Roman" w:cs="Times New Roman"/>
          <w:lang w:val="ro-RO"/>
        </w:rPr>
      </w:pPr>
    </w:p>
    <w:p w14:paraId="03F65C6E" w14:textId="77777777" w:rsidR="00C947A6" w:rsidRPr="00650D66" w:rsidRDefault="00C947A6" w:rsidP="00C947A6">
      <w:pPr>
        <w:spacing w:after="0" w:line="240" w:lineRule="auto"/>
        <w:jc w:val="center"/>
        <w:rPr>
          <w:rFonts w:ascii="Times New Roman" w:hAnsi="Times New Roman" w:cs="Times New Roman"/>
          <w:b/>
          <w:sz w:val="28"/>
          <w:szCs w:val="28"/>
          <w:lang w:val="ro-RO"/>
        </w:rPr>
      </w:pPr>
    </w:p>
    <w:p w14:paraId="1D449359" w14:textId="77777777" w:rsidR="00C947A6" w:rsidRPr="00650D66" w:rsidRDefault="00C947A6" w:rsidP="00C947A6">
      <w:pPr>
        <w:spacing w:after="0" w:line="240" w:lineRule="auto"/>
        <w:jc w:val="center"/>
        <w:rPr>
          <w:rFonts w:ascii="Times New Roman" w:hAnsi="Times New Roman" w:cs="Times New Roman"/>
          <w:b/>
          <w:sz w:val="28"/>
          <w:szCs w:val="28"/>
          <w:lang w:val="ro-RO"/>
        </w:rPr>
      </w:pPr>
      <w:r w:rsidRPr="00650D66">
        <w:rPr>
          <w:rFonts w:ascii="Times New Roman" w:hAnsi="Times New Roman" w:cs="Times New Roman"/>
          <w:b/>
          <w:noProof/>
          <w:sz w:val="28"/>
          <w:szCs w:val="28"/>
          <w:lang w:val="en-US"/>
        </w:rPr>
        <w:drawing>
          <wp:inline distT="0" distB="0" distL="0" distR="0" wp14:anchorId="183EEA35" wp14:editId="40ABA947">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6AD57753" w14:textId="77777777" w:rsidR="00C947A6" w:rsidRPr="00650D66" w:rsidRDefault="00C947A6" w:rsidP="00C947A6">
      <w:pPr>
        <w:spacing w:after="0" w:line="240" w:lineRule="auto"/>
        <w:jc w:val="center"/>
        <w:rPr>
          <w:rFonts w:ascii="Times New Roman" w:hAnsi="Times New Roman" w:cs="Times New Roman"/>
          <w:b/>
          <w:sz w:val="28"/>
          <w:szCs w:val="28"/>
          <w:lang w:val="ro-RO"/>
        </w:rPr>
      </w:pPr>
    </w:p>
    <w:p w14:paraId="1A4F9B9F" w14:textId="77777777" w:rsidR="00C947A6" w:rsidRPr="00650D66" w:rsidRDefault="00C947A6" w:rsidP="00C947A6">
      <w:pPr>
        <w:spacing w:after="0" w:line="240" w:lineRule="auto"/>
        <w:jc w:val="center"/>
        <w:rPr>
          <w:rFonts w:ascii="Times New Roman" w:hAnsi="Times New Roman" w:cs="Times New Roman"/>
          <w:b/>
          <w:sz w:val="28"/>
          <w:szCs w:val="28"/>
          <w:lang w:val="ro-RO"/>
        </w:rPr>
      </w:pPr>
    </w:p>
    <w:p w14:paraId="7B11EEF6" w14:textId="77777777" w:rsidR="00C947A6" w:rsidRPr="00650D66" w:rsidRDefault="00C947A6" w:rsidP="00C947A6">
      <w:pPr>
        <w:spacing w:after="0" w:line="240" w:lineRule="auto"/>
        <w:jc w:val="center"/>
        <w:rPr>
          <w:rFonts w:ascii="Times New Roman" w:hAnsi="Times New Roman" w:cs="Times New Roman"/>
          <w:b/>
          <w:sz w:val="28"/>
          <w:szCs w:val="28"/>
          <w:lang w:val="ro-RO"/>
        </w:rPr>
      </w:pPr>
    </w:p>
    <w:p w14:paraId="7A094927" w14:textId="77777777" w:rsidR="00C947A6" w:rsidRPr="00650D66" w:rsidRDefault="00C947A6" w:rsidP="00C947A6">
      <w:pPr>
        <w:spacing w:after="0" w:line="240" w:lineRule="auto"/>
        <w:jc w:val="center"/>
        <w:rPr>
          <w:rFonts w:ascii="Times New Roman" w:hAnsi="Times New Roman" w:cs="Times New Roman"/>
          <w:b/>
          <w:sz w:val="28"/>
          <w:szCs w:val="28"/>
          <w:lang w:val="ro-RO"/>
        </w:rPr>
      </w:pPr>
      <w:r w:rsidRPr="00650D66">
        <w:rPr>
          <w:rFonts w:ascii="Times New Roman" w:hAnsi="Times New Roman" w:cs="Times New Roman"/>
          <w:b/>
          <w:sz w:val="28"/>
          <w:szCs w:val="28"/>
          <w:lang w:val="ro-RO"/>
        </w:rPr>
        <w:t>CURTEA DE CONTURI A REPUBLICII MOLDOVA</w:t>
      </w:r>
    </w:p>
    <w:p w14:paraId="51484BB0" w14:textId="77777777" w:rsidR="00C947A6" w:rsidRPr="00650D66" w:rsidRDefault="00C947A6" w:rsidP="00C947A6">
      <w:pPr>
        <w:spacing w:after="0" w:line="240" w:lineRule="auto"/>
        <w:rPr>
          <w:rFonts w:ascii="Times New Roman" w:hAnsi="Times New Roman" w:cs="Times New Roman"/>
          <w:lang w:val="ro-RO"/>
        </w:rPr>
      </w:pPr>
    </w:p>
    <w:p w14:paraId="5D8C75C7"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708F4123"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C947A6" w:rsidRPr="00650D66" w14:paraId="1FDC3347" w14:textId="77777777" w:rsidTr="00983B48">
        <w:trPr>
          <w:trHeight w:val="435"/>
        </w:trPr>
        <w:tc>
          <w:tcPr>
            <w:tcW w:w="9350" w:type="dxa"/>
          </w:tcPr>
          <w:p w14:paraId="42C2C07E" w14:textId="3D317F98" w:rsidR="00C947A6" w:rsidRPr="00650D66" w:rsidRDefault="00C947A6" w:rsidP="00991A75">
            <w:pPr>
              <w:tabs>
                <w:tab w:val="left" w:pos="720"/>
              </w:tabs>
              <w:spacing w:after="0"/>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MD-2001, mun. Chișinău, bd. Ștefan cel Mare și Sfânt nr.69, tel.: (+373) 22 2</w:t>
            </w:r>
            <w:r w:rsidR="0090213E">
              <w:rPr>
                <w:rFonts w:ascii="Times New Roman" w:hAnsi="Times New Roman" w:cs="Times New Roman"/>
                <w:sz w:val="18"/>
                <w:szCs w:val="18"/>
                <w:lang w:val="ro-RO"/>
              </w:rPr>
              <w:t>66 002</w:t>
            </w:r>
            <w:r w:rsidRPr="00650D66">
              <w:rPr>
                <w:rFonts w:ascii="Times New Roman" w:hAnsi="Times New Roman" w:cs="Times New Roman"/>
                <w:sz w:val="18"/>
                <w:szCs w:val="18"/>
                <w:lang w:val="ro-RO"/>
              </w:rPr>
              <w:t>, fax: (+373) 22 2</w:t>
            </w:r>
            <w:r w:rsidR="0090213E">
              <w:rPr>
                <w:rFonts w:ascii="Times New Roman" w:hAnsi="Times New Roman" w:cs="Times New Roman"/>
                <w:sz w:val="18"/>
                <w:szCs w:val="18"/>
                <w:lang w:val="ro-RO"/>
              </w:rPr>
              <w:t>66</w:t>
            </w:r>
            <w:r w:rsidRPr="00650D66">
              <w:rPr>
                <w:rFonts w:ascii="Times New Roman" w:hAnsi="Times New Roman" w:cs="Times New Roman"/>
                <w:sz w:val="18"/>
                <w:szCs w:val="18"/>
                <w:lang w:val="ro-RO"/>
              </w:rPr>
              <w:t xml:space="preserve"> </w:t>
            </w:r>
            <w:r w:rsidR="0090213E">
              <w:rPr>
                <w:rFonts w:ascii="Times New Roman" w:hAnsi="Times New Roman" w:cs="Times New Roman"/>
                <w:sz w:val="18"/>
                <w:szCs w:val="18"/>
                <w:lang w:val="ro-RO"/>
              </w:rPr>
              <w:t>100</w:t>
            </w:r>
            <w:r w:rsidRPr="00650D66">
              <w:rPr>
                <w:rFonts w:ascii="Times New Roman" w:hAnsi="Times New Roman" w:cs="Times New Roman"/>
                <w:sz w:val="18"/>
                <w:szCs w:val="18"/>
                <w:lang w:val="ro-RO"/>
              </w:rPr>
              <w:t xml:space="preserve">, </w:t>
            </w:r>
          </w:p>
          <w:p w14:paraId="445F8774" w14:textId="77777777" w:rsidR="00C947A6" w:rsidRPr="00650D66" w:rsidRDefault="00D767FF" w:rsidP="00991A75">
            <w:pPr>
              <w:tabs>
                <w:tab w:val="left" w:pos="720"/>
              </w:tabs>
              <w:spacing w:after="0"/>
              <w:jc w:val="center"/>
              <w:rPr>
                <w:rFonts w:ascii="Times New Roman" w:eastAsia="Times New Roman" w:hAnsi="Times New Roman" w:cs="Times New Roman"/>
                <w:b/>
                <w:bCs/>
                <w:color w:val="1F4E79" w:themeColor="accent1" w:themeShade="80"/>
                <w:sz w:val="24"/>
                <w:szCs w:val="24"/>
                <w:lang w:val="ro-RO"/>
              </w:rPr>
            </w:pPr>
            <w:hyperlink r:id="rId9" w:history="1">
              <w:r w:rsidR="00C947A6" w:rsidRPr="00650D66">
                <w:rPr>
                  <w:rStyle w:val="Hyperlink"/>
                  <w:rFonts w:ascii="Times New Roman" w:hAnsi="Times New Roman" w:cs="Times New Roman"/>
                  <w:b/>
                  <w:sz w:val="18"/>
                  <w:szCs w:val="18"/>
                  <w:lang w:val="ro-RO"/>
                </w:rPr>
                <w:t>www.ccrm.md</w:t>
              </w:r>
            </w:hyperlink>
            <w:r w:rsidR="00C947A6" w:rsidRPr="00650D66">
              <w:rPr>
                <w:rStyle w:val="Hyperlink"/>
                <w:rFonts w:ascii="Times New Roman" w:hAnsi="Times New Roman" w:cs="Times New Roman"/>
                <w:b/>
                <w:sz w:val="18"/>
                <w:szCs w:val="18"/>
                <w:lang w:val="ro-RO"/>
              </w:rPr>
              <w:t xml:space="preserve">; </w:t>
            </w:r>
            <w:r w:rsidR="00C947A6" w:rsidRPr="00650D66">
              <w:rPr>
                <w:rFonts w:ascii="Times New Roman" w:hAnsi="Times New Roman" w:cs="Times New Roman"/>
                <w:sz w:val="18"/>
                <w:szCs w:val="18"/>
                <w:lang w:val="ro-RO"/>
              </w:rPr>
              <w:t xml:space="preserve">e-mail: </w:t>
            </w:r>
            <w:hyperlink r:id="rId10" w:history="1">
              <w:r w:rsidR="00C947A6" w:rsidRPr="00650D66">
                <w:rPr>
                  <w:rStyle w:val="Hyperlink"/>
                  <w:rFonts w:ascii="Times New Roman" w:hAnsi="Times New Roman" w:cs="Times New Roman"/>
                  <w:b/>
                  <w:sz w:val="18"/>
                  <w:szCs w:val="18"/>
                  <w:lang w:val="ro-RO"/>
                </w:rPr>
                <w:t>ccrm@ccrm.md</w:t>
              </w:r>
            </w:hyperlink>
          </w:p>
        </w:tc>
      </w:tr>
    </w:tbl>
    <w:p w14:paraId="5DA7DEDE"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0C1DCDB5"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6E69512C"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595BFC92"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38F542FC" w14:textId="77777777" w:rsidR="00C947A6" w:rsidRPr="00650D66" w:rsidRDefault="00C947A6" w:rsidP="00C947A6">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RO"/>
        </w:rPr>
      </w:pPr>
    </w:p>
    <w:p w14:paraId="34177E23" w14:textId="77777777" w:rsidR="00C947A6" w:rsidRPr="00650D66" w:rsidRDefault="00C947A6" w:rsidP="00763FBA">
      <w:pPr>
        <w:tabs>
          <w:tab w:val="left" w:pos="720"/>
        </w:tabs>
        <w:spacing w:after="0" w:line="240" w:lineRule="auto"/>
        <w:rPr>
          <w:rFonts w:ascii="Times New Roman" w:eastAsia="Times New Roman" w:hAnsi="Times New Roman" w:cs="Times New Roman"/>
          <w:b/>
          <w:bCs/>
          <w:sz w:val="32"/>
          <w:szCs w:val="32"/>
          <w:lang w:val="ro-RO"/>
        </w:rPr>
      </w:pPr>
    </w:p>
    <w:p w14:paraId="044ECE39" w14:textId="77777777" w:rsidR="00C947A6" w:rsidRPr="00650D66" w:rsidRDefault="00C947A6" w:rsidP="00250031">
      <w:pPr>
        <w:tabs>
          <w:tab w:val="left" w:pos="720"/>
        </w:tabs>
        <w:spacing w:after="0" w:line="240" w:lineRule="auto"/>
        <w:jc w:val="center"/>
        <w:rPr>
          <w:rFonts w:ascii="Times New Roman" w:eastAsia="Times New Roman" w:hAnsi="Times New Roman" w:cs="Times New Roman"/>
          <w:b/>
          <w:bCs/>
          <w:sz w:val="32"/>
          <w:szCs w:val="32"/>
          <w:lang w:val="ro-RO"/>
        </w:rPr>
      </w:pPr>
      <w:r w:rsidRPr="00650D66">
        <w:rPr>
          <w:rFonts w:ascii="Times New Roman" w:eastAsia="Times New Roman" w:hAnsi="Times New Roman" w:cs="Times New Roman"/>
          <w:b/>
          <w:bCs/>
          <w:sz w:val="32"/>
          <w:szCs w:val="32"/>
          <w:lang w:val="ro-RO"/>
        </w:rPr>
        <w:t xml:space="preserve">RAPORTUL </w:t>
      </w:r>
    </w:p>
    <w:p w14:paraId="5C0BF433" w14:textId="2EF8B107" w:rsidR="00C947A6" w:rsidRPr="00650D66" w:rsidRDefault="0057734E" w:rsidP="008945C7">
      <w:pPr>
        <w:spacing w:after="0" w:line="276"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 xml:space="preserve">de </w:t>
      </w:r>
      <w:r w:rsidR="00C947A6" w:rsidRPr="00650D66">
        <w:rPr>
          <w:rFonts w:ascii="Times New Roman" w:eastAsia="Times New Roman" w:hAnsi="Times New Roman" w:cs="Times New Roman"/>
          <w:b/>
          <w:bCs/>
          <w:sz w:val="28"/>
          <w:szCs w:val="28"/>
          <w:lang w:val="ro-RO"/>
        </w:rPr>
        <w:t>audit</w:t>
      </w:r>
      <w:r>
        <w:rPr>
          <w:rFonts w:ascii="Times New Roman" w:eastAsia="Times New Roman" w:hAnsi="Times New Roman" w:cs="Times New Roman"/>
          <w:b/>
          <w:bCs/>
          <w:sz w:val="28"/>
          <w:szCs w:val="28"/>
          <w:lang w:val="ro-RO"/>
        </w:rPr>
        <w:t xml:space="preserve"> al</w:t>
      </w:r>
      <w:r w:rsidR="00C947A6" w:rsidRPr="00650D66">
        <w:rPr>
          <w:rFonts w:ascii="Times New Roman" w:eastAsia="Times New Roman" w:hAnsi="Times New Roman" w:cs="Times New Roman"/>
          <w:b/>
          <w:bCs/>
          <w:sz w:val="28"/>
          <w:szCs w:val="28"/>
          <w:lang w:val="ro-RO"/>
        </w:rPr>
        <w:t xml:space="preserve"> </w:t>
      </w:r>
      <w:r w:rsidR="00A61974" w:rsidRPr="00650D66">
        <w:rPr>
          <w:rFonts w:ascii="Times New Roman" w:eastAsia="Times New Roman" w:hAnsi="Times New Roman" w:cs="Times New Roman"/>
          <w:b/>
          <w:bCs/>
          <w:sz w:val="28"/>
          <w:szCs w:val="28"/>
          <w:lang w:val="ro-RO"/>
        </w:rPr>
        <w:t xml:space="preserve">conformității </w:t>
      </w:r>
      <w:r w:rsidR="00B35E53" w:rsidRPr="00650D66">
        <w:rPr>
          <w:rFonts w:ascii="Times New Roman" w:eastAsia="Times New Roman" w:hAnsi="Times New Roman" w:cs="Times New Roman"/>
          <w:b/>
          <w:bCs/>
          <w:sz w:val="28"/>
          <w:szCs w:val="28"/>
          <w:lang w:val="ro-RO"/>
        </w:rPr>
        <w:t>devizelor de cheltuieli și alocațiilor pentru investiții ale Băncii Naționale a Moldovei pe anii 2019</w:t>
      </w:r>
      <w:r w:rsidR="0090213E">
        <w:rPr>
          <w:rFonts w:ascii="Times New Roman" w:eastAsia="Times New Roman" w:hAnsi="Times New Roman" w:cs="Times New Roman"/>
          <w:b/>
          <w:bCs/>
          <w:sz w:val="28"/>
          <w:szCs w:val="28"/>
          <w:lang w:val="ro-RO"/>
        </w:rPr>
        <w:t>-</w:t>
      </w:r>
      <w:r w:rsidR="00B35E53" w:rsidRPr="00650D66">
        <w:rPr>
          <w:rFonts w:ascii="Times New Roman" w:eastAsia="Times New Roman" w:hAnsi="Times New Roman" w:cs="Times New Roman"/>
          <w:b/>
          <w:bCs/>
          <w:sz w:val="28"/>
          <w:szCs w:val="28"/>
          <w:lang w:val="ro-RO"/>
        </w:rPr>
        <w:t>2022</w:t>
      </w:r>
      <w:r w:rsidR="00C947A6" w:rsidRPr="00650D66">
        <w:rPr>
          <w:rFonts w:ascii="Times New Roman" w:eastAsia="Times New Roman" w:hAnsi="Times New Roman" w:cs="Times New Roman"/>
          <w:b/>
          <w:bCs/>
          <w:sz w:val="28"/>
          <w:szCs w:val="28"/>
          <w:lang w:val="ro-RO"/>
        </w:rPr>
        <w:t xml:space="preserve">      </w:t>
      </w:r>
    </w:p>
    <w:p w14:paraId="51A4382B" w14:textId="77777777" w:rsidR="00C947A6" w:rsidRPr="00650D66" w:rsidRDefault="00C947A6" w:rsidP="00C947A6">
      <w:pPr>
        <w:spacing w:after="0" w:line="240" w:lineRule="auto"/>
        <w:jc w:val="center"/>
        <w:rPr>
          <w:rFonts w:ascii="Times New Roman" w:eastAsia="Times New Roman" w:hAnsi="Times New Roman" w:cs="Times New Roman"/>
          <w:b/>
          <w:bCs/>
          <w:sz w:val="28"/>
          <w:szCs w:val="28"/>
          <w:lang w:val="ro-RO"/>
        </w:rPr>
      </w:pPr>
    </w:p>
    <w:p w14:paraId="240BBC30" w14:textId="77777777" w:rsidR="00663798" w:rsidRPr="00650D66" w:rsidRDefault="002134E8" w:rsidP="002134E8">
      <w:pPr>
        <w:jc w:val="center"/>
        <w:rPr>
          <w:rFonts w:ascii="Times New Roman" w:hAnsi="Times New Roman" w:cs="Times New Roman"/>
          <w:lang w:val="ro-RO"/>
        </w:rPr>
      </w:pPr>
      <w:r w:rsidRPr="00650D66">
        <w:rPr>
          <w:rFonts w:ascii="Times New Roman" w:hAnsi="Times New Roman" w:cs="Times New Roman"/>
          <w:noProof/>
          <w:lang w:val="en-US"/>
        </w:rPr>
        <w:drawing>
          <wp:inline distT="0" distB="0" distL="0" distR="0" wp14:anchorId="1489E136" wp14:editId="089194FC">
            <wp:extent cx="1638300" cy="760171"/>
            <wp:effectExtent l="323850" t="323850" r="323850" b="325755"/>
            <wp:docPr id="7" name="Picture 7"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578" cy="78953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713F4CDC" w14:textId="77777777" w:rsidR="00E66099" w:rsidRDefault="00E66099" w:rsidP="002134E8">
      <w:pPr>
        <w:jc w:val="center"/>
        <w:rPr>
          <w:rFonts w:ascii="Times New Roman" w:hAnsi="Times New Roman" w:cs="Times New Roman"/>
          <w:lang w:val="ro-RO"/>
        </w:rPr>
      </w:pPr>
    </w:p>
    <w:p w14:paraId="24748271" w14:textId="77777777" w:rsidR="001A5136" w:rsidRPr="00650D66" w:rsidRDefault="001A5136" w:rsidP="002134E8">
      <w:pPr>
        <w:jc w:val="center"/>
        <w:rPr>
          <w:rFonts w:ascii="Times New Roman" w:hAnsi="Times New Roman" w:cs="Times New Roman"/>
          <w:lang w:val="ro-RO"/>
        </w:rPr>
      </w:pPr>
    </w:p>
    <w:p w14:paraId="24BCFFE5" w14:textId="77777777" w:rsidR="003F2C9C" w:rsidRDefault="003F2C9C">
      <w:pPr>
        <w:rPr>
          <w:rFonts w:ascii="Times New Roman" w:hAnsi="Times New Roman" w:cs="Times New Roman"/>
          <w:lang w:val="ro-RO"/>
        </w:rPr>
      </w:pPr>
    </w:p>
    <w:p w14:paraId="01B1BBAD" w14:textId="77777777" w:rsidR="0090213E" w:rsidRDefault="0090213E">
      <w:pPr>
        <w:rPr>
          <w:rFonts w:ascii="Times New Roman" w:hAnsi="Times New Roman" w:cs="Times New Roman"/>
          <w:lang w:val="ro-RO"/>
        </w:rPr>
      </w:pPr>
    </w:p>
    <w:p w14:paraId="1A799A44" w14:textId="77777777" w:rsidR="0090213E" w:rsidRPr="00650D66" w:rsidRDefault="0090213E">
      <w:pPr>
        <w:rPr>
          <w:rFonts w:ascii="Times New Roman" w:hAnsi="Times New Roman" w:cs="Times New Roman"/>
          <w:lang w:val="ro-RO"/>
        </w:rPr>
      </w:pPr>
    </w:p>
    <w:sdt>
      <w:sdtPr>
        <w:rPr>
          <w:rFonts w:ascii="Times New Roman" w:eastAsiaTheme="minorHAnsi" w:hAnsi="Times New Roman" w:cs="Times New Roman"/>
          <w:color w:val="auto"/>
          <w:sz w:val="22"/>
          <w:szCs w:val="22"/>
          <w:lang w:val="ro-RO"/>
        </w:rPr>
        <w:id w:val="-500585459"/>
        <w:docPartObj>
          <w:docPartGallery w:val="Table of Contents"/>
          <w:docPartUnique/>
        </w:docPartObj>
      </w:sdtPr>
      <w:sdtEndPr>
        <w:rPr>
          <w:rFonts w:asciiTheme="minorHAnsi" w:hAnsiTheme="minorHAnsi" w:cstheme="minorBidi"/>
          <w:b/>
          <w:bCs/>
          <w:noProof/>
        </w:rPr>
      </w:sdtEndPr>
      <w:sdtContent>
        <w:p w14:paraId="461FE1F2" w14:textId="784F8831" w:rsidR="0046568C" w:rsidRPr="00650D66" w:rsidRDefault="0046568C" w:rsidP="0046568C">
          <w:pPr>
            <w:pStyle w:val="TOCHeading"/>
            <w:jc w:val="center"/>
            <w:rPr>
              <w:rFonts w:ascii="Times New Roman" w:hAnsi="Times New Roman" w:cs="Times New Roman"/>
              <w:b/>
              <w:color w:val="000000" w:themeColor="text1"/>
              <w:sz w:val="28"/>
              <w:szCs w:val="28"/>
              <w:lang w:val="ro-RO"/>
            </w:rPr>
          </w:pPr>
          <w:r w:rsidRPr="00781FAA">
            <w:rPr>
              <w:rFonts w:ascii="Times New Roman" w:hAnsi="Times New Roman" w:cs="Times New Roman"/>
              <w:b/>
              <w:color w:val="000000" w:themeColor="text1"/>
              <w:sz w:val="28"/>
              <w:szCs w:val="28"/>
              <w:lang w:val="ro-RO"/>
            </w:rPr>
            <w:t>CUPRINS</w:t>
          </w:r>
          <w:r w:rsidR="00781FAA" w:rsidRPr="00781FAA">
            <w:rPr>
              <w:rFonts w:ascii="Times New Roman" w:hAnsi="Times New Roman" w:cs="Times New Roman"/>
              <w:b/>
              <w:color w:val="000000" w:themeColor="text1"/>
              <w:sz w:val="28"/>
              <w:szCs w:val="28"/>
              <w:lang w:val="ro-RO"/>
            </w:rPr>
            <w:t xml:space="preserve"> </w:t>
          </w:r>
        </w:p>
        <w:p w14:paraId="76AFFFE2" w14:textId="24B807AD" w:rsidR="00761CB9" w:rsidRPr="00761CB9" w:rsidRDefault="0046568C" w:rsidP="006A2F81">
          <w:pPr>
            <w:pStyle w:val="TOC1"/>
            <w:rPr>
              <w:rFonts w:eastAsiaTheme="minorEastAsia"/>
              <w:noProof/>
              <w:lang w:val="en-US"/>
            </w:rPr>
          </w:pPr>
          <w:r w:rsidRPr="000468BE">
            <w:rPr>
              <w:lang w:val="ro-RO"/>
            </w:rPr>
            <w:fldChar w:fldCharType="begin"/>
          </w:r>
          <w:r w:rsidRPr="000468BE">
            <w:rPr>
              <w:lang w:val="ro-RO"/>
            </w:rPr>
            <w:instrText xml:space="preserve"> TOC \o "1-3" \h \z \u </w:instrText>
          </w:r>
          <w:r w:rsidRPr="000468BE">
            <w:rPr>
              <w:lang w:val="ro-RO"/>
            </w:rPr>
            <w:fldChar w:fldCharType="separate"/>
          </w:r>
          <w:hyperlink w:anchor="_Toc159413627" w:history="1">
            <w:r w:rsidR="00761CB9" w:rsidRPr="00761CB9">
              <w:rPr>
                <w:rStyle w:val="Hyperlink"/>
                <w:rFonts w:ascii="Times New Roman" w:hAnsi="Times New Roman" w:cs="Times New Roman"/>
                <w:b/>
                <w:noProof/>
                <w:sz w:val="24"/>
                <w:szCs w:val="24"/>
                <w:lang w:val="ro-RO"/>
              </w:rPr>
              <w:t>Lista acronimelor</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_Toc159413627 \h </w:instrText>
            </w:r>
            <w:r w:rsidR="00761CB9" w:rsidRPr="00761CB9">
              <w:rPr>
                <w:noProof/>
                <w:webHidden/>
              </w:rPr>
            </w:r>
            <w:r w:rsidR="00761CB9" w:rsidRPr="00761CB9">
              <w:rPr>
                <w:noProof/>
                <w:webHidden/>
              </w:rPr>
              <w:fldChar w:fldCharType="separate"/>
            </w:r>
            <w:r w:rsidR="00761CB9" w:rsidRPr="00761CB9">
              <w:rPr>
                <w:noProof/>
                <w:webHidden/>
              </w:rPr>
              <w:t>3</w:t>
            </w:r>
            <w:r w:rsidR="00761CB9" w:rsidRPr="00761CB9">
              <w:rPr>
                <w:noProof/>
                <w:webHidden/>
              </w:rPr>
              <w:fldChar w:fldCharType="end"/>
            </w:r>
          </w:hyperlink>
        </w:p>
        <w:p w14:paraId="58F872B1" w14:textId="6E6C91D2" w:rsidR="00761CB9" w:rsidRPr="00761CB9" w:rsidRDefault="00D767FF" w:rsidP="006A2F81">
          <w:pPr>
            <w:pStyle w:val="TOC1"/>
            <w:rPr>
              <w:rFonts w:eastAsiaTheme="minorEastAsia"/>
              <w:noProof/>
              <w:lang w:val="en-US"/>
            </w:rPr>
          </w:pPr>
          <w:hyperlink w:anchor="_Toc159413628" w:history="1">
            <w:r w:rsidR="00761CB9" w:rsidRPr="00761CB9">
              <w:rPr>
                <w:rStyle w:val="Hyperlink"/>
                <w:rFonts w:ascii="Times New Roman" w:hAnsi="Times New Roman" w:cs="Times New Roman"/>
                <w:b/>
                <w:noProof/>
                <w:sz w:val="24"/>
                <w:szCs w:val="24"/>
                <w:lang w:val="ro-RO"/>
              </w:rPr>
              <w:t>Glosar</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_Toc159413628 \h </w:instrText>
            </w:r>
            <w:r w:rsidR="00761CB9" w:rsidRPr="00761CB9">
              <w:rPr>
                <w:noProof/>
                <w:webHidden/>
              </w:rPr>
            </w:r>
            <w:r w:rsidR="00761CB9" w:rsidRPr="00761CB9">
              <w:rPr>
                <w:noProof/>
                <w:webHidden/>
              </w:rPr>
              <w:fldChar w:fldCharType="separate"/>
            </w:r>
            <w:r w:rsidR="00761CB9" w:rsidRPr="00761CB9">
              <w:rPr>
                <w:noProof/>
                <w:webHidden/>
              </w:rPr>
              <w:t>3</w:t>
            </w:r>
            <w:r w:rsidR="00761CB9" w:rsidRPr="00761CB9">
              <w:rPr>
                <w:noProof/>
                <w:webHidden/>
              </w:rPr>
              <w:fldChar w:fldCharType="end"/>
            </w:r>
          </w:hyperlink>
        </w:p>
        <w:p w14:paraId="4E54D83A" w14:textId="465DBDDB" w:rsidR="00761CB9" w:rsidRPr="00761CB9" w:rsidRDefault="00D767FF" w:rsidP="006A2F81">
          <w:pPr>
            <w:pStyle w:val="TOC1"/>
            <w:rPr>
              <w:rFonts w:eastAsiaTheme="minorEastAsia"/>
              <w:noProof/>
              <w:lang w:val="en-US"/>
            </w:rPr>
          </w:pPr>
          <w:hyperlink w:anchor="_Toc159413629" w:history="1">
            <w:r w:rsidR="00761CB9" w:rsidRPr="00761CB9">
              <w:rPr>
                <w:rStyle w:val="Hyperlink"/>
                <w:rFonts w:ascii="Times New Roman" w:hAnsi="Times New Roman" w:cs="Times New Roman"/>
                <w:b/>
                <w:noProof/>
                <w:sz w:val="24"/>
                <w:szCs w:val="24"/>
                <w:lang w:val="ro-RO"/>
              </w:rPr>
              <w:t>I.</w:t>
            </w:r>
            <w:r w:rsidR="00761CB9" w:rsidRPr="00761CB9">
              <w:rPr>
                <w:rFonts w:eastAsiaTheme="minorEastAsia"/>
                <w:noProof/>
                <w:lang w:val="en-US"/>
              </w:rPr>
              <w:tab/>
            </w:r>
            <w:r w:rsidR="00761CB9" w:rsidRPr="00761CB9">
              <w:rPr>
                <w:rStyle w:val="Hyperlink"/>
                <w:rFonts w:ascii="Times New Roman" w:hAnsi="Times New Roman" w:cs="Times New Roman"/>
                <w:b/>
                <w:noProof/>
                <w:sz w:val="24"/>
                <w:szCs w:val="24"/>
                <w:lang w:val="ro-RO"/>
              </w:rPr>
              <w:t>SINTEZA</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_Toc159413629 \h </w:instrText>
            </w:r>
            <w:r w:rsidR="00761CB9" w:rsidRPr="00761CB9">
              <w:rPr>
                <w:noProof/>
                <w:webHidden/>
              </w:rPr>
            </w:r>
            <w:r w:rsidR="00761CB9" w:rsidRPr="00761CB9">
              <w:rPr>
                <w:noProof/>
                <w:webHidden/>
              </w:rPr>
              <w:fldChar w:fldCharType="separate"/>
            </w:r>
            <w:r w:rsidR="00761CB9" w:rsidRPr="00761CB9">
              <w:rPr>
                <w:noProof/>
                <w:webHidden/>
              </w:rPr>
              <w:t>3</w:t>
            </w:r>
            <w:r w:rsidR="00761CB9" w:rsidRPr="00761CB9">
              <w:rPr>
                <w:noProof/>
                <w:webHidden/>
              </w:rPr>
              <w:fldChar w:fldCharType="end"/>
            </w:r>
          </w:hyperlink>
        </w:p>
        <w:p w14:paraId="27F80070" w14:textId="0A9D3781" w:rsidR="00761CB9" w:rsidRPr="00761CB9" w:rsidRDefault="00D767FF" w:rsidP="006A2F81">
          <w:pPr>
            <w:pStyle w:val="TOC1"/>
            <w:rPr>
              <w:rFonts w:eastAsiaTheme="minorEastAsia"/>
              <w:noProof/>
              <w:lang w:val="en-US"/>
            </w:rPr>
          </w:pPr>
          <w:hyperlink w:anchor="_Toc159413630" w:history="1">
            <w:r w:rsidR="00761CB9" w:rsidRPr="00761CB9">
              <w:rPr>
                <w:rStyle w:val="Hyperlink"/>
                <w:rFonts w:ascii="Times New Roman" w:hAnsi="Times New Roman" w:cs="Times New Roman"/>
                <w:b/>
                <w:noProof/>
                <w:sz w:val="24"/>
                <w:szCs w:val="24"/>
                <w:lang w:val="ro-RO"/>
              </w:rPr>
              <w:t>II.</w:t>
            </w:r>
            <w:r w:rsidR="00761CB9" w:rsidRPr="00761CB9">
              <w:rPr>
                <w:rFonts w:eastAsiaTheme="minorEastAsia"/>
                <w:noProof/>
                <w:lang w:val="en-US"/>
              </w:rPr>
              <w:tab/>
            </w:r>
            <w:r w:rsidR="00761CB9" w:rsidRPr="00761CB9">
              <w:rPr>
                <w:rStyle w:val="Hyperlink"/>
                <w:rFonts w:ascii="Times New Roman" w:hAnsi="Times New Roman" w:cs="Times New Roman"/>
                <w:b/>
                <w:noProof/>
                <w:sz w:val="24"/>
                <w:szCs w:val="24"/>
                <w:lang w:val="ro-RO"/>
              </w:rPr>
              <w:t>PREZENTAREA GENERALĂ</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_Toc159413630 \h </w:instrText>
            </w:r>
            <w:r w:rsidR="00761CB9" w:rsidRPr="00761CB9">
              <w:rPr>
                <w:noProof/>
                <w:webHidden/>
              </w:rPr>
            </w:r>
            <w:r w:rsidR="00761CB9" w:rsidRPr="00761CB9">
              <w:rPr>
                <w:noProof/>
                <w:webHidden/>
              </w:rPr>
              <w:fldChar w:fldCharType="separate"/>
            </w:r>
            <w:r w:rsidR="00761CB9" w:rsidRPr="00761CB9">
              <w:rPr>
                <w:noProof/>
                <w:webHidden/>
              </w:rPr>
              <w:t>5</w:t>
            </w:r>
            <w:r w:rsidR="00761CB9" w:rsidRPr="00761CB9">
              <w:rPr>
                <w:noProof/>
                <w:webHidden/>
              </w:rPr>
              <w:fldChar w:fldCharType="end"/>
            </w:r>
          </w:hyperlink>
        </w:p>
        <w:p w14:paraId="70359A95" w14:textId="6C5CD0B8" w:rsidR="00761CB9" w:rsidRPr="00761CB9" w:rsidRDefault="00D767FF">
          <w:pPr>
            <w:pStyle w:val="TOC2"/>
            <w:rPr>
              <w:rFonts w:ascii="Times New Roman" w:eastAsiaTheme="minorEastAsia" w:hAnsi="Times New Roman" w:cs="Times New Roman"/>
              <w:noProof/>
              <w:sz w:val="24"/>
              <w:szCs w:val="24"/>
              <w:lang w:val="en-US"/>
            </w:rPr>
          </w:pPr>
          <w:hyperlink w:anchor="_Toc159413631" w:history="1">
            <w:r w:rsidR="00761CB9" w:rsidRPr="00E511C5">
              <w:rPr>
                <w:rStyle w:val="Hyperlink"/>
                <w:rFonts w:ascii="Times New Roman" w:eastAsia="Times New Roman" w:hAnsi="Times New Roman" w:cs="Times New Roman"/>
                <w:b/>
                <w:noProof/>
                <w:sz w:val="24"/>
                <w:szCs w:val="24"/>
                <w:lang w:val="ro-RO"/>
              </w:rPr>
              <w:t>2.1</w:t>
            </w:r>
            <w:r w:rsidR="00761CB9" w:rsidRPr="00761CB9">
              <w:rPr>
                <w:rStyle w:val="Hyperlink"/>
                <w:rFonts w:ascii="Times New Roman" w:eastAsia="Times New Roman" w:hAnsi="Times New Roman" w:cs="Times New Roman"/>
                <w:noProof/>
                <w:sz w:val="24"/>
                <w:szCs w:val="24"/>
                <w:lang w:val="ro-RO"/>
              </w:rPr>
              <w:t xml:space="preserve"> Subiectul auditat</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_Toc159413631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5</w:t>
            </w:r>
            <w:r w:rsidR="00761CB9" w:rsidRPr="00761CB9">
              <w:rPr>
                <w:rFonts w:ascii="Times New Roman" w:hAnsi="Times New Roman" w:cs="Times New Roman"/>
                <w:noProof/>
                <w:webHidden/>
                <w:sz w:val="24"/>
                <w:szCs w:val="24"/>
              </w:rPr>
              <w:fldChar w:fldCharType="end"/>
            </w:r>
          </w:hyperlink>
        </w:p>
        <w:p w14:paraId="5378346C" w14:textId="0E883C39" w:rsidR="00761CB9" w:rsidRPr="00761CB9" w:rsidRDefault="00D767FF">
          <w:pPr>
            <w:pStyle w:val="TOC2"/>
            <w:rPr>
              <w:rFonts w:ascii="Times New Roman" w:eastAsiaTheme="minorEastAsia" w:hAnsi="Times New Roman" w:cs="Times New Roman"/>
              <w:noProof/>
              <w:sz w:val="24"/>
              <w:szCs w:val="24"/>
              <w:lang w:val="en-US"/>
            </w:rPr>
          </w:pPr>
          <w:hyperlink w:anchor="_Toc159413632" w:history="1">
            <w:r w:rsidR="00761CB9" w:rsidRPr="00E511C5">
              <w:rPr>
                <w:rStyle w:val="Hyperlink"/>
                <w:rFonts w:ascii="Times New Roman" w:hAnsi="Times New Roman" w:cs="Times New Roman"/>
                <w:b/>
                <w:noProof/>
                <w:sz w:val="24"/>
                <w:szCs w:val="24"/>
                <w:lang w:val="ro-RO"/>
              </w:rPr>
              <w:t xml:space="preserve">2.2 </w:t>
            </w:r>
            <w:r w:rsidR="00761CB9" w:rsidRPr="00761CB9">
              <w:rPr>
                <w:rStyle w:val="Hyperlink"/>
                <w:rFonts w:ascii="Times New Roman" w:hAnsi="Times New Roman" w:cs="Times New Roman"/>
                <w:noProof/>
                <w:sz w:val="24"/>
                <w:szCs w:val="24"/>
                <w:lang w:val="ro-RO"/>
              </w:rPr>
              <w:t>Cadrul instituțional</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_Toc159413632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6</w:t>
            </w:r>
            <w:r w:rsidR="00761CB9" w:rsidRPr="00761CB9">
              <w:rPr>
                <w:rFonts w:ascii="Times New Roman" w:hAnsi="Times New Roman" w:cs="Times New Roman"/>
                <w:noProof/>
                <w:webHidden/>
                <w:sz w:val="24"/>
                <w:szCs w:val="24"/>
              </w:rPr>
              <w:fldChar w:fldCharType="end"/>
            </w:r>
          </w:hyperlink>
        </w:p>
        <w:p w14:paraId="457FFB76" w14:textId="6463CD9C" w:rsidR="00761CB9" w:rsidRPr="00761CB9" w:rsidRDefault="00D767FF">
          <w:pPr>
            <w:pStyle w:val="TOC2"/>
            <w:rPr>
              <w:rFonts w:ascii="Times New Roman" w:eastAsiaTheme="minorEastAsia" w:hAnsi="Times New Roman" w:cs="Times New Roman"/>
              <w:noProof/>
              <w:sz w:val="24"/>
              <w:szCs w:val="24"/>
              <w:lang w:val="en-US"/>
            </w:rPr>
          </w:pPr>
          <w:hyperlink w:anchor="_Toc159413633" w:history="1">
            <w:r w:rsidR="00761CB9" w:rsidRPr="00E511C5">
              <w:rPr>
                <w:rStyle w:val="Hyperlink"/>
                <w:rFonts w:ascii="Times New Roman" w:hAnsi="Times New Roman" w:cs="Times New Roman"/>
                <w:b/>
                <w:noProof/>
                <w:sz w:val="24"/>
                <w:szCs w:val="24"/>
                <w:lang w:val="ro-RO"/>
              </w:rPr>
              <w:t>2.3</w:t>
            </w:r>
            <w:r w:rsidR="00761CB9" w:rsidRPr="00761CB9">
              <w:rPr>
                <w:rStyle w:val="Hyperlink"/>
                <w:rFonts w:ascii="Times New Roman" w:hAnsi="Times New Roman" w:cs="Times New Roman"/>
                <w:noProof/>
                <w:sz w:val="24"/>
                <w:szCs w:val="24"/>
                <w:lang w:val="ro-RO"/>
              </w:rPr>
              <w:t xml:space="preserve"> Analiza devizelor de cheltuieli și alocațiilor pentru investiții aprobate și executate de către BNM pentru anii 2019-2022</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_Toc159413633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7</w:t>
            </w:r>
            <w:r w:rsidR="00761CB9" w:rsidRPr="00761CB9">
              <w:rPr>
                <w:rFonts w:ascii="Times New Roman" w:hAnsi="Times New Roman" w:cs="Times New Roman"/>
                <w:noProof/>
                <w:webHidden/>
                <w:sz w:val="24"/>
                <w:szCs w:val="24"/>
              </w:rPr>
              <w:fldChar w:fldCharType="end"/>
            </w:r>
          </w:hyperlink>
        </w:p>
        <w:p w14:paraId="59DEAABE" w14:textId="38D375B9" w:rsidR="00761CB9" w:rsidRPr="00761CB9" w:rsidRDefault="00D767FF">
          <w:pPr>
            <w:pStyle w:val="TOC2"/>
            <w:rPr>
              <w:rFonts w:ascii="Times New Roman" w:eastAsiaTheme="minorEastAsia" w:hAnsi="Times New Roman" w:cs="Times New Roman"/>
              <w:noProof/>
              <w:sz w:val="24"/>
              <w:szCs w:val="24"/>
              <w:lang w:val="en-US"/>
            </w:rPr>
          </w:pPr>
          <w:hyperlink w:anchor="_Toc159413634" w:history="1">
            <w:r w:rsidR="00761CB9" w:rsidRPr="00E511C5">
              <w:rPr>
                <w:rStyle w:val="Hyperlink"/>
                <w:rFonts w:ascii="Times New Roman" w:eastAsia="Times New Roman" w:hAnsi="Times New Roman" w:cs="Times New Roman"/>
                <w:b/>
                <w:noProof/>
                <w:sz w:val="24"/>
                <w:szCs w:val="24"/>
                <w:lang w:val="ro-RO"/>
              </w:rPr>
              <w:t>2.4</w:t>
            </w:r>
            <w:r w:rsidR="00761CB9" w:rsidRPr="00761CB9">
              <w:rPr>
                <w:rStyle w:val="Hyperlink"/>
                <w:rFonts w:ascii="Times New Roman" w:eastAsia="Times New Roman" w:hAnsi="Times New Roman" w:cs="Times New Roman"/>
                <w:noProof/>
                <w:sz w:val="24"/>
                <w:szCs w:val="24"/>
                <w:lang w:val="ro-RO"/>
              </w:rPr>
              <w:t xml:space="preserve"> </w:t>
            </w:r>
            <w:r w:rsidR="00761CB9" w:rsidRPr="00761CB9">
              <w:rPr>
                <w:rStyle w:val="Hyperlink"/>
                <w:rFonts w:ascii="Times New Roman" w:hAnsi="Times New Roman" w:cs="Times New Roman"/>
                <w:noProof/>
                <w:sz w:val="24"/>
                <w:szCs w:val="24"/>
                <w:lang w:val="ro-RO"/>
              </w:rPr>
              <w:t>Prevederile Legii cu privire la BNM și ale actelor normative interne aprobate cu privire la elaborarea și executarea bugetului BNM</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_Toc159413634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9</w:t>
            </w:r>
            <w:r w:rsidR="00761CB9" w:rsidRPr="00761CB9">
              <w:rPr>
                <w:rFonts w:ascii="Times New Roman" w:hAnsi="Times New Roman" w:cs="Times New Roman"/>
                <w:noProof/>
                <w:webHidden/>
                <w:sz w:val="24"/>
                <w:szCs w:val="24"/>
              </w:rPr>
              <w:fldChar w:fldCharType="end"/>
            </w:r>
          </w:hyperlink>
        </w:p>
        <w:p w14:paraId="4E4922CC" w14:textId="4424FEDF" w:rsidR="00761CB9" w:rsidRPr="00761CB9" w:rsidRDefault="00D767FF">
          <w:pPr>
            <w:pStyle w:val="TOC2"/>
            <w:rPr>
              <w:rFonts w:ascii="Times New Roman" w:eastAsiaTheme="minorEastAsia" w:hAnsi="Times New Roman" w:cs="Times New Roman"/>
              <w:noProof/>
              <w:sz w:val="24"/>
              <w:szCs w:val="24"/>
              <w:lang w:val="en-US"/>
            </w:rPr>
          </w:pPr>
          <w:hyperlink w:anchor="_Toc159413635" w:history="1">
            <w:r w:rsidR="00761CB9" w:rsidRPr="00E511C5">
              <w:rPr>
                <w:rStyle w:val="Hyperlink"/>
                <w:rFonts w:ascii="Times New Roman" w:eastAsia="Times New Roman" w:hAnsi="Times New Roman" w:cs="Times New Roman"/>
                <w:b/>
                <w:noProof/>
                <w:sz w:val="24"/>
                <w:szCs w:val="24"/>
                <w:lang w:val="ro-RO"/>
              </w:rPr>
              <w:t>2.5</w:t>
            </w:r>
            <w:r w:rsidR="00761CB9" w:rsidRPr="00761CB9">
              <w:rPr>
                <w:rStyle w:val="Hyperlink"/>
                <w:rFonts w:ascii="Times New Roman" w:eastAsia="Times New Roman" w:hAnsi="Times New Roman" w:cs="Times New Roman"/>
                <w:noProof/>
                <w:sz w:val="24"/>
                <w:szCs w:val="24"/>
                <w:lang w:val="ro-RO"/>
              </w:rPr>
              <w:t xml:space="preserve"> Informații cu privire la soldul profitului disponibil pentru distribuire în anii 2020-2022, transferat la venitul BS </w:t>
            </w:r>
            <w:r w:rsidR="00761CB9" w:rsidRPr="00761CB9">
              <w:rPr>
                <w:rStyle w:val="Hyperlink"/>
                <w:rFonts w:ascii="Times New Roman" w:hAnsi="Times New Roman" w:cs="Times New Roman"/>
                <w:noProof/>
                <w:sz w:val="24"/>
                <w:szCs w:val="24"/>
                <w:lang w:val="ro-RO"/>
              </w:rPr>
              <w:t>de către BNM</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_Toc159413635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10</w:t>
            </w:r>
            <w:r w:rsidR="00761CB9" w:rsidRPr="00761CB9">
              <w:rPr>
                <w:rFonts w:ascii="Times New Roman" w:hAnsi="Times New Roman" w:cs="Times New Roman"/>
                <w:noProof/>
                <w:webHidden/>
                <w:sz w:val="24"/>
                <w:szCs w:val="24"/>
              </w:rPr>
              <w:fldChar w:fldCharType="end"/>
            </w:r>
          </w:hyperlink>
        </w:p>
        <w:p w14:paraId="66C8DBE6" w14:textId="5ED64FFA" w:rsidR="00761CB9" w:rsidRPr="00761CB9" w:rsidRDefault="00D767FF">
          <w:pPr>
            <w:pStyle w:val="TOC2"/>
            <w:rPr>
              <w:rFonts w:ascii="Times New Roman" w:eastAsiaTheme="minorEastAsia" w:hAnsi="Times New Roman" w:cs="Times New Roman"/>
              <w:noProof/>
              <w:sz w:val="24"/>
              <w:szCs w:val="24"/>
              <w:lang w:val="en-US"/>
            </w:rPr>
          </w:pPr>
          <w:hyperlink w:anchor="_Toc159413636" w:history="1">
            <w:r w:rsidR="00761CB9" w:rsidRPr="00E511C5">
              <w:rPr>
                <w:rStyle w:val="Hyperlink"/>
                <w:rFonts w:ascii="Times New Roman" w:hAnsi="Times New Roman" w:cs="Times New Roman"/>
                <w:b/>
                <w:noProof/>
                <w:sz w:val="24"/>
                <w:szCs w:val="24"/>
                <w:lang w:val="ro-RO"/>
              </w:rPr>
              <w:t>2.6</w:t>
            </w:r>
            <w:r w:rsidR="00761CB9" w:rsidRPr="00761CB9">
              <w:rPr>
                <w:rStyle w:val="Hyperlink"/>
                <w:rFonts w:ascii="Times New Roman" w:hAnsi="Times New Roman" w:cs="Times New Roman"/>
                <w:noProof/>
                <w:sz w:val="24"/>
                <w:szCs w:val="24"/>
                <w:lang w:val="ro-RO"/>
              </w:rPr>
              <w:t xml:space="preserve"> Responsabilitățile părților implicate</w:t>
            </w:r>
            <w:r w:rsidR="00761CB9" w:rsidRPr="00761CB9">
              <w:rPr>
                <w:rStyle w:val="Hyperlink"/>
                <w:rFonts w:ascii="Times New Roman" w:hAnsi="Times New Roman" w:cs="Times New Roman"/>
                <w:iCs/>
                <w:noProof/>
                <w:sz w:val="24"/>
                <w:szCs w:val="24"/>
                <w:lang w:val="ro-RO"/>
              </w:rPr>
              <w:t xml:space="preserve"> în procesul de planificare, executare și raportare a devizului de cheltuieli și alocațiilor pentru investiții</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_Toc159413636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11</w:t>
            </w:r>
            <w:r w:rsidR="00761CB9" w:rsidRPr="00761CB9">
              <w:rPr>
                <w:rFonts w:ascii="Times New Roman" w:hAnsi="Times New Roman" w:cs="Times New Roman"/>
                <w:noProof/>
                <w:webHidden/>
                <w:sz w:val="24"/>
                <w:szCs w:val="24"/>
              </w:rPr>
              <w:fldChar w:fldCharType="end"/>
            </w:r>
          </w:hyperlink>
        </w:p>
        <w:p w14:paraId="42A9070F" w14:textId="1BB64F8D" w:rsidR="00761CB9" w:rsidRPr="00761CB9" w:rsidRDefault="00D767FF" w:rsidP="006A2F81">
          <w:pPr>
            <w:pStyle w:val="TOC1"/>
            <w:rPr>
              <w:rFonts w:eastAsiaTheme="minorEastAsia"/>
              <w:noProof/>
              <w:lang w:val="en-US"/>
            </w:rPr>
          </w:pPr>
          <w:hyperlink w:anchor="_Toc159413637" w:history="1">
            <w:r w:rsidR="00761CB9" w:rsidRPr="00761CB9">
              <w:rPr>
                <w:rStyle w:val="Hyperlink"/>
                <w:rFonts w:ascii="Times New Roman" w:hAnsi="Times New Roman" w:cs="Times New Roman"/>
                <w:b/>
                <w:noProof/>
                <w:sz w:val="24"/>
                <w:szCs w:val="24"/>
                <w:lang w:val="ro-RO"/>
              </w:rPr>
              <w:t>III.</w:t>
            </w:r>
            <w:r w:rsidR="00761CB9" w:rsidRPr="00761CB9">
              <w:rPr>
                <w:rFonts w:eastAsiaTheme="minorEastAsia"/>
                <w:noProof/>
                <w:lang w:val="en-US"/>
              </w:rPr>
              <w:tab/>
            </w:r>
            <w:r w:rsidR="00761CB9" w:rsidRPr="00761CB9">
              <w:rPr>
                <w:rStyle w:val="Hyperlink"/>
                <w:rFonts w:ascii="Times New Roman" w:hAnsi="Times New Roman" w:cs="Times New Roman"/>
                <w:b/>
                <w:noProof/>
                <w:sz w:val="24"/>
                <w:szCs w:val="24"/>
                <w:lang w:val="ro-RO"/>
              </w:rPr>
              <w:t>SFERA ȘI ABORDAREA AUDITULUI</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_Toc159413637 \h </w:instrText>
            </w:r>
            <w:r w:rsidR="00761CB9" w:rsidRPr="00761CB9">
              <w:rPr>
                <w:noProof/>
                <w:webHidden/>
              </w:rPr>
            </w:r>
            <w:r w:rsidR="00761CB9" w:rsidRPr="00761CB9">
              <w:rPr>
                <w:noProof/>
                <w:webHidden/>
              </w:rPr>
              <w:fldChar w:fldCharType="separate"/>
            </w:r>
            <w:r w:rsidR="00761CB9" w:rsidRPr="00761CB9">
              <w:rPr>
                <w:noProof/>
                <w:webHidden/>
              </w:rPr>
              <w:t>12</w:t>
            </w:r>
            <w:r w:rsidR="00761CB9" w:rsidRPr="00761CB9">
              <w:rPr>
                <w:noProof/>
                <w:webHidden/>
              </w:rPr>
              <w:fldChar w:fldCharType="end"/>
            </w:r>
          </w:hyperlink>
        </w:p>
        <w:p w14:paraId="698091A1" w14:textId="083CC4D5" w:rsidR="00761CB9" w:rsidRPr="00761CB9" w:rsidRDefault="00D767FF">
          <w:pPr>
            <w:pStyle w:val="TOC2"/>
            <w:rPr>
              <w:rFonts w:ascii="Times New Roman" w:eastAsiaTheme="minorEastAsia" w:hAnsi="Times New Roman" w:cs="Times New Roman"/>
              <w:noProof/>
              <w:sz w:val="24"/>
              <w:szCs w:val="24"/>
              <w:lang w:val="en-US"/>
            </w:rPr>
          </w:pPr>
          <w:hyperlink w:anchor="_Toc159413638" w:history="1">
            <w:r w:rsidR="00761CB9" w:rsidRPr="00E511C5">
              <w:rPr>
                <w:rStyle w:val="Hyperlink"/>
                <w:rFonts w:ascii="Times New Roman" w:hAnsi="Times New Roman" w:cs="Times New Roman"/>
                <w:b/>
                <w:noProof/>
                <w:sz w:val="24"/>
                <w:szCs w:val="24"/>
                <w:lang w:val="ro-RO"/>
              </w:rPr>
              <w:t>3.1</w:t>
            </w:r>
            <w:r w:rsidR="00761CB9" w:rsidRPr="00761CB9">
              <w:rPr>
                <w:rFonts w:ascii="Times New Roman" w:eastAsiaTheme="minorEastAsia" w:hAnsi="Times New Roman" w:cs="Times New Roman"/>
                <w:noProof/>
                <w:sz w:val="24"/>
                <w:szCs w:val="24"/>
                <w:lang w:val="en-US"/>
              </w:rPr>
              <w:tab/>
            </w:r>
            <w:r w:rsidR="00761CB9" w:rsidRPr="00761CB9">
              <w:rPr>
                <w:rStyle w:val="Hyperlink"/>
                <w:rFonts w:ascii="Times New Roman" w:hAnsi="Times New Roman" w:cs="Times New Roman"/>
                <w:noProof/>
                <w:sz w:val="24"/>
                <w:szCs w:val="24"/>
                <w:lang w:val="ro-RO"/>
              </w:rPr>
              <w:t>Temeiul și scopul auditului</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_Toc159413638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12</w:t>
            </w:r>
            <w:r w:rsidR="00761CB9" w:rsidRPr="00761CB9">
              <w:rPr>
                <w:rFonts w:ascii="Times New Roman" w:hAnsi="Times New Roman" w:cs="Times New Roman"/>
                <w:noProof/>
                <w:webHidden/>
                <w:sz w:val="24"/>
                <w:szCs w:val="24"/>
              </w:rPr>
              <w:fldChar w:fldCharType="end"/>
            </w:r>
          </w:hyperlink>
        </w:p>
        <w:p w14:paraId="045FBCC3" w14:textId="22B01A97" w:rsidR="00761CB9" w:rsidRPr="00761CB9" w:rsidRDefault="00D767FF">
          <w:pPr>
            <w:pStyle w:val="TOC2"/>
            <w:rPr>
              <w:rFonts w:ascii="Times New Roman" w:eastAsiaTheme="minorEastAsia" w:hAnsi="Times New Roman" w:cs="Times New Roman"/>
              <w:noProof/>
              <w:sz w:val="24"/>
              <w:szCs w:val="24"/>
              <w:lang w:val="en-US"/>
            </w:rPr>
          </w:pPr>
          <w:hyperlink w:anchor="_Toc159413639" w:history="1">
            <w:r w:rsidR="00761CB9" w:rsidRPr="00E511C5">
              <w:rPr>
                <w:rStyle w:val="Hyperlink"/>
                <w:rFonts w:ascii="Times New Roman" w:hAnsi="Times New Roman" w:cs="Times New Roman"/>
                <w:b/>
                <w:noProof/>
                <w:sz w:val="24"/>
                <w:szCs w:val="24"/>
                <w:lang w:val="ro-RO"/>
              </w:rPr>
              <w:t>3.2</w:t>
            </w:r>
            <w:r w:rsidR="00761CB9" w:rsidRPr="00E511C5">
              <w:rPr>
                <w:rFonts w:ascii="Times New Roman" w:eastAsiaTheme="minorEastAsia" w:hAnsi="Times New Roman" w:cs="Times New Roman"/>
                <w:b/>
                <w:noProof/>
                <w:sz w:val="24"/>
                <w:szCs w:val="24"/>
                <w:lang w:val="en-US"/>
              </w:rPr>
              <w:tab/>
            </w:r>
            <w:r w:rsidR="00761CB9" w:rsidRPr="00761CB9">
              <w:rPr>
                <w:rStyle w:val="Hyperlink"/>
                <w:rFonts w:ascii="Times New Roman" w:hAnsi="Times New Roman" w:cs="Times New Roman"/>
                <w:noProof/>
                <w:sz w:val="24"/>
                <w:szCs w:val="24"/>
                <w:lang w:val="ro-RO"/>
              </w:rPr>
              <w:t>Abordarea auditului</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_Toc159413639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13</w:t>
            </w:r>
            <w:r w:rsidR="00761CB9" w:rsidRPr="00761CB9">
              <w:rPr>
                <w:rFonts w:ascii="Times New Roman" w:hAnsi="Times New Roman" w:cs="Times New Roman"/>
                <w:noProof/>
                <w:webHidden/>
                <w:sz w:val="24"/>
                <w:szCs w:val="24"/>
              </w:rPr>
              <w:fldChar w:fldCharType="end"/>
            </w:r>
          </w:hyperlink>
        </w:p>
        <w:p w14:paraId="67D92E33" w14:textId="5D1E8A00" w:rsidR="00761CB9" w:rsidRPr="00761CB9" w:rsidRDefault="00D767FF">
          <w:pPr>
            <w:pStyle w:val="TOC2"/>
            <w:rPr>
              <w:rFonts w:ascii="Times New Roman" w:eastAsiaTheme="minorEastAsia" w:hAnsi="Times New Roman" w:cs="Times New Roman"/>
              <w:noProof/>
              <w:sz w:val="24"/>
              <w:szCs w:val="24"/>
              <w:lang w:val="en-US"/>
            </w:rPr>
          </w:pPr>
          <w:hyperlink w:anchor="_Toc159413640" w:history="1">
            <w:r w:rsidR="00761CB9" w:rsidRPr="00E511C5">
              <w:rPr>
                <w:rStyle w:val="Hyperlink"/>
                <w:rFonts w:ascii="Times New Roman" w:hAnsi="Times New Roman" w:cs="Times New Roman"/>
                <w:b/>
                <w:noProof/>
                <w:sz w:val="24"/>
                <w:szCs w:val="24"/>
                <w:lang w:val="ro-RO"/>
              </w:rPr>
              <w:t xml:space="preserve">3.3 </w:t>
            </w:r>
            <w:r w:rsidR="00761CB9" w:rsidRPr="00761CB9">
              <w:rPr>
                <w:rStyle w:val="Hyperlink"/>
                <w:rFonts w:ascii="Times New Roman" w:eastAsia="Arial" w:hAnsi="Times New Roman" w:cs="Times New Roman"/>
                <w:noProof/>
                <w:spacing w:val="1"/>
                <w:sz w:val="24"/>
                <w:szCs w:val="24"/>
                <w:lang w:val="ro-RO"/>
              </w:rPr>
              <w:t>Responsabilitatea auditorului</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_Toc159413640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13</w:t>
            </w:r>
            <w:r w:rsidR="00761CB9" w:rsidRPr="00761CB9">
              <w:rPr>
                <w:rFonts w:ascii="Times New Roman" w:hAnsi="Times New Roman" w:cs="Times New Roman"/>
                <w:noProof/>
                <w:webHidden/>
                <w:sz w:val="24"/>
                <w:szCs w:val="24"/>
              </w:rPr>
              <w:fldChar w:fldCharType="end"/>
            </w:r>
          </w:hyperlink>
        </w:p>
        <w:p w14:paraId="11CE3E8F" w14:textId="32EF90A0" w:rsidR="00761CB9" w:rsidRPr="00761CB9" w:rsidRDefault="00D767FF" w:rsidP="006A2F81">
          <w:pPr>
            <w:pStyle w:val="TOC1"/>
            <w:rPr>
              <w:rFonts w:eastAsiaTheme="minorEastAsia"/>
              <w:noProof/>
              <w:lang w:val="en-US"/>
            </w:rPr>
          </w:pPr>
          <w:hyperlink w:anchor="_Toc159413641" w:history="1">
            <w:r w:rsidR="00761CB9" w:rsidRPr="00761CB9">
              <w:rPr>
                <w:rStyle w:val="Hyperlink"/>
                <w:rFonts w:ascii="Times New Roman" w:hAnsi="Times New Roman" w:cs="Times New Roman"/>
                <w:b/>
                <w:noProof/>
                <w:sz w:val="24"/>
                <w:szCs w:val="24"/>
                <w:lang w:val="ro-RO"/>
              </w:rPr>
              <w:t>IV.</w:t>
            </w:r>
            <w:r w:rsidR="00761CB9" w:rsidRPr="00761CB9">
              <w:rPr>
                <w:rFonts w:eastAsiaTheme="minorEastAsia"/>
                <w:noProof/>
                <w:lang w:val="en-US"/>
              </w:rPr>
              <w:tab/>
            </w:r>
            <w:r w:rsidR="00761CB9" w:rsidRPr="00761CB9">
              <w:rPr>
                <w:rStyle w:val="Hyperlink"/>
                <w:rFonts w:ascii="Times New Roman" w:hAnsi="Times New Roman" w:cs="Times New Roman"/>
                <w:b/>
                <w:noProof/>
                <w:sz w:val="24"/>
                <w:szCs w:val="24"/>
                <w:lang w:val="ro-RO"/>
              </w:rPr>
              <w:t>CONSTATĂRI</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_Toc159413641 \h </w:instrText>
            </w:r>
            <w:r w:rsidR="00761CB9" w:rsidRPr="00761CB9">
              <w:rPr>
                <w:noProof/>
                <w:webHidden/>
              </w:rPr>
            </w:r>
            <w:r w:rsidR="00761CB9" w:rsidRPr="00761CB9">
              <w:rPr>
                <w:noProof/>
                <w:webHidden/>
              </w:rPr>
              <w:fldChar w:fldCharType="separate"/>
            </w:r>
            <w:r w:rsidR="00761CB9" w:rsidRPr="00761CB9">
              <w:rPr>
                <w:noProof/>
                <w:webHidden/>
              </w:rPr>
              <w:t>14</w:t>
            </w:r>
            <w:r w:rsidR="00761CB9" w:rsidRPr="00761CB9">
              <w:rPr>
                <w:noProof/>
                <w:webHidden/>
              </w:rPr>
              <w:fldChar w:fldCharType="end"/>
            </w:r>
          </w:hyperlink>
        </w:p>
        <w:p w14:paraId="3042BA3C" w14:textId="0E803CB7" w:rsidR="00761CB9" w:rsidRPr="00761CB9" w:rsidRDefault="00D767FF">
          <w:pPr>
            <w:pStyle w:val="TOC2"/>
            <w:rPr>
              <w:rFonts w:ascii="Times New Roman" w:eastAsiaTheme="minorEastAsia" w:hAnsi="Times New Roman" w:cs="Times New Roman"/>
              <w:noProof/>
              <w:sz w:val="24"/>
              <w:szCs w:val="24"/>
              <w:lang w:val="en-US"/>
            </w:rPr>
          </w:pPr>
          <w:hyperlink w:anchor="_Toc159413642" w:history="1">
            <w:r w:rsidR="00761CB9" w:rsidRPr="00E511C5">
              <w:rPr>
                <w:rStyle w:val="Hyperlink"/>
                <w:rFonts w:ascii="Times New Roman" w:hAnsi="Times New Roman" w:cs="Times New Roman"/>
                <w:b/>
                <w:noProof/>
                <w:sz w:val="24"/>
                <w:szCs w:val="24"/>
                <w:lang w:val="ro-RO"/>
              </w:rPr>
              <w:t>4.1</w:t>
            </w:r>
            <w:r w:rsidR="00761CB9" w:rsidRPr="00E511C5">
              <w:rPr>
                <w:rFonts w:ascii="Times New Roman" w:eastAsiaTheme="minorEastAsia" w:hAnsi="Times New Roman" w:cs="Times New Roman"/>
                <w:b/>
                <w:noProof/>
                <w:sz w:val="24"/>
                <w:szCs w:val="24"/>
                <w:lang w:val="en-US"/>
              </w:rPr>
              <w:tab/>
            </w:r>
            <w:r w:rsidR="00761CB9" w:rsidRPr="00E511C5">
              <w:rPr>
                <w:rStyle w:val="Hyperlink"/>
                <w:rFonts w:ascii="Times New Roman" w:hAnsi="Times New Roman" w:cs="Times New Roman"/>
                <w:b/>
                <w:noProof/>
                <w:sz w:val="24"/>
                <w:szCs w:val="24"/>
                <w:lang w:val="ro-RO"/>
              </w:rPr>
              <w:t xml:space="preserve">Obiectivul nr.1: </w:t>
            </w:r>
            <w:r w:rsidR="00761CB9" w:rsidRPr="00761CB9">
              <w:rPr>
                <w:rStyle w:val="Hyperlink"/>
                <w:rFonts w:ascii="Times New Roman" w:hAnsi="Times New Roman" w:cs="Times New Roman"/>
                <w:noProof/>
                <w:sz w:val="24"/>
                <w:szCs w:val="24"/>
                <w:lang w:val="ro-RO"/>
              </w:rPr>
              <w:t>Există un cadru normativ exhaustiv și transparent, dezvoltat prin acte interne suficiente la planificarea și executarea de către BNM a devizului de cheltuieli și alocațiilor pentru investiții?</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_Toc159413642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14</w:t>
            </w:r>
            <w:r w:rsidR="00761CB9" w:rsidRPr="00761CB9">
              <w:rPr>
                <w:rFonts w:ascii="Times New Roman" w:hAnsi="Times New Roman" w:cs="Times New Roman"/>
                <w:noProof/>
                <w:webHidden/>
                <w:sz w:val="24"/>
                <w:szCs w:val="24"/>
              </w:rPr>
              <w:fldChar w:fldCharType="end"/>
            </w:r>
          </w:hyperlink>
        </w:p>
        <w:p w14:paraId="0AEF51D0" w14:textId="613013CA" w:rsidR="00761CB9" w:rsidRPr="00761CB9" w:rsidRDefault="00D767FF">
          <w:pPr>
            <w:pStyle w:val="TOC2"/>
            <w:rPr>
              <w:rFonts w:ascii="Times New Roman" w:eastAsiaTheme="minorEastAsia" w:hAnsi="Times New Roman" w:cs="Times New Roman"/>
              <w:noProof/>
              <w:sz w:val="24"/>
              <w:szCs w:val="24"/>
              <w:lang w:val="en-US"/>
            </w:rPr>
          </w:pPr>
          <w:hyperlink w:anchor="_Toc159413643" w:history="1">
            <w:r w:rsidR="00761CB9" w:rsidRPr="00E511C5">
              <w:rPr>
                <w:rStyle w:val="Hyperlink"/>
                <w:rFonts w:ascii="Times New Roman" w:hAnsi="Times New Roman" w:cs="Times New Roman"/>
                <w:b/>
                <w:noProof/>
                <w:sz w:val="24"/>
                <w:szCs w:val="24"/>
                <w:lang w:val="ro-RO"/>
              </w:rPr>
              <w:t>4.2</w:t>
            </w:r>
            <w:r w:rsidR="00761CB9" w:rsidRPr="00E511C5">
              <w:rPr>
                <w:rFonts w:ascii="Times New Roman" w:eastAsiaTheme="minorEastAsia" w:hAnsi="Times New Roman" w:cs="Times New Roman"/>
                <w:b/>
                <w:noProof/>
                <w:sz w:val="24"/>
                <w:szCs w:val="24"/>
                <w:lang w:val="en-US"/>
              </w:rPr>
              <w:tab/>
            </w:r>
            <w:r w:rsidR="00761CB9" w:rsidRPr="00E511C5">
              <w:rPr>
                <w:rStyle w:val="Hyperlink"/>
                <w:rFonts w:ascii="Times New Roman" w:hAnsi="Times New Roman" w:cs="Times New Roman"/>
                <w:b/>
                <w:noProof/>
                <w:sz w:val="24"/>
                <w:szCs w:val="24"/>
                <w:lang w:val="ro-RO"/>
              </w:rPr>
              <w:t xml:space="preserve">Obiectivul nr.2: </w:t>
            </w:r>
            <w:r w:rsidR="00761CB9" w:rsidRPr="00761CB9">
              <w:rPr>
                <w:rStyle w:val="Hyperlink"/>
                <w:rFonts w:ascii="Times New Roman" w:hAnsi="Times New Roman" w:cs="Times New Roman"/>
                <w:noProof/>
                <w:sz w:val="24"/>
                <w:szCs w:val="24"/>
                <w:lang w:val="ro-RO"/>
              </w:rPr>
              <w:t>A asigurat BNM elaborarea și executarea devizelor de cheltuieli și alocațiilor pentru investiții conform cadrului normativ aplicabil?</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_Toc159413643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15</w:t>
            </w:r>
            <w:r w:rsidR="00761CB9" w:rsidRPr="00761CB9">
              <w:rPr>
                <w:rFonts w:ascii="Times New Roman" w:hAnsi="Times New Roman" w:cs="Times New Roman"/>
                <w:noProof/>
                <w:webHidden/>
                <w:sz w:val="24"/>
                <w:szCs w:val="24"/>
              </w:rPr>
              <w:fldChar w:fldCharType="end"/>
            </w:r>
          </w:hyperlink>
        </w:p>
        <w:p w14:paraId="1A224D04" w14:textId="58D35678" w:rsidR="00761CB9" w:rsidRPr="00761CB9" w:rsidRDefault="00D767FF">
          <w:pPr>
            <w:pStyle w:val="TOC2"/>
            <w:rPr>
              <w:rFonts w:ascii="Times New Roman" w:eastAsiaTheme="minorEastAsia" w:hAnsi="Times New Roman" w:cs="Times New Roman"/>
              <w:noProof/>
              <w:sz w:val="24"/>
              <w:szCs w:val="24"/>
              <w:lang w:val="en-US"/>
            </w:rPr>
          </w:pPr>
          <w:hyperlink w:anchor="_Toc159413644" w:history="1">
            <w:r w:rsidR="00761CB9" w:rsidRPr="00E511C5">
              <w:rPr>
                <w:rStyle w:val="Hyperlink"/>
                <w:rFonts w:ascii="Times New Roman" w:hAnsi="Times New Roman" w:cs="Times New Roman"/>
                <w:b/>
                <w:noProof/>
                <w:sz w:val="24"/>
                <w:szCs w:val="24"/>
                <w:lang w:val="ro-RO"/>
              </w:rPr>
              <w:t>4.3</w:t>
            </w:r>
            <w:r w:rsidR="00761CB9" w:rsidRPr="00E511C5">
              <w:rPr>
                <w:rFonts w:ascii="Times New Roman" w:eastAsiaTheme="minorEastAsia" w:hAnsi="Times New Roman" w:cs="Times New Roman"/>
                <w:b/>
                <w:noProof/>
                <w:sz w:val="24"/>
                <w:szCs w:val="24"/>
                <w:lang w:val="en-US"/>
              </w:rPr>
              <w:tab/>
            </w:r>
            <w:r w:rsidR="00761CB9" w:rsidRPr="00E511C5">
              <w:rPr>
                <w:rStyle w:val="Hyperlink"/>
                <w:rFonts w:ascii="Times New Roman" w:hAnsi="Times New Roman" w:cs="Times New Roman"/>
                <w:b/>
                <w:noProof/>
                <w:sz w:val="24"/>
                <w:szCs w:val="24"/>
                <w:lang w:val="ro-RO"/>
              </w:rPr>
              <w:t>Obiectivul nr.3:</w:t>
            </w:r>
            <w:r w:rsidR="00761CB9" w:rsidRPr="00761CB9">
              <w:rPr>
                <w:rStyle w:val="Hyperlink"/>
                <w:rFonts w:ascii="Times New Roman" w:hAnsi="Times New Roman" w:cs="Times New Roman"/>
                <w:noProof/>
                <w:sz w:val="24"/>
                <w:szCs w:val="24"/>
                <w:lang w:val="ro-RO"/>
              </w:rPr>
              <w:t xml:space="preserve"> Procedurile de achiziții publice de bunuri, lucrări și servicii au fost efectuate de către BNM în conformitate cu prevederile cadrului normativ aplicat?</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_Toc159413644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28</w:t>
            </w:r>
            <w:r w:rsidR="00761CB9" w:rsidRPr="00761CB9">
              <w:rPr>
                <w:rFonts w:ascii="Times New Roman" w:hAnsi="Times New Roman" w:cs="Times New Roman"/>
                <w:noProof/>
                <w:webHidden/>
                <w:sz w:val="24"/>
                <w:szCs w:val="24"/>
              </w:rPr>
              <w:fldChar w:fldCharType="end"/>
            </w:r>
          </w:hyperlink>
        </w:p>
        <w:p w14:paraId="30F14BA0" w14:textId="70715B6C" w:rsidR="00761CB9" w:rsidRPr="00761CB9" w:rsidRDefault="00D767FF">
          <w:pPr>
            <w:pStyle w:val="TOC2"/>
            <w:rPr>
              <w:rFonts w:ascii="Times New Roman" w:eastAsiaTheme="minorEastAsia" w:hAnsi="Times New Roman" w:cs="Times New Roman"/>
              <w:noProof/>
              <w:sz w:val="24"/>
              <w:szCs w:val="24"/>
              <w:lang w:val="en-US"/>
            </w:rPr>
          </w:pPr>
          <w:hyperlink w:anchor="_Toc159413645" w:history="1">
            <w:r w:rsidR="00761CB9" w:rsidRPr="00E511C5">
              <w:rPr>
                <w:rStyle w:val="Hyperlink"/>
                <w:rFonts w:ascii="Times New Roman" w:hAnsi="Times New Roman" w:cs="Times New Roman"/>
                <w:b/>
                <w:bCs/>
                <w:iCs/>
                <w:noProof/>
                <w:sz w:val="24"/>
                <w:szCs w:val="24"/>
                <w:lang w:val="ro-RO"/>
              </w:rPr>
              <w:t xml:space="preserve">4.4. </w:t>
            </w:r>
            <w:r w:rsidR="00761CB9" w:rsidRPr="00761CB9">
              <w:rPr>
                <w:rStyle w:val="Hyperlink"/>
                <w:rFonts w:ascii="Times New Roman" w:hAnsi="Times New Roman" w:cs="Times New Roman"/>
                <w:bCs/>
                <w:iCs/>
                <w:noProof/>
                <w:sz w:val="24"/>
                <w:szCs w:val="24"/>
                <w:lang w:val="ro-RO"/>
              </w:rPr>
              <w:t>În condițiile neatribuirii BNM a prevederilor Legii nr.229 din 23.09.2010, sistemul de control financiar intern în procesul de planificare și executare a devizelor de cheltuieli și a alocațiilor pentru investiții a fost organizat conform reglementărilor interne bazate pe managementul riscurilor, având potențial de îmbunătățire.</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_Toc159413645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33</w:t>
            </w:r>
            <w:r w:rsidR="00761CB9" w:rsidRPr="00761CB9">
              <w:rPr>
                <w:rFonts w:ascii="Times New Roman" w:hAnsi="Times New Roman" w:cs="Times New Roman"/>
                <w:noProof/>
                <w:webHidden/>
                <w:sz w:val="24"/>
                <w:szCs w:val="24"/>
              </w:rPr>
              <w:fldChar w:fldCharType="end"/>
            </w:r>
          </w:hyperlink>
        </w:p>
        <w:p w14:paraId="33EF034E" w14:textId="391B6F81" w:rsidR="00761CB9" w:rsidRPr="00761CB9" w:rsidRDefault="00D767FF">
          <w:pPr>
            <w:pStyle w:val="TOC2"/>
            <w:rPr>
              <w:rFonts w:ascii="Times New Roman" w:eastAsiaTheme="minorEastAsia" w:hAnsi="Times New Roman" w:cs="Times New Roman"/>
              <w:noProof/>
              <w:sz w:val="24"/>
              <w:szCs w:val="24"/>
              <w:lang w:val="en-US"/>
            </w:rPr>
          </w:pPr>
          <w:hyperlink w:anchor="_Toc159413646" w:history="1">
            <w:r w:rsidR="00761CB9" w:rsidRPr="00E511C5">
              <w:rPr>
                <w:rStyle w:val="Hyperlink"/>
                <w:rFonts w:ascii="Times New Roman" w:eastAsia="Calibri" w:hAnsi="Times New Roman" w:cs="Times New Roman"/>
                <w:b/>
                <w:noProof/>
                <w:sz w:val="24"/>
                <w:szCs w:val="24"/>
                <w:lang w:val="ro-RO"/>
              </w:rPr>
              <w:t>4.5</w:t>
            </w:r>
            <w:r w:rsidR="00761CB9" w:rsidRPr="00761CB9">
              <w:rPr>
                <w:rStyle w:val="Hyperlink"/>
                <w:rFonts w:ascii="Times New Roman" w:eastAsia="Calibri" w:hAnsi="Times New Roman" w:cs="Times New Roman"/>
                <w:noProof/>
                <w:sz w:val="24"/>
                <w:szCs w:val="24"/>
                <w:lang w:val="ro-RO"/>
              </w:rPr>
              <w:t xml:space="preserve"> Implementarea la nivel de 93,8% a recomandărilor din Hotărârea Curții de Conturi precedentă</w:t>
            </w:r>
            <w:r w:rsidR="00761CB9" w:rsidRPr="00761CB9">
              <w:rPr>
                <w:rFonts w:ascii="Times New Roman" w:hAnsi="Times New Roman" w:cs="Times New Roman"/>
                <w:noProof/>
                <w:webHidden/>
                <w:sz w:val="24"/>
                <w:szCs w:val="24"/>
              </w:rPr>
              <w:tab/>
            </w:r>
            <w:r w:rsidR="00761CB9" w:rsidRPr="00761CB9">
              <w:rPr>
                <w:rFonts w:ascii="Times New Roman" w:hAnsi="Times New Roman" w:cs="Times New Roman"/>
                <w:noProof/>
                <w:webHidden/>
                <w:sz w:val="24"/>
                <w:szCs w:val="24"/>
              </w:rPr>
              <w:fldChar w:fldCharType="begin"/>
            </w:r>
            <w:r w:rsidR="00761CB9" w:rsidRPr="00761CB9">
              <w:rPr>
                <w:rFonts w:ascii="Times New Roman" w:hAnsi="Times New Roman" w:cs="Times New Roman"/>
                <w:noProof/>
                <w:webHidden/>
                <w:sz w:val="24"/>
                <w:szCs w:val="24"/>
              </w:rPr>
              <w:instrText xml:space="preserve"> PAGEREF _Toc159413646 \h </w:instrText>
            </w:r>
            <w:r w:rsidR="00761CB9" w:rsidRPr="00761CB9">
              <w:rPr>
                <w:rFonts w:ascii="Times New Roman" w:hAnsi="Times New Roman" w:cs="Times New Roman"/>
                <w:noProof/>
                <w:webHidden/>
                <w:sz w:val="24"/>
                <w:szCs w:val="24"/>
              </w:rPr>
            </w:r>
            <w:r w:rsidR="00761CB9" w:rsidRPr="00761CB9">
              <w:rPr>
                <w:rFonts w:ascii="Times New Roman" w:hAnsi="Times New Roman" w:cs="Times New Roman"/>
                <w:noProof/>
                <w:webHidden/>
                <w:sz w:val="24"/>
                <w:szCs w:val="24"/>
              </w:rPr>
              <w:fldChar w:fldCharType="separate"/>
            </w:r>
            <w:r w:rsidR="00761CB9" w:rsidRPr="00761CB9">
              <w:rPr>
                <w:rFonts w:ascii="Times New Roman" w:hAnsi="Times New Roman" w:cs="Times New Roman"/>
                <w:noProof/>
                <w:webHidden/>
                <w:sz w:val="24"/>
                <w:szCs w:val="24"/>
              </w:rPr>
              <w:t>36</w:t>
            </w:r>
            <w:r w:rsidR="00761CB9" w:rsidRPr="00761CB9">
              <w:rPr>
                <w:rFonts w:ascii="Times New Roman" w:hAnsi="Times New Roman" w:cs="Times New Roman"/>
                <w:noProof/>
                <w:webHidden/>
                <w:sz w:val="24"/>
                <w:szCs w:val="24"/>
              </w:rPr>
              <w:fldChar w:fldCharType="end"/>
            </w:r>
          </w:hyperlink>
        </w:p>
        <w:p w14:paraId="735E9A6E" w14:textId="1B9A65D2" w:rsidR="00761CB9" w:rsidRPr="00761CB9" w:rsidRDefault="00D767FF" w:rsidP="006A2F81">
          <w:pPr>
            <w:pStyle w:val="TOC1"/>
            <w:rPr>
              <w:rFonts w:eastAsiaTheme="minorEastAsia"/>
              <w:noProof/>
              <w:lang w:val="en-US"/>
            </w:rPr>
          </w:pPr>
          <w:hyperlink w:anchor="_Toc159413647" w:history="1">
            <w:r w:rsidR="00761CB9" w:rsidRPr="00761CB9">
              <w:rPr>
                <w:rStyle w:val="Hyperlink"/>
                <w:rFonts w:ascii="Times New Roman" w:hAnsi="Times New Roman" w:cs="Times New Roman"/>
                <w:b/>
                <w:noProof/>
                <w:sz w:val="24"/>
                <w:szCs w:val="24"/>
                <w:lang w:val="ro-RO"/>
              </w:rPr>
              <w:t>V.</w:t>
            </w:r>
            <w:r w:rsidR="00761CB9" w:rsidRPr="00761CB9">
              <w:rPr>
                <w:rFonts w:eastAsiaTheme="minorEastAsia"/>
                <w:noProof/>
                <w:lang w:val="en-US"/>
              </w:rPr>
              <w:tab/>
            </w:r>
            <w:r w:rsidR="00761CB9" w:rsidRPr="00761CB9">
              <w:rPr>
                <w:rStyle w:val="Hyperlink"/>
                <w:rFonts w:ascii="Times New Roman" w:eastAsia="Calibri" w:hAnsi="Times New Roman" w:cs="Times New Roman"/>
                <w:b/>
                <w:noProof/>
                <w:sz w:val="24"/>
                <w:szCs w:val="24"/>
                <w:lang w:val="ro-RO"/>
              </w:rPr>
              <w:t>CONCLUZIA GENERALĂ</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_Toc159413647 \h </w:instrText>
            </w:r>
            <w:r w:rsidR="00761CB9" w:rsidRPr="00761CB9">
              <w:rPr>
                <w:noProof/>
                <w:webHidden/>
              </w:rPr>
            </w:r>
            <w:r w:rsidR="00761CB9" w:rsidRPr="00761CB9">
              <w:rPr>
                <w:noProof/>
                <w:webHidden/>
              </w:rPr>
              <w:fldChar w:fldCharType="separate"/>
            </w:r>
            <w:r w:rsidR="00761CB9" w:rsidRPr="00761CB9">
              <w:rPr>
                <w:noProof/>
                <w:webHidden/>
              </w:rPr>
              <w:t>36</w:t>
            </w:r>
            <w:r w:rsidR="00761CB9" w:rsidRPr="00761CB9">
              <w:rPr>
                <w:noProof/>
                <w:webHidden/>
              </w:rPr>
              <w:fldChar w:fldCharType="end"/>
            </w:r>
          </w:hyperlink>
        </w:p>
        <w:p w14:paraId="0F5758AA" w14:textId="79EEB84B" w:rsidR="00761CB9" w:rsidRPr="00761CB9" w:rsidRDefault="00D767FF" w:rsidP="006A2F81">
          <w:pPr>
            <w:pStyle w:val="TOC1"/>
            <w:rPr>
              <w:rFonts w:eastAsiaTheme="minorEastAsia"/>
              <w:noProof/>
              <w:lang w:val="en-US"/>
            </w:rPr>
          </w:pPr>
          <w:hyperlink w:anchor="_Toc159413648" w:history="1">
            <w:r w:rsidR="00761CB9" w:rsidRPr="00761CB9">
              <w:rPr>
                <w:rStyle w:val="Hyperlink"/>
                <w:rFonts w:ascii="Times New Roman" w:hAnsi="Times New Roman" w:cs="Times New Roman"/>
                <w:b/>
                <w:noProof/>
                <w:sz w:val="24"/>
                <w:szCs w:val="24"/>
                <w:lang w:val="ro-RO"/>
              </w:rPr>
              <w:t>VI.</w:t>
            </w:r>
            <w:r w:rsidR="00761CB9" w:rsidRPr="00761CB9">
              <w:rPr>
                <w:rFonts w:eastAsiaTheme="minorEastAsia"/>
                <w:noProof/>
                <w:lang w:val="en-US"/>
              </w:rPr>
              <w:tab/>
            </w:r>
            <w:r w:rsidR="00761CB9" w:rsidRPr="00761CB9">
              <w:rPr>
                <w:rStyle w:val="Hyperlink"/>
                <w:rFonts w:ascii="Times New Roman" w:hAnsi="Times New Roman" w:cs="Times New Roman"/>
                <w:b/>
                <w:noProof/>
                <w:sz w:val="24"/>
                <w:szCs w:val="24"/>
                <w:lang w:val="ro-RO"/>
              </w:rPr>
              <w:t>RECOMANDĂRI BNM</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_Toc159413648 \h </w:instrText>
            </w:r>
            <w:r w:rsidR="00761CB9" w:rsidRPr="00761CB9">
              <w:rPr>
                <w:noProof/>
                <w:webHidden/>
              </w:rPr>
            </w:r>
            <w:r w:rsidR="00761CB9" w:rsidRPr="00761CB9">
              <w:rPr>
                <w:noProof/>
                <w:webHidden/>
              </w:rPr>
              <w:fldChar w:fldCharType="separate"/>
            </w:r>
            <w:r w:rsidR="00761CB9" w:rsidRPr="00761CB9">
              <w:rPr>
                <w:noProof/>
                <w:webHidden/>
              </w:rPr>
              <w:t>38</w:t>
            </w:r>
            <w:r w:rsidR="00761CB9" w:rsidRPr="00761CB9">
              <w:rPr>
                <w:noProof/>
                <w:webHidden/>
              </w:rPr>
              <w:fldChar w:fldCharType="end"/>
            </w:r>
          </w:hyperlink>
        </w:p>
        <w:p w14:paraId="24F1180C" w14:textId="31107C49" w:rsidR="00761CB9" w:rsidRPr="00761CB9" w:rsidRDefault="00D767FF" w:rsidP="006A2F81">
          <w:pPr>
            <w:pStyle w:val="TOC1"/>
            <w:rPr>
              <w:rFonts w:eastAsiaTheme="minorEastAsia"/>
              <w:noProof/>
              <w:lang w:val="en-US"/>
            </w:rPr>
          </w:pPr>
          <w:hyperlink w:anchor="_Toc159413649" w:history="1">
            <w:r w:rsidR="00761CB9" w:rsidRPr="00761CB9">
              <w:rPr>
                <w:rStyle w:val="Hyperlink"/>
                <w:rFonts w:ascii="Times New Roman" w:hAnsi="Times New Roman" w:cs="Times New Roman"/>
                <w:b/>
                <w:noProof/>
                <w:sz w:val="24"/>
                <w:szCs w:val="24"/>
                <w:lang w:val="ro-RO"/>
              </w:rPr>
              <w:t>VII.</w:t>
            </w:r>
            <w:r w:rsidR="00761CB9" w:rsidRPr="00761CB9">
              <w:rPr>
                <w:rFonts w:eastAsiaTheme="minorEastAsia"/>
                <w:noProof/>
                <w:lang w:val="en-US"/>
              </w:rPr>
              <w:tab/>
            </w:r>
            <w:r w:rsidR="00761CB9" w:rsidRPr="00761CB9">
              <w:rPr>
                <w:rStyle w:val="Hyperlink"/>
                <w:rFonts w:ascii="Times New Roman" w:hAnsi="Times New Roman" w:cs="Times New Roman"/>
                <w:b/>
                <w:noProof/>
                <w:sz w:val="24"/>
                <w:szCs w:val="24"/>
                <w:lang w:val="ro-RO"/>
              </w:rPr>
              <w:t>ANEXE</w:t>
            </w:r>
            <w:r w:rsidR="00761CB9" w:rsidRPr="00761CB9">
              <w:rPr>
                <w:noProof/>
                <w:webHidden/>
              </w:rPr>
              <w:tab/>
            </w:r>
            <w:r w:rsidR="00761CB9" w:rsidRPr="00761CB9">
              <w:rPr>
                <w:noProof/>
                <w:webHidden/>
              </w:rPr>
              <w:fldChar w:fldCharType="begin"/>
            </w:r>
            <w:r w:rsidR="00761CB9" w:rsidRPr="00761CB9">
              <w:rPr>
                <w:noProof/>
                <w:webHidden/>
              </w:rPr>
              <w:instrText xml:space="preserve"> PAGEREF _Toc159413649 \h </w:instrText>
            </w:r>
            <w:r w:rsidR="00761CB9" w:rsidRPr="00761CB9">
              <w:rPr>
                <w:noProof/>
                <w:webHidden/>
              </w:rPr>
            </w:r>
            <w:r w:rsidR="00761CB9" w:rsidRPr="00761CB9">
              <w:rPr>
                <w:noProof/>
                <w:webHidden/>
              </w:rPr>
              <w:fldChar w:fldCharType="separate"/>
            </w:r>
            <w:r w:rsidR="00761CB9" w:rsidRPr="00761CB9">
              <w:rPr>
                <w:noProof/>
                <w:webHidden/>
              </w:rPr>
              <w:t>39</w:t>
            </w:r>
            <w:r w:rsidR="00761CB9" w:rsidRPr="00761CB9">
              <w:rPr>
                <w:noProof/>
                <w:webHidden/>
              </w:rPr>
              <w:fldChar w:fldCharType="end"/>
            </w:r>
          </w:hyperlink>
        </w:p>
        <w:p w14:paraId="30929B4E" w14:textId="0F70D535" w:rsidR="0046568C" w:rsidRPr="00650D66" w:rsidRDefault="0046568C" w:rsidP="006767BE">
          <w:pPr>
            <w:rPr>
              <w:lang w:val="ro-RO"/>
            </w:rPr>
          </w:pPr>
          <w:r w:rsidRPr="000468BE">
            <w:rPr>
              <w:b/>
              <w:bCs/>
              <w:noProof/>
              <w:sz w:val="20"/>
              <w:szCs w:val="20"/>
              <w:lang w:val="ro-RO"/>
            </w:rPr>
            <w:fldChar w:fldCharType="end"/>
          </w:r>
        </w:p>
      </w:sdtContent>
    </w:sdt>
    <w:p w14:paraId="572367D6" w14:textId="7FF71C56" w:rsidR="006767BE" w:rsidRPr="006767BE" w:rsidRDefault="006767BE" w:rsidP="006767BE">
      <w:pPr>
        <w:rPr>
          <w:lang w:val="ro-RO"/>
        </w:rPr>
      </w:pPr>
    </w:p>
    <w:p w14:paraId="5EE71897" w14:textId="59970310" w:rsidR="006767BE" w:rsidRPr="006767BE" w:rsidRDefault="003F2C9C" w:rsidP="006767BE">
      <w:pPr>
        <w:pStyle w:val="Heading1"/>
        <w:rPr>
          <w:rFonts w:ascii="Times New Roman" w:hAnsi="Times New Roman" w:cs="Times New Roman"/>
          <w:b/>
          <w:sz w:val="28"/>
          <w:szCs w:val="28"/>
          <w:lang w:val="ro-RO"/>
        </w:rPr>
      </w:pPr>
      <w:bookmarkStart w:id="0" w:name="_Toc159413627"/>
      <w:r w:rsidRPr="00650D66">
        <w:rPr>
          <w:rFonts w:ascii="Times New Roman" w:hAnsi="Times New Roman" w:cs="Times New Roman"/>
          <w:b/>
          <w:sz w:val="28"/>
          <w:szCs w:val="28"/>
          <w:lang w:val="ro-RO"/>
        </w:rPr>
        <w:lastRenderedPageBreak/>
        <w:t>Lista acronimelor</w:t>
      </w:r>
      <w:bookmarkEnd w:id="0"/>
    </w:p>
    <w:tbl>
      <w:tblPr>
        <w:tblStyle w:val="GridTable1Light"/>
        <w:tblW w:w="0" w:type="auto"/>
        <w:tblLook w:val="04A0" w:firstRow="1" w:lastRow="0" w:firstColumn="1" w:lastColumn="0" w:noHBand="0" w:noVBand="1"/>
      </w:tblPr>
      <w:tblGrid>
        <w:gridCol w:w="1323"/>
        <w:gridCol w:w="7229"/>
      </w:tblGrid>
      <w:tr w:rsidR="003F5564" w:rsidRPr="00650D66" w14:paraId="4184A4B9" w14:textId="77777777" w:rsidTr="003523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1C3262F4" w14:textId="77777777" w:rsidR="003F5564" w:rsidRPr="00650D66" w:rsidRDefault="003F5564" w:rsidP="003F5564">
            <w:pPr>
              <w:spacing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Acronimul</w:t>
            </w:r>
          </w:p>
        </w:tc>
        <w:tc>
          <w:tcPr>
            <w:tcW w:w="7229" w:type="dxa"/>
          </w:tcPr>
          <w:p w14:paraId="540AE875" w14:textId="77777777" w:rsidR="003F5564" w:rsidRPr="00650D66" w:rsidRDefault="003F5564" w:rsidP="003F5564">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Termenul abreviat</w:t>
            </w:r>
          </w:p>
        </w:tc>
      </w:tr>
      <w:tr w:rsidR="003F5564" w:rsidRPr="00650D66" w14:paraId="5205D01C"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18B02D58" w14:textId="77777777" w:rsidR="003F5564" w:rsidRPr="00650D66" w:rsidRDefault="007819EE"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APC</w:t>
            </w:r>
          </w:p>
        </w:tc>
        <w:tc>
          <w:tcPr>
            <w:tcW w:w="7229" w:type="dxa"/>
          </w:tcPr>
          <w:p w14:paraId="39C83E2B" w14:textId="77777777" w:rsidR="003F5564" w:rsidRPr="00650D66" w:rsidRDefault="007819EE" w:rsidP="003F556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Autorități publice centrale</w:t>
            </w:r>
          </w:p>
        </w:tc>
      </w:tr>
      <w:tr w:rsidR="00653B6C" w:rsidRPr="00650D66" w14:paraId="6CD2DF41"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440DAFDE" w14:textId="77777777" w:rsidR="00653B6C" w:rsidRPr="00650D66" w:rsidRDefault="00653B6C"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ANSC</w:t>
            </w:r>
          </w:p>
        </w:tc>
        <w:tc>
          <w:tcPr>
            <w:tcW w:w="7229" w:type="dxa"/>
          </w:tcPr>
          <w:p w14:paraId="5C20AE7D" w14:textId="77777777" w:rsidR="00653B6C" w:rsidRPr="00650D66" w:rsidRDefault="00653B6C" w:rsidP="003F556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Agenția Națională pentru Soluționarea Contestațiilor</w:t>
            </w:r>
          </w:p>
        </w:tc>
      </w:tr>
      <w:tr w:rsidR="007819EE" w:rsidRPr="00650D66" w14:paraId="1B6FB9F0"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70CBA564" w14:textId="77777777" w:rsidR="007819EE" w:rsidRPr="00650D66" w:rsidRDefault="007819EE"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BNM</w:t>
            </w:r>
          </w:p>
        </w:tc>
        <w:tc>
          <w:tcPr>
            <w:tcW w:w="7229" w:type="dxa"/>
          </w:tcPr>
          <w:p w14:paraId="4F94D301" w14:textId="77777777" w:rsidR="007819EE" w:rsidRPr="00650D66" w:rsidRDefault="007819EE" w:rsidP="007819E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Banca Națională a Moldovei</w:t>
            </w:r>
          </w:p>
        </w:tc>
      </w:tr>
      <w:tr w:rsidR="00BB6323" w:rsidRPr="00650D66" w14:paraId="125E724F"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283CE73C" w14:textId="77777777" w:rsidR="00BB6323" w:rsidRPr="00650D66" w:rsidRDefault="00BB6323"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CA</w:t>
            </w:r>
          </w:p>
        </w:tc>
        <w:tc>
          <w:tcPr>
            <w:tcW w:w="7229" w:type="dxa"/>
          </w:tcPr>
          <w:p w14:paraId="437FA15E" w14:textId="77777777" w:rsidR="00BB6323" w:rsidRPr="00650D66" w:rsidRDefault="00BB6323" w:rsidP="007819E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Comitetul de audit</w:t>
            </w:r>
          </w:p>
        </w:tc>
      </w:tr>
      <w:tr w:rsidR="00920F7B" w:rsidRPr="00650D66" w14:paraId="11DC42F1"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4C540E66" w14:textId="77777777" w:rsidR="00920F7B" w:rsidRPr="00650D66" w:rsidRDefault="00920F7B"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CE</w:t>
            </w:r>
          </w:p>
        </w:tc>
        <w:tc>
          <w:tcPr>
            <w:tcW w:w="7229" w:type="dxa"/>
          </w:tcPr>
          <w:p w14:paraId="4FB946C1" w14:textId="456018A8" w:rsidR="00920F7B" w:rsidRPr="00650D66" w:rsidRDefault="00920F7B" w:rsidP="0090213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 xml:space="preserve">Comitetul </w:t>
            </w:r>
            <w:r w:rsidR="0090213E">
              <w:rPr>
                <w:rFonts w:ascii="Times New Roman" w:eastAsia="Times New Roman" w:hAnsi="Times New Roman" w:cs="Times New Roman"/>
                <w:sz w:val="24"/>
                <w:szCs w:val="24"/>
                <w:lang w:val="ro-RO"/>
              </w:rPr>
              <w:t>e</w:t>
            </w:r>
            <w:r w:rsidRPr="00650D66">
              <w:rPr>
                <w:rFonts w:ascii="Times New Roman" w:eastAsia="Times New Roman" w:hAnsi="Times New Roman" w:cs="Times New Roman"/>
                <w:sz w:val="24"/>
                <w:szCs w:val="24"/>
                <w:lang w:val="ro-RO"/>
              </w:rPr>
              <w:t>xecutiv</w:t>
            </w:r>
          </w:p>
        </w:tc>
      </w:tr>
      <w:tr w:rsidR="00AB6DEB" w:rsidRPr="00650D66" w14:paraId="0DCB87EC"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4A00CF72" w14:textId="77777777" w:rsidR="00AB6DEB" w:rsidRPr="00650D66" w:rsidRDefault="00AB6DEB"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CS</w:t>
            </w:r>
          </w:p>
        </w:tc>
        <w:tc>
          <w:tcPr>
            <w:tcW w:w="7229" w:type="dxa"/>
          </w:tcPr>
          <w:p w14:paraId="1C233596" w14:textId="77777777" w:rsidR="00AB6DEB" w:rsidRPr="00650D66" w:rsidRDefault="00AB6DEB" w:rsidP="007819E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Consiliul de supraveghere</w:t>
            </w:r>
          </w:p>
        </w:tc>
      </w:tr>
      <w:tr w:rsidR="00173425" w:rsidRPr="00650D66" w14:paraId="6A8479F6"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542A26B3" w14:textId="77777777" w:rsidR="00173425" w:rsidRPr="00650D66" w:rsidRDefault="00173425"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COP</w:t>
            </w:r>
          </w:p>
        </w:tc>
        <w:tc>
          <w:tcPr>
            <w:tcW w:w="7229" w:type="dxa"/>
          </w:tcPr>
          <w:p w14:paraId="701B832E" w14:textId="77777777" w:rsidR="00173425" w:rsidRPr="00650D66" w:rsidRDefault="00DC6AD8" w:rsidP="007819E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Cererea ofertelor de prețuri</w:t>
            </w:r>
          </w:p>
        </w:tc>
      </w:tr>
      <w:tr w:rsidR="00173425" w:rsidRPr="00650D66" w14:paraId="1DF6BBCB"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7747D51D" w14:textId="77777777" w:rsidR="00173425" w:rsidRPr="00650D66" w:rsidRDefault="00173425"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DAI</w:t>
            </w:r>
          </w:p>
        </w:tc>
        <w:tc>
          <w:tcPr>
            <w:tcW w:w="7229" w:type="dxa"/>
          </w:tcPr>
          <w:p w14:paraId="19C7B851" w14:textId="77777777" w:rsidR="00173425" w:rsidRPr="00650D66" w:rsidRDefault="00173425" w:rsidP="0017342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Departamentul de audit intern</w:t>
            </w:r>
          </w:p>
        </w:tc>
      </w:tr>
      <w:tr w:rsidR="00AE5E9D" w:rsidRPr="00650D66" w14:paraId="584E00FD"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1D8F0F59" w14:textId="77777777" w:rsidR="00AE5E9D" w:rsidRPr="00650D66" w:rsidRDefault="00653B6C"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DSORU</w:t>
            </w:r>
          </w:p>
        </w:tc>
        <w:tc>
          <w:tcPr>
            <w:tcW w:w="7229" w:type="dxa"/>
          </w:tcPr>
          <w:p w14:paraId="144C9071" w14:textId="77777777" w:rsidR="00AE5E9D" w:rsidRPr="00650D66" w:rsidRDefault="00653B6C" w:rsidP="0017342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Departamentul strategie, organizare și resurse umane</w:t>
            </w:r>
          </w:p>
        </w:tc>
      </w:tr>
      <w:tr w:rsidR="00173425" w:rsidRPr="00650D66" w14:paraId="2AF9E75F"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4388BDC1" w14:textId="77777777" w:rsidR="00173425" w:rsidRPr="00650D66" w:rsidRDefault="00173425" w:rsidP="001130CE">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HG</w:t>
            </w:r>
          </w:p>
        </w:tc>
        <w:tc>
          <w:tcPr>
            <w:tcW w:w="7229" w:type="dxa"/>
          </w:tcPr>
          <w:p w14:paraId="6FE478C4" w14:textId="77777777" w:rsidR="00173425" w:rsidRPr="00650D66" w:rsidRDefault="00173425" w:rsidP="0017342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Hotărârea Guvernului</w:t>
            </w:r>
          </w:p>
        </w:tc>
      </w:tr>
      <w:tr w:rsidR="0035233D" w:rsidRPr="00650D66" w14:paraId="6D8BAF21"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502DFE34" w14:textId="77777777" w:rsidR="0035233D" w:rsidRPr="00650D66" w:rsidRDefault="0035233D" w:rsidP="0035233D">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IFRS</w:t>
            </w:r>
          </w:p>
        </w:tc>
        <w:tc>
          <w:tcPr>
            <w:tcW w:w="7229" w:type="dxa"/>
          </w:tcPr>
          <w:p w14:paraId="0F7DF0CD" w14:textId="77777777" w:rsidR="0035233D" w:rsidRPr="00650D66" w:rsidRDefault="0035233D" w:rsidP="0035233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Standardele Internaționale de Raportare Financiară</w:t>
            </w:r>
          </w:p>
        </w:tc>
      </w:tr>
      <w:tr w:rsidR="0035233D" w:rsidRPr="00650D66" w14:paraId="455C12FF"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22CA69D8" w14:textId="77777777" w:rsidR="0035233D" w:rsidRPr="00650D66" w:rsidRDefault="0035233D" w:rsidP="0035233D">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NFP</w:t>
            </w:r>
          </w:p>
        </w:tc>
        <w:tc>
          <w:tcPr>
            <w:tcW w:w="7229" w:type="dxa"/>
          </w:tcPr>
          <w:p w14:paraId="4A4B49D3" w14:textId="77777777" w:rsidR="0035233D" w:rsidRPr="00650D66" w:rsidRDefault="0035233D" w:rsidP="0035233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Negociere fără publicare</w:t>
            </w:r>
          </w:p>
        </w:tc>
      </w:tr>
      <w:tr w:rsidR="0035233D" w:rsidRPr="00650D66" w14:paraId="186B8942"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78519753" w14:textId="77777777" w:rsidR="0035233D" w:rsidRPr="00650D66" w:rsidRDefault="0035233D" w:rsidP="0035233D">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LD</w:t>
            </w:r>
          </w:p>
        </w:tc>
        <w:tc>
          <w:tcPr>
            <w:tcW w:w="7229" w:type="dxa"/>
          </w:tcPr>
          <w:p w14:paraId="6D27516C" w14:textId="77777777" w:rsidR="0035233D" w:rsidRPr="00650D66" w:rsidRDefault="0035233D" w:rsidP="0035233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Licitație deschisă</w:t>
            </w:r>
          </w:p>
        </w:tc>
      </w:tr>
      <w:tr w:rsidR="0035233D" w:rsidRPr="00650D66" w14:paraId="34C4FFEC" w14:textId="77777777" w:rsidTr="0035233D">
        <w:tc>
          <w:tcPr>
            <w:cnfStyle w:val="001000000000" w:firstRow="0" w:lastRow="0" w:firstColumn="1" w:lastColumn="0" w:oddVBand="0" w:evenVBand="0" w:oddHBand="0" w:evenHBand="0" w:firstRowFirstColumn="0" w:firstRowLastColumn="0" w:lastRowFirstColumn="0" w:lastRowLastColumn="0"/>
            <w:tcW w:w="1323" w:type="dxa"/>
            <w:vAlign w:val="center"/>
          </w:tcPr>
          <w:p w14:paraId="707D678A" w14:textId="77777777" w:rsidR="0035233D" w:rsidRPr="00650D66" w:rsidRDefault="0035233D" w:rsidP="0035233D">
            <w:pPr>
              <w:spacing w:line="276" w:lineRule="auto"/>
              <w:jc w:val="center"/>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SI</w:t>
            </w:r>
          </w:p>
        </w:tc>
        <w:tc>
          <w:tcPr>
            <w:tcW w:w="7229" w:type="dxa"/>
          </w:tcPr>
          <w:p w14:paraId="15FA0CAD" w14:textId="77777777" w:rsidR="0035233D" w:rsidRPr="00650D66" w:rsidRDefault="0035233D" w:rsidP="0035233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Sistem informațional</w:t>
            </w:r>
          </w:p>
        </w:tc>
      </w:tr>
    </w:tbl>
    <w:p w14:paraId="049AC79F" w14:textId="77777777" w:rsidR="003F2C9C" w:rsidRPr="00650D66" w:rsidRDefault="003F2C9C">
      <w:pPr>
        <w:rPr>
          <w:rFonts w:ascii="Times New Roman" w:hAnsi="Times New Roman" w:cs="Times New Roman"/>
          <w:lang w:val="ro-RO"/>
        </w:rPr>
      </w:pPr>
    </w:p>
    <w:p w14:paraId="40E8CBCB" w14:textId="77777777" w:rsidR="003F2C9C" w:rsidRPr="00650D66" w:rsidRDefault="003F2C9C" w:rsidP="00DC7098">
      <w:pPr>
        <w:pStyle w:val="Heading1"/>
        <w:rPr>
          <w:rFonts w:ascii="Times New Roman" w:hAnsi="Times New Roman" w:cs="Times New Roman"/>
          <w:b/>
          <w:sz w:val="28"/>
          <w:szCs w:val="28"/>
          <w:lang w:val="ro-RO"/>
        </w:rPr>
      </w:pPr>
      <w:bookmarkStart w:id="1" w:name="_Toc159413628"/>
      <w:r w:rsidRPr="00650D66">
        <w:rPr>
          <w:rFonts w:ascii="Times New Roman" w:hAnsi="Times New Roman" w:cs="Times New Roman"/>
          <w:b/>
          <w:sz w:val="28"/>
          <w:szCs w:val="28"/>
          <w:lang w:val="ro-RO"/>
        </w:rPr>
        <w:t>Glosar</w:t>
      </w:r>
      <w:bookmarkEnd w:id="1"/>
    </w:p>
    <w:p w14:paraId="3DDF0AF4" w14:textId="129EB67B" w:rsidR="00F404CB" w:rsidRPr="00650D66" w:rsidRDefault="00F404CB" w:rsidP="007C72F8">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b/>
          <w:sz w:val="24"/>
          <w:szCs w:val="24"/>
          <w:lang w:val="ro-RO"/>
        </w:rPr>
        <w:t>Deviz de cheltuieli –</w:t>
      </w:r>
      <w:r w:rsidRPr="00650D66">
        <w:rPr>
          <w:rFonts w:ascii="Times New Roman" w:eastAsia="Times New Roman" w:hAnsi="Times New Roman" w:cs="Times New Roman"/>
          <w:sz w:val="24"/>
          <w:szCs w:val="24"/>
          <w:lang w:val="ro-RO"/>
        </w:rPr>
        <w:t xml:space="preserve"> previziune detaliată a cheltuielilor administrative pe o perioadă determinată de timp și care servește ca instrument esențial pentru gestionarea activității operaționale și de întreținere a băncii.</w:t>
      </w:r>
    </w:p>
    <w:p w14:paraId="30B4152C" w14:textId="77777777" w:rsidR="00E25FCB" w:rsidRPr="00650D66" w:rsidRDefault="00E25FCB" w:rsidP="00E25FCB">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b/>
          <w:sz w:val="24"/>
          <w:szCs w:val="24"/>
          <w:lang w:val="ro-RO"/>
        </w:rPr>
        <w:t>Cheltuieli administrative –</w:t>
      </w:r>
      <w:r w:rsidRPr="00650D66">
        <w:rPr>
          <w:rFonts w:ascii="Times New Roman" w:eastAsia="Times New Roman" w:hAnsi="Times New Roman" w:cs="Times New Roman"/>
          <w:sz w:val="24"/>
          <w:szCs w:val="24"/>
          <w:lang w:val="ro-RO"/>
        </w:rPr>
        <w:t xml:space="preserve"> totalitatea cheltuielilor ce țin de activitatea operațională și de întreținere a băncii.</w:t>
      </w:r>
    </w:p>
    <w:p w14:paraId="079D0D5B" w14:textId="77777777" w:rsidR="0009313F" w:rsidRPr="00650D66" w:rsidRDefault="000A7901" w:rsidP="007C72F8">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b/>
          <w:sz w:val="24"/>
          <w:szCs w:val="24"/>
          <w:lang w:val="ro-RO"/>
        </w:rPr>
        <w:t xml:space="preserve">Alocații pentru investiții – </w:t>
      </w:r>
      <w:r w:rsidRPr="00650D66">
        <w:rPr>
          <w:rFonts w:ascii="Times New Roman" w:eastAsia="Times New Roman" w:hAnsi="Times New Roman" w:cs="Times New Roman"/>
          <w:sz w:val="24"/>
          <w:szCs w:val="24"/>
          <w:lang w:val="ro-RO"/>
        </w:rPr>
        <w:t>limita maximă a mijloacelor financiare planificate de a fi alocate în scopul achiziționării și modernizării imobilizărilor corporale și necorporale, precum și în scopul achiziționării unor bunuri, servicii sau lucrări a</w:t>
      </w:r>
      <w:r w:rsidR="009327E8">
        <w:rPr>
          <w:rFonts w:ascii="Times New Roman" w:eastAsia="Times New Roman" w:hAnsi="Times New Roman" w:cs="Times New Roman"/>
          <w:sz w:val="24"/>
          <w:szCs w:val="24"/>
          <w:lang w:val="ro-RO"/>
        </w:rPr>
        <w:t>le</w:t>
      </w:r>
      <w:r w:rsidRPr="00650D66">
        <w:rPr>
          <w:rFonts w:ascii="Times New Roman" w:eastAsia="Times New Roman" w:hAnsi="Times New Roman" w:cs="Times New Roman"/>
          <w:sz w:val="24"/>
          <w:szCs w:val="24"/>
          <w:lang w:val="ro-RO"/>
        </w:rPr>
        <w:t xml:space="preserve"> căror termen de utilizare/prestare/efectuare este mai mare </w:t>
      </w:r>
      <w:r w:rsidR="00F21558" w:rsidRPr="00650D66">
        <w:rPr>
          <w:rFonts w:ascii="Times New Roman" w:eastAsia="Times New Roman" w:hAnsi="Times New Roman" w:cs="Times New Roman"/>
          <w:sz w:val="24"/>
          <w:szCs w:val="24"/>
          <w:lang w:val="ro-RO"/>
        </w:rPr>
        <w:t>decât</w:t>
      </w:r>
      <w:r w:rsidRPr="00650D66">
        <w:rPr>
          <w:rFonts w:ascii="Times New Roman" w:eastAsia="Times New Roman" w:hAnsi="Times New Roman" w:cs="Times New Roman"/>
          <w:sz w:val="24"/>
          <w:szCs w:val="24"/>
          <w:lang w:val="ro-RO"/>
        </w:rPr>
        <w:t xml:space="preserve"> anul gestionar.</w:t>
      </w:r>
    </w:p>
    <w:p w14:paraId="7F66E985" w14:textId="0D14E073" w:rsidR="004E0899" w:rsidRDefault="00BE73E5" w:rsidP="007C72F8">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b/>
          <w:sz w:val="24"/>
          <w:szCs w:val="24"/>
          <w:lang w:val="ro-RO"/>
        </w:rPr>
        <w:t>Investiții capitale –</w:t>
      </w:r>
      <w:r w:rsidRPr="00650D66">
        <w:rPr>
          <w:rFonts w:ascii="Times New Roman" w:eastAsia="Times New Roman" w:hAnsi="Times New Roman" w:cs="Times New Roman"/>
          <w:sz w:val="24"/>
          <w:szCs w:val="24"/>
          <w:lang w:val="ro-RO"/>
        </w:rPr>
        <w:t xml:space="preserve"> mijloace financiare utilizate în scopul achiziționării și modernizării imobilizărilor corporale și necorporale.</w:t>
      </w:r>
    </w:p>
    <w:p w14:paraId="74F3607C" w14:textId="77777777" w:rsidR="00590002" w:rsidRPr="00650D66" w:rsidRDefault="00590002" w:rsidP="007C72F8">
      <w:pPr>
        <w:spacing w:after="0" w:line="276" w:lineRule="auto"/>
        <w:jc w:val="both"/>
        <w:rPr>
          <w:rFonts w:ascii="Times New Roman" w:eastAsia="Times New Roman" w:hAnsi="Times New Roman" w:cs="Times New Roman"/>
          <w:sz w:val="24"/>
          <w:szCs w:val="24"/>
          <w:lang w:val="ro-RO"/>
        </w:rPr>
      </w:pPr>
    </w:p>
    <w:p w14:paraId="2A1992EC" w14:textId="77777777" w:rsidR="00B72348" w:rsidRPr="001E5C84" w:rsidRDefault="00694952" w:rsidP="00B72348">
      <w:pPr>
        <w:spacing w:after="0" w:line="276" w:lineRule="auto"/>
        <w:jc w:val="both"/>
        <w:rPr>
          <w:rFonts w:ascii="Times New Roman" w:eastAsia="Times New Roman" w:hAnsi="Times New Roman" w:cs="Times New Roman"/>
          <w:b/>
          <w:i/>
          <w:sz w:val="24"/>
          <w:szCs w:val="24"/>
          <w:lang w:val="ro-RO"/>
        </w:rPr>
      </w:pPr>
      <w:r w:rsidRPr="001E5C84">
        <w:rPr>
          <w:rFonts w:ascii="Times New Roman" w:eastAsia="Times New Roman" w:hAnsi="Times New Roman" w:cs="Times New Roman"/>
          <w:b/>
          <w:i/>
          <w:sz w:val="24"/>
          <w:szCs w:val="24"/>
          <w:lang w:val="ro-RO"/>
        </w:rPr>
        <w:t>Noțiuni preluate din Regulamentul privind elaborarea și executarea devizului de cheltuieli și alocațiilor pentru investiții ale Băncii Naționale a Moldovei, aprobat prin Hotărârea Consiliului de supraveghere al Băncii Naționale a Moldovei nr.5 din 23.12.2015.</w:t>
      </w:r>
    </w:p>
    <w:p w14:paraId="32262819" w14:textId="0AFC8343" w:rsidR="00343FB5" w:rsidRDefault="00343FB5" w:rsidP="00B72348">
      <w:pPr>
        <w:spacing w:after="0" w:line="276" w:lineRule="auto"/>
        <w:jc w:val="both"/>
        <w:rPr>
          <w:rFonts w:ascii="Times New Roman" w:eastAsia="Times New Roman" w:hAnsi="Times New Roman" w:cs="Times New Roman"/>
          <w:b/>
          <w:sz w:val="24"/>
          <w:szCs w:val="24"/>
          <w:lang w:val="ro-RO"/>
        </w:rPr>
      </w:pPr>
    </w:p>
    <w:p w14:paraId="14445C76" w14:textId="77777777" w:rsidR="00590002" w:rsidRPr="00650D66" w:rsidRDefault="00590002" w:rsidP="00B72348">
      <w:pPr>
        <w:spacing w:after="0" w:line="276" w:lineRule="auto"/>
        <w:jc w:val="both"/>
        <w:rPr>
          <w:rFonts w:ascii="Times New Roman" w:eastAsia="Times New Roman" w:hAnsi="Times New Roman" w:cs="Times New Roman"/>
          <w:b/>
          <w:sz w:val="24"/>
          <w:szCs w:val="24"/>
          <w:lang w:val="ro-RO"/>
        </w:rPr>
      </w:pPr>
    </w:p>
    <w:p w14:paraId="7CDD220B" w14:textId="77777777" w:rsidR="007E6F23" w:rsidRPr="00650D66" w:rsidRDefault="007E6F23" w:rsidP="00A469E1">
      <w:pPr>
        <w:pStyle w:val="ListParagraph"/>
        <w:numPr>
          <w:ilvl w:val="0"/>
          <w:numId w:val="1"/>
        </w:numPr>
        <w:tabs>
          <w:tab w:val="left" w:pos="284"/>
        </w:tabs>
        <w:spacing w:after="0"/>
        <w:ind w:left="0" w:firstLine="0"/>
        <w:jc w:val="center"/>
        <w:outlineLvl w:val="0"/>
        <w:rPr>
          <w:rFonts w:ascii="Times New Roman" w:hAnsi="Times New Roman" w:cs="Times New Roman"/>
          <w:b/>
          <w:sz w:val="28"/>
          <w:szCs w:val="28"/>
          <w:lang w:val="ro-RO"/>
        </w:rPr>
      </w:pPr>
      <w:bookmarkStart w:id="2" w:name="_Toc159413629"/>
      <w:r w:rsidRPr="00650D66">
        <w:rPr>
          <w:rFonts w:ascii="Times New Roman" w:hAnsi="Times New Roman" w:cs="Times New Roman"/>
          <w:b/>
          <w:sz w:val="28"/>
          <w:szCs w:val="28"/>
          <w:lang w:val="ro-RO"/>
        </w:rPr>
        <w:t>SINTEZA</w:t>
      </w:r>
      <w:bookmarkEnd w:id="2"/>
    </w:p>
    <w:p w14:paraId="4A6FED77" w14:textId="77777777" w:rsidR="007E4383" w:rsidRPr="00650D66" w:rsidRDefault="007E4383" w:rsidP="00A469E1">
      <w:pPr>
        <w:spacing w:after="0"/>
        <w:jc w:val="both"/>
        <w:rPr>
          <w:rFonts w:ascii="Times New Roman" w:hAnsi="Times New Roman" w:cs="Times New Roman"/>
          <w:sz w:val="6"/>
          <w:szCs w:val="6"/>
          <w:lang w:val="ro-RO"/>
        </w:rPr>
      </w:pPr>
    </w:p>
    <w:p w14:paraId="42F5D69B" w14:textId="77777777" w:rsidR="00DF27C0" w:rsidRPr="00650D66" w:rsidRDefault="00DF27C0" w:rsidP="00DF27C0">
      <w:pPr>
        <w:spacing w:after="0" w:line="276" w:lineRule="auto"/>
        <w:jc w:val="both"/>
        <w:rPr>
          <w:rFonts w:ascii="Times New Roman" w:hAnsi="Times New Roman" w:cs="Times New Roman"/>
          <w:sz w:val="6"/>
          <w:szCs w:val="6"/>
          <w:lang w:val="ro-RO"/>
        </w:rPr>
      </w:pPr>
    </w:p>
    <w:p w14:paraId="6C36D31F" w14:textId="77777777" w:rsidR="00710D9F" w:rsidRPr="00A21239" w:rsidRDefault="007428F6" w:rsidP="00A21239">
      <w:pPr>
        <w:spacing w:after="12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BNM este banca centrală a RM</w:t>
      </w:r>
      <w:r w:rsidR="00267FBA" w:rsidRPr="00650D66">
        <w:rPr>
          <w:rFonts w:ascii="Times New Roman" w:hAnsi="Times New Roman" w:cs="Times New Roman"/>
          <w:sz w:val="24"/>
          <w:szCs w:val="24"/>
          <w:lang w:val="ro-RO"/>
        </w:rPr>
        <w:t>,</w:t>
      </w:r>
      <w:r w:rsidR="009D3EEE" w:rsidRPr="00650D66">
        <w:rPr>
          <w:rFonts w:ascii="Times New Roman" w:hAnsi="Times New Roman" w:cs="Times New Roman"/>
          <w:sz w:val="24"/>
          <w:szCs w:val="24"/>
          <w:lang w:val="ro-RO"/>
        </w:rPr>
        <w:t xml:space="preserve"> care</w:t>
      </w:r>
      <w:r w:rsidR="00572B7B" w:rsidRPr="00650D66">
        <w:rPr>
          <w:rFonts w:ascii="Times New Roman" w:hAnsi="Times New Roman" w:cs="Times New Roman"/>
          <w:sz w:val="24"/>
          <w:szCs w:val="24"/>
          <w:lang w:val="ro-RO"/>
        </w:rPr>
        <w:t xml:space="preserve"> </w:t>
      </w:r>
      <w:r w:rsidR="00A8485D" w:rsidRPr="00650D66">
        <w:rPr>
          <w:rFonts w:ascii="Times New Roman" w:eastAsia="Times New Roman" w:hAnsi="Times New Roman" w:cs="Times New Roman"/>
          <w:sz w:val="24"/>
          <w:szCs w:val="24"/>
          <w:lang w:val="ro-RO"/>
        </w:rPr>
        <w:t>funcționează ca</w:t>
      </w:r>
      <w:r w:rsidR="0065252E" w:rsidRPr="00650D66">
        <w:rPr>
          <w:rFonts w:ascii="Times New Roman" w:eastAsia="Times New Roman" w:hAnsi="Times New Roman" w:cs="Times New Roman"/>
          <w:sz w:val="24"/>
          <w:szCs w:val="24"/>
          <w:lang w:val="ro-RO"/>
        </w:rPr>
        <w:t xml:space="preserve"> persoană juridică publică autonomă</w:t>
      </w:r>
      <w:r w:rsidR="0065252E" w:rsidRPr="00650D66">
        <w:rPr>
          <w:rFonts w:ascii="Times New Roman" w:hAnsi="Times New Roman" w:cs="Times New Roman"/>
          <w:sz w:val="24"/>
          <w:szCs w:val="24"/>
          <w:lang w:val="ro-RO"/>
        </w:rPr>
        <w:t xml:space="preserve"> </w:t>
      </w:r>
      <w:r w:rsidR="00572B7B" w:rsidRPr="00650D66">
        <w:rPr>
          <w:rFonts w:ascii="Times New Roman" w:hAnsi="Times New Roman" w:cs="Times New Roman"/>
          <w:sz w:val="24"/>
          <w:szCs w:val="24"/>
          <w:lang w:val="ro-RO"/>
        </w:rPr>
        <w:t>responsabilă față de Parlament și conlucrează cu Guvernul în problemele financiare și bugetare</w:t>
      </w:r>
      <w:r w:rsidR="00E639BE" w:rsidRPr="00650D66">
        <w:rPr>
          <w:rFonts w:ascii="Times New Roman" w:hAnsi="Times New Roman" w:cs="Times New Roman"/>
          <w:sz w:val="24"/>
          <w:szCs w:val="24"/>
          <w:lang w:val="ro-RO"/>
        </w:rPr>
        <w:t>.</w:t>
      </w:r>
      <w:r w:rsidR="00E639BE" w:rsidRPr="00650D66">
        <w:rPr>
          <w:rFonts w:ascii="Times New Roman" w:eastAsia="Times New Roman" w:hAnsi="Times New Roman" w:cs="Times New Roman"/>
          <w:sz w:val="24"/>
          <w:szCs w:val="24"/>
          <w:lang w:val="ro-RO"/>
        </w:rPr>
        <w:t xml:space="preserve"> Obiectivul fundamental al BNM este asigurarea și menținerea stabilității prețurilor</w:t>
      </w:r>
      <w:r w:rsidR="00572B7B" w:rsidRPr="00650D66">
        <w:rPr>
          <w:rFonts w:ascii="Times New Roman" w:hAnsi="Times New Roman" w:cs="Times New Roman"/>
          <w:sz w:val="24"/>
          <w:szCs w:val="24"/>
          <w:lang w:val="ro-RO"/>
        </w:rPr>
        <w:t xml:space="preserve">. </w:t>
      </w:r>
      <w:r w:rsidR="00710D9F" w:rsidRPr="00650D66">
        <w:rPr>
          <w:rFonts w:ascii="Times New Roman" w:hAnsi="Times New Roman" w:cs="Times New Roman"/>
          <w:sz w:val="24"/>
          <w:szCs w:val="24"/>
          <w:lang w:val="ro-RO"/>
        </w:rPr>
        <w:t>BNM menține inflația pentru creșterea și dezvoltarea economică a Republicii Moldova pe termen mediu. Astfel, BNM informează societatea despre evoluția inflației anuale, strategia de politică monetară, rezultatele analizei macroeconomice, evoluției pieței financiare și informația statistică, inclusiv privind masa monetară, acordarea creditelor, balanța de plăti și situația pieței valutare.</w:t>
      </w:r>
    </w:p>
    <w:p w14:paraId="0E4E2BCC" w14:textId="77777777" w:rsidR="00A21239" w:rsidRDefault="00B45EC6" w:rsidP="00A21239">
      <w:pPr>
        <w:pStyle w:val="ListParagraph"/>
        <w:tabs>
          <w:tab w:val="left" w:pos="426"/>
        </w:tabs>
        <w:spacing w:after="12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lastRenderedPageBreak/>
        <w:t>BNM dispune de două organe colegiale de conducere,</w:t>
      </w:r>
      <w:r w:rsidR="005F347F" w:rsidRPr="00650D66">
        <w:rPr>
          <w:rFonts w:ascii="Times New Roman" w:hAnsi="Times New Roman" w:cs="Times New Roman"/>
          <w:sz w:val="24"/>
          <w:szCs w:val="24"/>
          <w:lang w:val="ro-RO"/>
        </w:rPr>
        <w:t xml:space="preserve"> Consiliul de supraveghere și Comitetul executiv. </w:t>
      </w:r>
      <w:r w:rsidR="00572B7B" w:rsidRPr="00650D66">
        <w:rPr>
          <w:rFonts w:ascii="Times New Roman" w:hAnsi="Times New Roman" w:cs="Times New Roman"/>
          <w:sz w:val="24"/>
          <w:szCs w:val="24"/>
          <w:lang w:val="ro-RO"/>
        </w:rPr>
        <w:t>Anual, toate cheltuielile administrative și investițiile capitale ale BNM se prevăd în devizul de cheltuieli și, respectiv, în alocațiile pentru investiții, care se aprobă de către Consiliul de supraveghere.</w:t>
      </w:r>
    </w:p>
    <w:p w14:paraId="67F2FB5C" w14:textId="77777777" w:rsidR="00A21239" w:rsidRPr="00A21239" w:rsidRDefault="00A21239" w:rsidP="00A21239">
      <w:pPr>
        <w:pStyle w:val="ListParagraph"/>
        <w:tabs>
          <w:tab w:val="left" w:pos="426"/>
        </w:tabs>
        <w:spacing w:after="120" w:line="276" w:lineRule="auto"/>
        <w:ind w:left="0"/>
        <w:jc w:val="both"/>
        <w:rPr>
          <w:rFonts w:ascii="Times New Roman" w:hAnsi="Times New Roman" w:cs="Times New Roman"/>
          <w:sz w:val="6"/>
          <w:szCs w:val="6"/>
          <w:lang w:val="ro-RO"/>
        </w:rPr>
      </w:pPr>
    </w:p>
    <w:p w14:paraId="6FA1F8D9" w14:textId="6B641DB0" w:rsidR="005C0826" w:rsidRPr="00650D66" w:rsidRDefault="00251C1B" w:rsidP="00A21239">
      <w:pPr>
        <w:pStyle w:val="ListParagraph"/>
        <w:tabs>
          <w:tab w:val="left" w:pos="426"/>
        </w:tabs>
        <w:spacing w:after="12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conformitate cu prevederile art.32, alin.(7) din Legea privind organizarea și funcționarea Curții de Conturi a R</w:t>
      </w:r>
      <w:r w:rsidR="009327E8">
        <w:rPr>
          <w:rFonts w:ascii="Times New Roman" w:hAnsi="Times New Roman" w:cs="Times New Roman"/>
          <w:sz w:val="24"/>
          <w:szCs w:val="24"/>
          <w:lang w:val="ro-RO"/>
        </w:rPr>
        <w:t xml:space="preserve">epublicii </w:t>
      </w:r>
      <w:r w:rsidRPr="00650D66">
        <w:rPr>
          <w:rFonts w:ascii="Times New Roman" w:hAnsi="Times New Roman" w:cs="Times New Roman"/>
          <w:sz w:val="24"/>
          <w:szCs w:val="24"/>
          <w:lang w:val="ro-RO"/>
        </w:rPr>
        <w:t>M</w:t>
      </w:r>
      <w:r w:rsidR="009327E8">
        <w:rPr>
          <w:rFonts w:ascii="Times New Roman" w:hAnsi="Times New Roman" w:cs="Times New Roman"/>
          <w:sz w:val="24"/>
          <w:szCs w:val="24"/>
          <w:lang w:val="ro-RO"/>
        </w:rPr>
        <w:t>oldova</w:t>
      </w:r>
      <w:r w:rsidR="00D66782" w:rsidRPr="00650D66">
        <w:rPr>
          <w:rStyle w:val="FootnoteReference"/>
          <w:rFonts w:ascii="Times New Roman" w:hAnsi="Times New Roman" w:cs="Times New Roman"/>
          <w:sz w:val="24"/>
          <w:szCs w:val="24"/>
          <w:lang w:val="ro-RO"/>
        </w:rPr>
        <w:footnoteReference w:id="1"/>
      </w:r>
      <w:r w:rsidR="0034745C" w:rsidRPr="00650D66">
        <w:rPr>
          <w:rFonts w:ascii="Times New Roman" w:hAnsi="Times New Roman" w:cs="Times New Roman"/>
          <w:iCs/>
          <w:sz w:val="24"/>
          <w:szCs w:val="24"/>
          <w:lang w:val="ro-RO"/>
        </w:rPr>
        <w:t xml:space="preserve"> </w:t>
      </w:r>
      <w:r w:rsidR="00090FF3">
        <w:rPr>
          <w:rFonts w:ascii="Times New Roman" w:hAnsi="Times New Roman" w:cs="Times New Roman"/>
          <w:iCs/>
          <w:sz w:val="24"/>
          <w:szCs w:val="24"/>
          <w:lang w:val="ro-RO"/>
        </w:rPr>
        <w:t xml:space="preserve">ale </w:t>
      </w:r>
      <w:r w:rsidR="006C7CEC">
        <w:rPr>
          <w:rFonts w:ascii="Times New Roman" w:hAnsi="Times New Roman" w:cs="Times New Roman"/>
          <w:iCs/>
          <w:sz w:val="24"/>
          <w:szCs w:val="24"/>
          <w:lang w:val="ro-RO"/>
        </w:rPr>
        <w:t>art.21 din Legea nr.548</w:t>
      </w:r>
      <w:r w:rsidR="0034745C" w:rsidRPr="00650D66">
        <w:rPr>
          <w:rFonts w:ascii="Times New Roman" w:hAnsi="Times New Roman" w:cs="Times New Roman"/>
          <w:iCs/>
          <w:sz w:val="24"/>
          <w:szCs w:val="24"/>
          <w:lang w:val="ro-RO"/>
        </w:rPr>
        <w:t xml:space="preserve"> din 21.07.1995</w:t>
      </w:r>
      <w:r w:rsidR="0034745C" w:rsidRPr="00650D66">
        <w:rPr>
          <w:rFonts w:ascii="Times New Roman" w:hAnsi="Times New Roman" w:cs="Times New Roman"/>
          <w:iCs/>
          <w:sz w:val="24"/>
          <w:szCs w:val="24"/>
          <w:vertAlign w:val="superscript"/>
          <w:lang w:val="ro-RO"/>
        </w:rPr>
        <w:footnoteReference w:id="2"/>
      </w:r>
      <w:r w:rsidR="0034745C" w:rsidRPr="00650D66">
        <w:rPr>
          <w:rFonts w:ascii="Times New Roman" w:hAnsi="Times New Roman" w:cs="Times New Roman"/>
          <w:sz w:val="24"/>
          <w:szCs w:val="24"/>
          <w:lang w:val="ro-RO"/>
        </w:rPr>
        <w:t xml:space="preserve"> </w:t>
      </w:r>
      <w:r w:rsidR="00BE3E7F">
        <w:rPr>
          <w:rFonts w:ascii="Times New Roman" w:hAnsi="Times New Roman" w:cs="Times New Roman"/>
          <w:sz w:val="24"/>
          <w:szCs w:val="24"/>
          <w:lang w:val="ro-RO"/>
        </w:rPr>
        <w:t>ș</w:t>
      </w:r>
      <w:r w:rsidR="008041C5">
        <w:rPr>
          <w:rFonts w:ascii="Times New Roman" w:hAnsi="Times New Roman" w:cs="Times New Roman"/>
          <w:sz w:val="24"/>
          <w:szCs w:val="24"/>
          <w:lang w:val="ro-RO"/>
        </w:rPr>
        <w:t>i</w:t>
      </w:r>
      <w:r w:rsidR="008041C5" w:rsidRPr="008041C5">
        <w:rPr>
          <w:rFonts w:ascii="Times New Roman" w:hAnsi="Times New Roman" w:cs="Times New Roman"/>
          <w:sz w:val="24"/>
          <w:szCs w:val="24"/>
        </w:rPr>
        <w:t xml:space="preserve"> în conformitate cu Programele activității de audit ale Curții de Conturi pe anii 2023</w:t>
      </w:r>
      <w:r w:rsidR="008041C5" w:rsidRPr="008041C5">
        <w:rPr>
          <w:rFonts w:ascii="Times New Roman" w:hAnsi="Times New Roman" w:cs="Times New Roman"/>
          <w:sz w:val="24"/>
          <w:szCs w:val="24"/>
          <w:vertAlign w:val="superscript"/>
        </w:rPr>
        <w:footnoteReference w:id="3"/>
      </w:r>
      <w:r w:rsidR="008041C5" w:rsidRPr="008041C5">
        <w:rPr>
          <w:rFonts w:ascii="Times New Roman" w:hAnsi="Times New Roman" w:cs="Times New Roman"/>
          <w:sz w:val="24"/>
          <w:szCs w:val="24"/>
        </w:rPr>
        <w:t xml:space="preserve"> și, respectiv, 2024</w:t>
      </w:r>
      <w:r w:rsidR="008041C5" w:rsidRPr="008041C5">
        <w:rPr>
          <w:rFonts w:ascii="Times New Roman" w:hAnsi="Times New Roman" w:cs="Times New Roman"/>
          <w:sz w:val="24"/>
          <w:szCs w:val="24"/>
          <w:vertAlign w:val="superscript"/>
        </w:rPr>
        <w:footnoteReference w:id="4"/>
      </w:r>
      <w:r w:rsidR="008041C5" w:rsidRPr="008041C5">
        <w:rPr>
          <w:rFonts w:ascii="Times New Roman" w:hAnsi="Times New Roman" w:cs="Times New Roman"/>
          <w:sz w:val="24"/>
          <w:szCs w:val="24"/>
        </w:rPr>
        <w:t>,</w:t>
      </w:r>
      <w:r w:rsidR="008041C5">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Curtea de Conturi a efectuat auditul Băncii Naționale a Moldovei exclusiv în limitele și condițiile prevăzute de Legea cu privire la Banca Națională a Moldovei.</w:t>
      </w:r>
      <w:r w:rsidR="005C0826" w:rsidRPr="00650D66">
        <w:rPr>
          <w:rFonts w:ascii="Times New Roman" w:hAnsi="Times New Roman" w:cs="Times New Roman"/>
          <w:sz w:val="24"/>
          <w:szCs w:val="24"/>
          <w:lang w:val="ro-RO"/>
        </w:rPr>
        <w:t xml:space="preserve"> </w:t>
      </w:r>
      <w:r w:rsidR="005C0826" w:rsidRPr="00650D66">
        <w:rPr>
          <w:rFonts w:ascii="Times New Roman" w:hAnsi="Times New Roman" w:cs="Times New Roman"/>
          <w:bCs/>
          <w:sz w:val="24"/>
          <w:szCs w:val="24"/>
          <w:lang w:val="ro-RO"/>
        </w:rPr>
        <w:t xml:space="preserve">Perioada auditată </w:t>
      </w:r>
      <w:r w:rsidR="00730157">
        <w:rPr>
          <w:rFonts w:ascii="Times New Roman" w:hAnsi="Times New Roman" w:cs="Times New Roman"/>
          <w:bCs/>
          <w:sz w:val="24"/>
          <w:szCs w:val="24"/>
          <w:lang w:val="ro-RO"/>
        </w:rPr>
        <w:t xml:space="preserve">a cuprins anii </w:t>
      </w:r>
      <w:r w:rsidR="005C0826" w:rsidRPr="00650D66">
        <w:rPr>
          <w:rFonts w:ascii="Times New Roman" w:hAnsi="Times New Roman" w:cs="Times New Roman"/>
          <w:bCs/>
          <w:sz w:val="24"/>
          <w:szCs w:val="24"/>
          <w:lang w:val="ro-RO"/>
        </w:rPr>
        <w:t>2019</w:t>
      </w:r>
      <w:r w:rsidR="00730157">
        <w:rPr>
          <w:rFonts w:ascii="Times New Roman" w:hAnsi="Times New Roman" w:cs="Times New Roman"/>
          <w:bCs/>
          <w:sz w:val="24"/>
          <w:szCs w:val="24"/>
          <w:lang w:val="ro-RO"/>
        </w:rPr>
        <w:t>-</w:t>
      </w:r>
      <w:r w:rsidR="005C0826" w:rsidRPr="00650D66">
        <w:rPr>
          <w:rFonts w:ascii="Times New Roman" w:hAnsi="Times New Roman" w:cs="Times New Roman"/>
          <w:bCs/>
          <w:sz w:val="24"/>
          <w:szCs w:val="24"/>
          <w:lang w:val="ro-RO"/>
        </w:rPr>
        <w:t>2022</w:t>
      </w:r>
      <w:r w:rsidR="00730157">
        <w:rPr>
          <w:rFonts w:ascii="Times New Roman" w:hAnsi="Times New Roman" w:cs="Times New Roman"/>
          <w:bCs/>
          <w:sz w:val="24"/>
          <w:szCs w:val="24"/>
          <w:lang w:val="ro-RO"/>
        </w:rPr>
        <w:t>,</w:t>
      </w:r>
      <w:r w:rsidR="005C0826" w:rsidRPr="00650D66">
        <w:rPr>
          <w:rFonts w:ascii="Times New Roman" w:hAnsi="Times New Roman" w:cs="Times New Roman"/>
          <w:bCs/>
          <w:sz w:val="24"/>
          <w:szCs w:val="24"/>
          <w:lang w:val="ro-RO"/>
        </w:rPr>
        <w:t xml:space="preserve"> fiind stabilită prin aplicarea </w:t>
      </w:r>
      <w:r w:rsidR="005C0826" w:rsidRPr="00650D66">
        <w:rPr>
          <w:rFonts w:ascii="Times New Roman" w:hAnsi="Times New Roman" w:cs="Times New Roman"/>
          <w:sz w:val="24"/>
          <w:szCs w:val="24"/>
          <w:lang w:val="ro-RO"/>
        </w:rPr>
        <w:t xml:space="preserve">criteriului periodicității </w:t>
      </w:r>
      <w:r w:rsidR="000C54F9">
        <w:rPr>
          <w:rFonts w:ascii="Times New Roman" w:hAnsi="Times New Roman" w:cs="Times New Roman"/>
          <w:sz w:val="24"/>
          <w:szCs w:val="24"/>
          <w:lang w:val="ro-RO"/>
        </w:rPr>
        <w:t xml:space="preserve">de </w:t>
      </w:r>
      <w:r w:rsidR="005C0826" w:rsidRPr="00650D66">
        <w:rPr>
          <w:rFonts w:ascii="Times New Roman" w:hAnsi="Times New Roman" w:cs="Times New Roman"/>
          <w:sz w:val="24"/>
          <w:szCs w:val="24"/>
          <w:lang w:val="ro-RO"/>
        </w:rPr>
        <w:t>acoperir</w:t>
      </w:r>
      <w:r w:rsidR="000C54F9">
        <w:rPr>
          <w:rFonts w:ascii="Times New Roman" w:hAnsi="Times New Roman" w:cs="Times New Roman"/>
          <w:sz w:val="24"/>
          <w:szCs w:val="24"/>
          <w:lang w:val="ro-RO"/>
        </w:rPr>
        <w:t>e</w:t>
      </w:r>
      <w:r w:rsidR="005C0826" w:rsidRPr="00650D66">
        <w:rPr>
          <w:rFonts w:ascii="Times New Roman" w:hAnsi="Times New Roman" w:cs="Times New Roman"/>
          <w:sz w:val="24"/>
          <w:szCs w:val="24"/>
          <w:lang w:val="ro-RO"/>
        </w:rPr>
        <w:t xml:space="preserve"> cu activități de audit a autorităților publice</w:t>
      </w:r>
      <w:r w:rsidR="00702E22" w:rsidRPr="00650D66">
        <w:rPr>
          <w:rFonts w:ascii="Times New Roman" w:hAnsi="Times New Roman" w:cs="Times New Roman"/>
          <w:sz w:val="24"/>
          <w:szCs w:val="24"/>
          <w:lang w:val="ro-RO"/>
        </w:rPr>
        <w:t xml:space="preserve"> </w:t>
      </w:r>
      <w:r w:rsidR="00702E22" w:rsidRPr="00650D66">
        <w:rPr>
          <w:rFonts w:ascii="Times New Roman" w:hAnsi="Times New Roman" w:cs="Times New Roman"/>
          <w:i/>
          <w:sz w:val="24"/>
          <w:szCs w:val="24"/>
          <w:lang w:val="ro-RO"/>
        </w:rPr>
        <w:t>(o dată la 3-5 ani)</w:t>
      </w:r>
      <w:r w:rsidR="005C0826" w:rsidRPr="00650D66">
        <w:rPr>
          <w:rFonts w:ascii="Times New Roman" w:hAnsi="Times New Roman" w:cs="Times New Roman"/>
          <w:sz w:val="24"/>
          <w:szCs w:val="24"/>
          <w:lang w:val="ro-RO"/>
        </w:rPr>
        <w:t xml:space="preserve">, ultima misiune de audit </w:t>
      </w:r>
      <w:r w:rsidR="00B6187C" w:rsidRPr="00650D66">
        <w:rPr>
          <w:rFonts w:ascii="Times New Roman" w:hAnsi="Times New Roman" w:cs="Times New Roman"/>
          <w:sz w:val="24"/>
          <w:szCs w:val="24"/>
          <w:lang w:val="ro-RO"/>
        </w:rPr>
        <w:t xml:space="preserve">la BNM </w:t>
      </w:r>
      <w:r w:rsidR="00971B36" w:rsidRPr="00650D66">
        <w:rPr>
          <w:rFonts w:ascii="Times New Roman" w:hAnsi="Times New Roman" w:cs="Times New Roman"/>
          <w:sz w:val="24"/>
          <w:szCs w:val="24"/>
          <w:lang w:val="ro-RO"/>
        </w:rPr>
        <w:t xml:space="preserve">a fost </w:t>
      </w:r>
      <w:r w:rsidR="005C0826" w:rsidRPr="00650D66">
        <w:rPr>
          <w:rFonts w:ascii="Times New Roman" w:hAnsi="Times New Roman" w:cs="Times New Roman"/>
          <w:sz w:val="24"/>
          <w:szCs w:val="24"/>
          <w:lang w:val="ro-RO"/>
        </w:rPr>
        <w:t>efectuată pentru anii 2015</w:t>
      </w:r>
      <w:r w:rsidR="00BE3E7F">
        <w:rPr>
          <w:rFonts w:ascii="Times New Roman" w:hAnsi="Times New Roman" w:cs="Times New Roman"/>
          <w:sz w:val="24"/>
          <w:szCs w:val="24"/>
          <w:lang w:val="ro-RO"/>
        </w:rPr>
        <w:t>-</w:t>
      </w:r>
      <w:r w:rsidR="005C0826" w:rsidRPr="00650D66">
        <w:rPr>
          <w:rFonts w:ascii="Times New Roman" w:hAnsi="Times New Roman" w:cs="Times New Roman"/>
          <w:sz w:val="24"/>
          <w:szCs w:val="24"/>
          <w:lang w:val="ro-RO"/>
        </w:rPr>
        <w:t>2018</w:t>
      </w:r>
      <w:r w:rsidR="005C0826" w:rsidRPr="00650D66">
        <w:rPr>
          <w:rStyle w:val="FootnoteReference"/>
          <w:rFonts w:ascii="Times New Roman" w:hAnsi="Times New Roman" w:cs="Times New Roman"/>
          <w:sz w:val="24"/>
          <w:szCs w:val="24"/>
          <w:lang w:val="ro-RO"/>
        </w:rPr>
        <w:footnoteReference w:id="5"/>
      </w:r>
      <w:r w:rsidR="005C0826" w:rsidRPr="00650D66">
        <w:rPr>
          <w:rFonts w:ascii="Times New Roman" w:hAnsi="Times New Roman" w:cs="Times New Roman"/>
          <w:sz w:val="24"/>
          <w:szCs w:val="24"/>
          <w:lang w:val="ro-RO"/>
        </w:rPr>
        <w:t>.</w:t>
      </w:r>
    </w:p>
    <w:p w14:paraId="33D48369" w14:textId="77777777" w:rsidR="00421DAC" w:rsidRPr="00650D66" w:rsidRDefault="00421DAC" w:rsidP="00251C1B">
      <w:pPr>
        <w:pStyle w:val="ListParagraph"/>
        <w:tabs>
          <w:tab w:val="left" w:pos="426"/>
        </w:tabs>
        <w:spacing w:line="276" w:lineRule="auto"/>
        <w:ind w:left="0"/>
        <w:jc w:val="both"/>
        <w:rPr>
          <w:rFonts w:ascii="Times New Roman" w:hAnsi="Times New Roman" w:cs="Times New Roman"/>
          <w:sz w:val="6"/>
          <w:szCs w:val="6"/>
          <w:lang w:val="ro-RO"/>
        </w:rPr>
      </w:pPr>
    </w:p>
    <w:p w14:paraId="7AC2203E" w14:textId="14EC3AB7" w:rsidR="00251C1B" w:rsidRPr="00650D66" w:rsidRDefault="00251C1B" w:rsidP="00421DAC">
      <w:pPr>
        <w:pStyle w:val="ListParagraph"/>
        <w:tabs>
          <w:tab w:val="left" w:pos="426"/>
        </w:tabs>
        <w:spacing w:after="0" w:line="276" w:lineRule="auto"/>
        <w:ind w:left="0"/>
        <w:jc w:val="both"/>
        <w:rPr>
          <w:rFonts w:ascii="Times New Roman" w:hAnsi="Times New Roman" w:cs="Times New Roman"/>
          <w:sz w:val="24"/>
          <w:szCs w:val="24"/>
          <w:lang w:val="ro-RO"/>
        </w:rPr>
      </w:pPr>
      <w:r w:rsidRPr="00650D66">
        <w:rPr>
          <w:rFonts w:ascii="Times New Roman" w:eastAsia="Times New Roman" w:hAnsi="Times New Roman" w:cs="Times New Roman"/>
          <w:iCs/>
          <w:sz w:val="24"/>
          <w:szCs w:val="28"/>
          <w:lang w:val="ro-RO" w:eastAsia="ro-MD"/>
        </w:rPr>
        <w:t>Scopul misiunii de audit a constat în evaluarea</w:t>
      </w:r>
      <w:r w:rsidRPr="00650D66">
        <w:rPr>
          <w:rFonts w:ascii="Times New Roman" w:hAnsi="Times New Roman" w:cs="Times New Roman"/>
          <w:sz w:val="24"/>
          <w:szCs w:val="24"/>
          <w:lang w:val="ro-RO"/>
        </w:rPr>
        <w:t xml:space="preserve"> conformității </w:t>
      </w:r>
      <w:r w:rsidRPr="00650D66">
        <w:rPr>
          <w:rFonts w:ascii="Times New Roman" w:hAnsi="Times New Roman" w:cs="Times New Roman"/>
          <w:bCs/>
          <w:sz w:val="24"/>
          <w:szCs w:val="24"/>
          <w:lang w:val="ro-RO"/>
        </w:rPr>
        <w:t xml:space="preserve">devizelor de cheltuieli și alocațiilor pentru investiții ale </w:t>
      </w:r>
      <w:r w:rsidR="00176778" w:rsidRPr="00650D66">
        <w:rPr>
          <w:rFonts w:ascii="Times New Roman" w:hAnsi="Times New Roman" w:cs="Times New Roman"/>
          <w:bCs/>
          <w:sz w:val="24"/>
          <w:szCs w:val="24"/>
          <w:lang w:val="ro-RO"/>
        </w:rPr>
        <w:t>BNM</w:t>
      </w:r>
      <w:r w:rsidRPr="00650D66">
        <w:rPr>
          <w:rFonts w:ascii="Times New Roman" w:hAnsi="Times New Roman" w:cs="Times New Roman"/>
          <w:bCs/>
          <w:sz w:val="24"/>
          <w:szCs w:val="24"/>
          <w:lang w:val="ro-RO"/>
        </w:rPr>
        <w:t xml:space="preserve"> pe anii 2019</w:t>
      </w:r>
      <w:r w:rsidR="00BE3E7F">
        <w:rPr>
          <w:rFonts w:ascii="Times New Roman" w:hAnsi="Times New Roman" w:cs="Times New Roman"/>
          <w:bCs/>
          <w:sz w:val="24"/>
          <w:szCs w:val="24"/>
          <w:lang w:val="ro-RO"/>
        </w:rPr>
        <w:t>-</w:t>
      </w:r>
      <w:r w:rsidRPr="00650D66">
        <w:rPr>
          <w:rFonts w:ascii="Times New Roman" w:hAnsi="Times New Roman" w:cs="Times New Roman"/>
          <w:bCs/>
          <w:sz w:val="24"/>
          <w:szCs w:val="24"/>
          <w:lang w:val="ro-RO"/>
        </w:rPr>
        <w:t>2022, în raport cu prevederile cadrului norma</w:t>
      </w:r>
      <w:r w:rsidR="00472085" w:rsidRPr="00650D66">
        <w:rPr>
          <w:rFonts w:ascii="Times New Roman" w:hAnsi="Times New Roman" w:cs="Times New Roman"/>
          <w:bCs/>
          <w:sz w:val="24"/>
          <w:szCs w:val="24"/>
          <w:lang w:val="ro-RO"/>
        </w:rPr>
        <w:t>tiv aplicabil, fiind formulate 3</w:t>
      </w:r>
      <w:r w:rsidRPr="00650D66">
        <w:rPr>
          <w:rFonts w:ascii="Times New Roman" w:hAnsi="Times New Roman" w:cs="Times New Roman"/>
          <w:bCs/>
          <w:sz w:val="24"/>
          <w:szCs w:val="24"/>
          <w:lang w:val="ro-RO"/>
        </w:rPr>
        <w:t xml:space="preserve"> obiective specifice de audit.</w:t>
      </w:r>
      <w:r w:rsidRPr="00650D66">
        <w:rPr>
          <w:rFonts w:ascii="Times New Roman" w:eastAsia="Times New Roman" w:hAnsi="Times New Roman" w:cs="Times New Roman"/>
          <w:b/>
          <w:sz w:val="24"/>
          <w:szCs w:val="24"/>
          <w:lang w:val="ro-RO" w:eastAsia="ro-MD"/>
        </w:rPr>
        <w:t xml:space="preserve"> </w:t>
      </w:r>
      <w:r w:rsidRPr="00650D66">
        <w:rPr>
          <w:rFonts w:ascii="Times New Roman" w:eastAsia="Times New Roman" w:hAnsi="Times New Roman" w:cs="Times New Roman"/>
          <w:sz w:val="24"/>
          <w:szCs w:val="24"/>
          <w:lang w:val="ro-RO" w:eastAsia="ro-MD"/>
        </w:rPr>
        <w:t xml:space="preserve">Abordarea auditului </w:t>
      </w:r>
      <w:r w:rsidR="00850683" w:rsidRPr="00650D66">
        <w:rPr>
          <w:rFonts w:ascii="Times New Roman" w:eastAsia="Times New Roman" w:hAnsi="Times New Roman" w:cs="Times New Roman"/>
          <w:sz w:val="24"/>
          <w:szCs w:val="24"/>
          <w:lang w:val="ro-RO" w:eastAsia="ro-MD"/>
        </w:rPr>
        <w:t xml:space="preserve">conformității a fost bazată pe riscuri, concentrarea </w:t>
      </w:r>
      <w:r w:rsidR="00943160" w:rsidRPr="00650D66">
        <w:rPr>
          <w:rFonts w:ascii="Times New Roman" w:eastAsia="Times New Roman" w:hAnsi="Times New Roman" w:cs="Times New Roman"/>
          <w:sz w:val="24"/>
          <w:szCs w:val="24"/>
          <w:lang w:val="ro-RO" w:eastAsia="ro-MD"/>
        </w:rPr>
        <w:t xml:space="preserve">fiind </w:t>
      </w:r>
      <w:r w:rsidR="00850683" w:rsidRPr="00650D66">
        <w:rPr>
          <w:rFonts w:ascii="Times New Roman" w:eastAsia="Times New Roman" w:hAnsi="Times New Roman" w:cs="Times New Roman"/>
          <w:sz w:val="24"/>
          <w:szCs w:val="24"/>
          <w:lang w:val="ro-RO" w:eastAsia="ro-MD"/>
        </w:rPr>
        <w:t>pe domenii</w:t>
      </w:r>
      <w:r w:rsidR="00943160" w:rsidRPr="00650D66">
        <w:rPr>
          <w:rFonts w:ascii="Times New Roman" w:eastAsia="Times New Roman" w:hAnsi="Times New Roman" w:cs="Times New Roman"/>
          <w:sz w:val="24"/>
          <w:szCs w:val="24"/>
          <w:lang w:val="ro-RO" w:eastAsia="ro-MD"/>
        </w:rPr>
        <w:t>le</w:t>
      </w:r>
      <w:r w:rsidR="00850683" w:rsidRPr="00650D66">
        <w:rPr>
          <w:rFonts w:ascii="Times New Roman" w:eastAsia="Times New Roman" w:hAnsi="Times New Roman" w:cs="Times New Roman"/>
          <w:sz w:val="24"/>
          <w:szCs w:val="24"/>
          <w:lang w:val="ro-RO" w:eastAsia="ro-MD"/>
        </w:rPr>
        <w:t>/procese</w:t>
      </w:r>
      <w:r w:rsidR="00943160" w:rsidRPr="00650D66">
        <w:rPr>
          <w:rFonts w:ascii="Times New Roman" w:eastAsia="Times New Roman" w:hAnsi="Times New Roman" w:cs="Times New Roman"/>
          <w:sz w:val="24"/>
          <w:szCs w:val="24"/>
          <w:lang w:val="ro-RO" w:eastAsia="ro-MD"/>
        </w:rPr>
        <w:t>le</w:t>
      </w:r>
      <w:r w:rsidR="00850683" w:rsidRPr="00650D66">
        <w:rPr>
          <w:rFonts w:ascii="Times New Roman" w:eastAsia="Times New Roman" w:hAnsi="Times New Roman" w:cs="Times New Roman"/>
          <w:sz w:val="24"/>
          <w:szCs w:val="24"/>
          <w:lang w:val="ro-RO" w:eastAsia="ro-MD"/>
        </w:rPr>
        <w:t xml:space="preserve"> expuse riscului de neconformitate cu impact major. Totodată, l</w:t>
      </w:r>
      <w:r w:rsidR="00832D6D" w:rsidRPr="00650D66">
        <w:rPr>
          <w:rFonts w:ascii="Times New Roman" w:eastAsia="Times New Roman" w:hAnsi="Times New Roman" w:cs="Times New Roman"/>
          <w:sz w:val="24"/>
          <w:szCs w:val="24"/>
          <w:lang w:val="ro-RO" w:eastAsia="ro-MD"/>
        </w:rPr>
        <w:t>a colectarea probelor de audit a fost utilizat</w:t>
      </w:r>
      <w:r w:rsidR="00BE3E7F">
        <w:rPr>
          <w:rFonts w:ascii="Times New Roman" w:eastAsia="Times New Roman" w:hAnsi="Times New Roman" w:cs="Times New Roman"/>
          <w:sz w:val="24"/>
          <w:szCs w:val="24"/>
          <w:lang w:val="ro-RO" w:eastAsia="ro-MD"/>
        </w:rPr>
        <w:t>ă</w:t>
      </w:r>
      <w:r w:rsidR="00832D6D" w:rsidRPr="00650D66">
        <w:rPr>
          <w:rFonts w:ascii="Times New Roman" w:eastAsia="Times New Roman" w:hAnsi="Times New Roman" w:cs="Times New Roman"/>
          <w:sz w:val="24"/>
          <w:szCs w:val="24"/>
          <w:lang w:val="ro-RO" w:eastAsia="ro-MD"/>
        </w:rPr>
        <w:t xml:space="preserve"> o combinație de tehnici de audit, </w:t>
      </w:r>
      <w:r w:rsidR="005A4285">
        <w:rPr>
          <w:rFonts w:ascii="Times New Roman" w:eastAsia="Times New Roman" w:hAnsi="Times New Roman" w:cs="Times New Roman"/>
          <w:sz w:val="24"/>
          <w:szCs w:val="24"/>
          <w:lang w:val="ro-RO" w:eastAsia="ro-MD"/>
        </w:rPr>
        <w:t>cu accent pe</w:t>
      </w:r>
      <w:r w:rsidRPr="00650D66">
        <w:rPr>
          <w:rFonts w:ascii="Times New Roman" w:eastAsia="Times New Roman" w:hAnsi="Times New Roman" w:cs="Times New Roman"/>
          <w:sz w:val="24"/>
          <w:szCs w:val="24"/>
          <w:lang w:val="ro-RO" w:eastAsia="ro-MD"/>
        </w:rPr>
        <w:t xml:space="preserve"> </w:t>
      </w:r>
      <w:r w:rsidR="00832D6D" w:rsidRPr="00650D66">
        <w:rPr>
          <w:rFonts w:ascii="Times New Roman" w:eastAsia="Times New Roman" w:hAnsi="Times New Roman" w:cs="Times New Roman"/>
          <w:sz w:val="24"/>
          <w:szCs w:val="24"/>
          <w:lang w:val="ro-RO" w:eastAsia="ro-MD"/>
        </w:rPr>
        <w:t>testarea</w:t>
      </w:r>
      <w:r w:rsidRPr="00650D66">
        <w:rPr>
          <w:rFonts w:ascii="Times New Roman" w:eastAsia="Times New Roman" w:hAnsi="Times New Roman" w:cs="Times New Roman"/>
          <w:sz w:val="24"/>
          <w:szCs w:val="24"/>
          <w:lang w:val="ro-RO" w:eastAsia="ro-MD"/>
        </w:rPr>
        <w:t xml:space="preserve"> </w:t>
      </w:r>
      <w:r w:rsidR="009D2816" w:rsidRPr="00650D66">
        <w:rPr>
          <w:rFonts w:ascii="Times New Roman" w:eastAsia="Times New Roman" w:hAnsi="Times New Roman" w:cs="Times New Roman"/>
          <w:sz w:val="24"/>
          <w:szCs w:val="24"/>
          <w:lang w:val="ro-RO" w:eastAsia="ro-MD"/>
        </w:rPr>
        <w:t>sistemului de control</w:t>
      </w:r>
      <w:r w:rsidRPr="00650D66">
        <w:rPr>
          <w:rFonts w:ascii="Times New Roman" w:eastAsia="Times New Roman" w:hAnsi="Times New Roman" w:cs="Times New Roman"/>
          <w:sz w:val="24"/>
          <w:szCs w:val="24"/>
          <w:lang w:val="ro-RO" w:eastAsia="ro-MD"/>
        </w:rPr>
        <w:t xml:space="preserve"> intern instituit în cadrul BNM</w:t>
      </w:r>
      <w:r w:rsidR="00C72E18">
        <w:rPr>
          <w:rFonts w:ascii="Times New Roman" w:eastAsia="Times New Roman" w:hAnsi="Times New Roman" w:cs="Times New Roman"/>
          <w:sz w:val="24"/>
          <w:szCs w:val="24"/>
          <w:lang w:val="ro-RO" w:eastAsia="ro-MD"/>
        </w:rPr>
        <w:t>,</w:t>
      </w:r>
      <w:r w:rsidRPr="00650D66">
        <w:rPr>
          <w:rFonts w:ascii="Times New Roman" w:eastAsia="Times New Roman" w:hAnsi="Times New Roman" w:cs="Times New Roman"/>
          <w:sz w:val="24"/>
          <w:szCs w:val="24"/>
          <w:lang w:val="ro-RO" w:eastAsia="ro-MD"/>
        </w:rPr>
        <w:t xml:space="preserve"> cu determinarea ulterioară a riscurilor de neconformitate</w:t>
      </w:r>
      <w:r w:rsidR="00C72E18">
        <w:rPr>
          <w:rFonts w:ascii="Times New Roman" w:eastAsia="Times New Roman" w:hAnsi="Times New Roman" w:cs="Times New Roman"/>
          <w:sz w:val="24"/>
          <w:szCs w:val="24"/>
          <w:lang w:val="ro-RO" w:eastAsia="ro-MD"/>
        </w:rPr>
        <w:t>,</w:t>
      </w:r>
      <w:r w:rsidRPr="00650D66">
        <w:rPr>
          <w:rFonts w:ascii="Times New Roman" w:hAnsi="Times New Roman" w:cs="Times New Roman"/>
          <w:sz w:val="24"/>
          <w:szCs w:val="24"/>
          <w:lang w:val="ro-RO"/>
        </w:rPr>
        <w:t xml:space="preserve"> și </w:t>
      </w:r>
      <w:r w:rsidR="005A4285">
        <w:rPr>
          <w:rFonts w:ascii="Times New Roman" w:hAnsi="Times New Roman" w:cs="Times New Roman"/>
          <w:sz w:val="24"/>
          <w:szCs w:val="24"/>
          <w:lang w:val="ro-RO"/>
        </w:rPr>
        <w:t>pe</w:t>
      </w:r>
      <w:r w:rsidRPr="00650D66">
        <w:rPr>
          <w:rFonts w:ascii="Times New Roman" w:hAnsi="Times New Roman" w:cs="Times New Roman"/>
          <w:sz w:val="24"/>
          <w:szCs w:val="24"/>
          <w:lang w:val="ro-RO"/>
        </w:rPr>
        <w:t xml:space="preserve"> aplicarea </w:t>
      </w:r>
      <w:r w:rsidR="00832D6D" w:rsidRPr="00650D66">
        <w:rPr>
          <w:rFonts w:ascii="Times New Roman" w:hAnsi="Times New Roman" w:cs="Times New Roman"/>
          <w:sz w:val="24"/>
          <w:szCs w:val="24"/>
          <w:lang w:val="ro-RO"/>
        </w:rPr>
        <w:t>procedurilor</w:t>
      </w:r>
      <w:r w:rsidRPr="00650D66">
        <w:rPr>
          <w:rFonts w:ascii="Times New Roman" w:hAnsi="Times New Roman" w:cs="Times New Roman"/>
          <w:sz w:val="24"/>
          <w:szCs w:val="24"/>
          <w:lang w:val="ro-RO"/>
        </w:rPr>
        <w:t xml:space="preserve"> de fond.</w:t>
      </w:r>
    </w:p>
    <w:p w14:paraId="045BE735" w14:textId="77777777" w:rsidR="00421DAC" w:rsidRPr="00650D66" w:rsidRDefault="00421DAC" w:rsidP="00421DAC">
      <w:pPr>
        <w:pStyle w:val="ListParagraph"/>
        <w:tabs>
          <w:tab w:val="left" w:pos="426"/>
        </w:tabs>
        <w:spacing w:after="0" w:line="276" w:lineRule="auto"/>
        <w:ind w:left="0"/>
        <w:jc w:val="both"/>
        <w:rPr>
          <w:rFonts w:ascii="Times New Roman" w:eastAsia="Times New Roman" w:hAnsi="Times New Roman" w:cs="Times New Roman"/>
          <w:b/>
          <w:sz w:val="6"/>
          <w:szCs w:val="6"/>
          <w:lang w:val="ro-RO" w:eastAsia="ro-MD"/>
        </w:rPr>
      </w:pPr>
    </w:p>
    <w:p w14:paraId="54C19952" w14:textId="77777777" w:rsidR="004842EC" w:rsidRPr="0091351D" w:rsidRDefault="004842EC" w:rsidP="004842EC">
      <w:pPr>
        <w:spacing w:after="0" w:line="276" w:lineRule="auto"/>
        <w:jc w:val="both"/>
        <w:rPr>
          <w:rFonts w:ascii="Times New Roman" w:eastAsia="Times New Roman" w:hAnsi="Times New Roman" w:cs="Times New Roman"/>
          <w:iCs/>
          <w:sz w:val="24"/>
          <w:szCs w:val="28"/>
          <w:lang w:val="ro-RO" w:eastAsia="ro-MD"/>
        </w:rPr>
      </w:pPr>
      <w:r w:rsidRPr="0091351D">
        <w:rPr>
          <w:rFonts w:ascii="Times New Roman" w:eastAsia="Times New Roman" w:hAnsi="Times New Roman" w:cs="Times New Roman"/>
          <w:iCs/>
          <w:sz w:val="24"/>
          <w:szCs w:val="28"/>
          <w:lang w:val="ro-RO" w:eastAsia="ro-MD"/>
        </w:rPr>
        <w:t>Generalizând constatările și concluziile formulate de audit</w:t>
      </w:r>
      <w:r w:rsidR="00A10559" w:rsidRPr="0091351D">
        <w:rPr>
          <w:rFonts w:ascii="Times New Roman" w:eastAsia="Times New Roman" w:hAnsi="Times New Roman" w:cs="Times New Roman"/>
          <w:iCs/>
          <w:sz w:val="24"/>
          <w:szCs w:val="28"/>
          <w:lang w:val="ro-RO" w:eastAsia="ro-MD"/>
        </w:rPr>
        <w:t>ul public extern</w:t>
      </w:r>
      <w:r w:rsidRPr="0091351D">
        <w:rPr>
          <w:rFonts w:ascii="Times New Roman" w:eastAsia="Times New Roman" w:hAnsi="Times New Roman" w:cs="Times New Roman"/>
          <w:iCs/>
          <w:sz w:val="24"/>
          <w:szCs w:val="28"/>
          <w:lang w:val="ro-RO" w:eastAsia="ro-MD"/>
        </w:rPr>
        <w:t xml:space="preserve">, </w:t>
      </w:r>
      <w:r w:rsidR="00C72E18">
        <w:rPr>
          <w:rFonts w:ascii="Times New Roman" w:eastAsia="Times New Roman" w:hAnsi="Times New Roman" w:cs="Times New Roman"/>
          <w:iCs/>
          <w:sz w:val="24"/>
          <w:szCs w:val="28"/>
          <w:lang w:val="ro-RO" w:eastAsia="ro-MD"/>
        </w:rPr>
        <w:t xml:space="preserve">ca </w:t>
      </w:r>
      <w:r w:rsidRPr="0091351D">
        <w:rPr>
          <w:rFonts w:ascii="Times New Roman" w:eastAsia="Times New Roman" w:hAnsi="Times New Roman" w:cs="Times New Roman"/>
          <w:iCs/>
          <w:sz w:val="24"/>
          <w:szCs w:val="28"/>
          <w:lang w:val="ro-RO" w:eastAsia="ro-MD"/>
        </w:rPr>
        <w:t xml:space="preserve">urmare </w:t>
      </w:r>
      <w:r w:rsidR="00C72E18">
        <w:rPr>
          <w:rFonts w:ascii="Times New Roman" w:eastAsia="Times New Roman" w:hAnsi="Times New Roman" w:cs="Times New Roman"/>
          <w:iCs/>
          <w:sz w:val="24"/>
          <w:szCs w:val="28"/>
          <w:lang w:val="ro-RO" w:eastAsia="ro-MD"/>
        </w:rPr>
        <w:t xml:space="preserve">a </w:t>
      </w:r>
      <w:r w:rsidRPr="0091351D">
        <w:rPr>
          <w:rFonts w:ascii="Times New Roman" w:eastAsia="Times New Roman" w:hAnsi="Times New Roman" w:cs="Times New Roman"/>
          <w:iCs/>
          <w:sz w:val="24"/>
          <w:szCs w:val="28"/>
          <w:lang w:val="ro-RO" w:eastAsia="ro-MD"/>
        </w:rPr>
        <w:t xml:space="preserve">verificării legalității și regularității executării devizelor de cheltuieli și alocațiilor pentru investiții de către BNM în perioada 2019-2022, </w:t>
      </w:r>
      <w:r w:rsidR="00B41CAD" w:rsidRPr="0091351D">
        <w:rPr>
          <w:rFonts w:ascii="Times New Roman" w:eastAsia="Times New Roman" w:hAnsi="Times New Roman" w:cs="Times New Roman"/>
          <w:iCs/>
          <w:sz w:val="24"/>
          <w:szCs w:val="28"/>
          <w:lang w:val="ro-RO" w:eastAsia="ro-MD"/>
        </w:rPr>
        <w:t>se prezintă sinteza acestora</w:t>
      </w:r>
      <w:r w:rsidR="00CA28F2" w:rsidRPr="0091351D">
        <w:rPr>
          <w:rFonts w:ascii="Times New Roman" w:eastAsia="Times New Roman" w:hAnsi="Times New Roman" w:cs="Times New Roman"/>
          <w:iCs/>
          <w:sz w:val="24"/>
          <w:szCs w:val="28"/>
          <w:lang w:val="ro-RO" w:eastAsia="ro-MD"/>
        </w:rPr>
        <w:t xml:space="preserve"> după cum urmează:</w:t>
      </w:r>
    </w:p>
    <w:p w14:paraId="2223BA0E" w14:textId="77777777" w:rsidR="001D03C2" w:rsidRPr="0091351D" w:rsidRDefault="001D03C2" w:rsidP="00421DAC">
      <w:pPr>
        <w:spacing w:after="0" w:line="276" w:lineRule="auto"/>
        <w:jc w:val="both"/>
        <w:rPr>
          <w:rFonts w:ascii="Times New Roman" w:eastAsia="Times New Roman" w:hAnsi="Times New Roman" w:cs="Times New Roman"/>
          <w:iCs/>
          <w:sz w:val="6"/>
          <w:szCs w:val="6"/>
          <w:lang w:val="ro-RO" w:eastAsia="ro-MD"/>
        </w:rPr>
      </w:pPr>
    </w:p>
    <w:p w14:paraId="4FA567B4" w14:textId="725BACD9" w:rsidR="009147DC" w:rsidRPr="0091351D" w:rsidRDefault="00AA4419" w:rsidP="00446055">
      <w:pPr>
        <w:pStyle w:val="ListParagraph"/>
        <w:numPr>
          <w:ilvl w:val="0"/>
          <w:numId w:val="13"/>
        </w:numPr>
        <w:tabs>
          <w:tab w:val="left" w:pos="142"/>
          <w:tab w:val="left" w:pos="993"/>
        </w:tabs>
        <w:spacing w:after="0" w:line="276" w:lineRule="auto"/>
        <w:ind w:left="0" w:firstLine="709"/>
        <w:jc w:val="both"/>
        <w:rPr>
          <w:rFonts w:ascii="Times New Roman" w:hAnsi="Times New Roman" w:cs="Times New Roman"/>
          <w:color w:val="000000" w:themeColor="text1"/>
          <w:sz w:val="24"/>
          <w:szCs w:val="24"/>
          <w:lang w:val="ro-RO"/>
        </w:rPr>
      </w:pPr>
      <w:r w:rsidRPr="0091351D">
        <w:rPr>
          <w:rFonts w:ascii="Times New Roman" w:hAnsi="Times New Roman" w:cs="Times New Roman"/>
          <w:color w:val="000000" w:themeColor="text1"/>
          <w:sz w:val="24"/>
          <w:szCs w:val="24"/>
          <w:lang w:val="ro-RO"/>
        </w:rPr>
        <w:t>unele reglementări privind</w:t>
      </w:r>
      <w:r w:rsidR="006B769C" w:rsidRPr="0091351D">
        <w:rPr>
          <w:rFonts w:ascii="Times New Roman" w:hAnsi="Times New Roman" w:cs="Times New Roman"/>
          <w:color w:val="000000" w:themeColor="text1"/>
          <w:sz w:val="24"/>
          <w:szCs w:val="24"/>
          <w:lang w:val="ro-RO"/>
        </w:rPr>
        <w:t xml:space="preserve"> </w:t>
      </w:r>
      <w:r w:rsidR="00392594" w:rsidRPr="0091351D">
        <w:rPr>
          <w:rFonts w:ascii="Times New Roman" w:hAnsi="Times New Roman" w:cs="Times New Roman"/>
          <w:color w:val="000000" w:themeColor="text1"/>
          <w:sz w:val="24"/>
          <w:szCs w:val="24"/>
          <w:lang w:val="ro-RO"/>
        </w:rPr>
        <w:t>planificarea și executarea devizului de cheltuieli ș</w:t>
      </w:r>
      <w:r w:rsidR="00F23F19" w:rsidRPr="0091351D">
        <w:rPr>
          <w:rFonts w:ascii="Times New Roman" w:hAnsi="Times New Roman" w:cs="Times New Roman"/>
          <w:color w:val="000000" w:themeColor="text1"/>
          <w:sz w:val="24"/>
          <w:szCs w:val="24"/>
          <w:lang w:val="ro-RO"/>
        </w:rPr>
        <w:t>i alocațiilor pentru investiții</w:t>
      </w:r>
      <w:r w:rsidRPr="0091351D">
        <w:rPr>
          <w:rFonts w:ascii="Times New Roman" w:hAnsi="Times New Roman" w:cs="Times New Roman"/>
          <w:color w:val="000000" w:themeColor="text1"/>
          <w:sz w:val="24"/>
          <w:szCs w:val="24"/>
          <w:lang w:val="ro-RO"/>
        </w:rPr>
        <w:t xml:space="preserve"> </w:t>
      </w:r>
      <w:r w:rsidR="00820E81" w:rsidRPr="0091351D">
        <w:rPr>
          <w:rFonts w:ascii="Times New Roman" w:hAnsi="Times New Roman" w:cs="Times New Roman"/>
          <w:color w:val="000000" w:themeColor="text1"/>
          <w:sz w:val="24"/>
          <w:szCs w:val="24"/>
          <w:lang w:val="ro-RO"/>
        </w:rPr>
        <w:t xml:space="preserve">necesită </w:t>
      </w:r>
      <w:r w:rsidRPr="0091351D">
        <w:rPr>
          <w:rFonts w:ascii="Times New Roman" w:hAnsi="Times New Roman" w:cs="Times New Roman"/>
          <w:color w:val="000000" w:themeColor="text1"/>
          <w:sz w:val="24"/>
          <w:szCs w:val="24"/>
          <w:lang w:val="ro-RO"/>
        </w:rPr>
        <w:t>îmbunătățire/revizuire</w:t>
      </w:r>
      <w:r w:rsidR="00446055" w:rsidRPr="0091351D">
        <w:rPr>
          <w:rFonts w:ascii="Times New Roman" w:hAnsi="Times New Roman" w:cs="Times New Roman"/>
          <w:i/>
          <w:color w:val="000000" w:themeColor="text1"/>
          <w:sz w:val="24"/>
          <w:szCs w:val="24"/>
          <w:lang w:val="ro-RO"/>
        </w:rPr>
        <w:t xml:space="preserve"> (pct. 4.1.1</w:t>
      </w:r>
      <w:r w:rsidR="00820E81" w:rsidRPr="0091351D">
        <w:rPr>
          <w:rFonts w:ascii="Times New Roman" w:hAnsi="Times New Roman" w:cs="Times New Roman"/>
          <w:i/>
          <w:color w:val="000000" w:themeColor="text1"/>
          <w:sz w:val="24"/>
          <w:szCs w:val="24"/>
          <w:lang w:val="ro-RO"/>
        </w:rPr>
        <w:t>)</w:t>
      </w:r>
      <w:r w:rsidR="00C72E18">
        <w:rPr>
          <w:rFonts w:ascii="Times New Roman" w:hAnsi="Times New Roman" w:cs="Times New Roman"/>
          <w:i/>
          <w:color w:val="000000" w:themeColor="text1"/>
          <w:sz w:val="24"/>
          <w:szCs w:val="24"/>
          <w:lang w:val="ro-RO"/>
        </w:rPr>
        <w:t>;</w:t>
      </w:r>
    </w:p>
    <w:p w14:paraId="17883C36" w14:textId="4202FD37" w:rsidR="008C2FDC" w:rsidRPr="0091351D" w:rsidRDefault="004C24D3" w:rsidP="00ED3E6C">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o-RO"/>
        </w:rPr>
      </w:pPr>
      <w:r w:rsidRPr="0091351D">
        <w:rPr>
          <w:rFonts w:ascii="Times New Roman" w:hAnsi="Times New Roman" w:cs="Times New Roman"/>
          <w:color w:val="000000" w:themeColor="text1"/>
          <w:sz w:val="24"/>
          <w:szCs w:val="24"/>
          <w:lang w:val="ro-RO"/>
        </w:rPr>
        <w:t>planificarea devizului de cheltuieli și alocațiilor pentru investiții în perioada 2019-2022</w:t>
      </w:r>
      <w:r w:rsidR="00310851" w:rsidRPr="0091351D">
        <w:rPr>
          <w:rFonts w:ascii="Times New Roman" w:hAnsi="Times New Roman" w:cs="Times New Roman"/>
          <w:color w:val="000000" w:themeColor="text1"/>
          <w:sz w:val="24"/>
          <w:szCs w:val="24"/>
          <w:lang w:val="ro-RO"/>
        </w:rPr>
        <w:t xml:space="preserve"> include </w:t>
      </w:r>
      <w:r w:rsidRPr="0091351D">
        <w:rPr>
          <w:rFonts w:ascii="Times New Roman" w:hAnsi="Times New Roman" w:cs="Times New Roman"/>
          <w:color w:val="000000" w:themeColor="text1"/>
          <w:sz w:val="24"/>
          <w:szCs w:val="24"/>
          <w:lang w:val="ro-RO"/>
        </w:rPr>
        <w:t>estimarea necesităților anuale</w:t>
      </w:r>
      <w:r w:rsidR="007E3F07" w:rsidRPr="0091351D">
        <w:rPr>
          <w:rFonts w:ascii="Times New Roman" w:hAnsi="Times New Roman" w:cs="Times New Roman"/>
          <w:color w:val="000000" w:themeColor="text1"/>
          <w:sz w:val="24"/>
          <w:szCs w:val="24"/>
          <w:lang w:val="ro-RO"/>
        </w:rPr>
        <w:t xml:space="preserve"> </w:t>
      </w:r>
      <w:r w:rsidR="00310851" w:rsidRPr="0091351D">
        <w:rPr>
          <w:rFonts w:ascii="Times New Roman" w:hAnsi="Times New Roman" w:cs="Times New Roman"/>
          <w:color w:val="000000" w:themeColor="text1"/>
          <w:sz w:val="24"/>
          <w:szCs w:val="24"/>
          <w:lang w:val="ro-RO"/>
        </w:rPr>
        <w:t>cu un nivel redus de executare</w:t>
      </w:r>
      <w:r w:rsidR="007E3F07" w:rsidRPr="0091351D">
        <w:rPr>
          <w:rFonts w:ascii="Times New Roman" w:hAnsi="Times New Roman" w:cs="Times New Roman"/>
          <w:color w:val="000000" w:themeColor="text1"/>
          <w:sz w:val="24"/>
          <w:szCs w:val="24"/>
          <w:lang w:val="ro-RO"/>
        </w:rPr>
        <w:t xml:space="preserve"> a acestora</w:t>
      </w:r>
      <w:r w:rsidRPr="0091351D">
        <w:rPr>
          <w:rFonts w:ascii="Times New Roman" w:hAnsi="Times New Roman" w:cs="Times New Roman"/>
          <w:i/>
          <w:color w:val="000000" w:themeColor="text1"/>
          <w:sz w:val="24"/>
          <w:szCs w:val="24"/>
          <w:lang w:val="ro-RO"/>
        </w:rPr>
        <w:t xml:space="preserve"> (pct. 4.2.1)</w:t>
      </w:r>
      <w:r w:rsidR="00C72E18">
        <w:rPr>
          <w:rFonts w:ascii="Times New Roman" w:hAnsi="Times New Roman" w:cs="Times New Roman"/>
          <w:i/>
          <w:color w:val="000000" w:themeColor="text1"/>
          <w:sz w:val="24"/>
          <w:szCs w:val="24"/>
          <w:lang w:val="ro-RO"/>
        </w:rPr>
        <w:t>;</w:t>
      </w:r>
    </w:p>
    <w:p w14:paraId="607A9298" w14:textId="07B8FA14" w:rsidR="00254FA6" w:rsidRPr="00650D66" w:rsidRDefault="00221A15" w:rsidP="00254FA6">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din totalul cheltuielilor administrative executate de către BNM în perioada 2019-2022, ponderea semnificativă (73,8%) constituie cheltuielile privind retribuirea personalului, fiind executate în conformitate cu reglementările interne</w:t>
      </w:r>
      <w:r w:rsidRPr="00650D66">
        <w:rPr>
          <w:rFonts w:ascii="Times New Roman" w:hAnsi="Times New Roman" w:cs="Times New Roman"/>
          <w:i/>
          <w:color w:val="000000" w:themeColor="text1"/>
          <w:sz w:val="24"/>
          <w:szCs w:val="24"/>
          <w:lang w:val="ro-RO"/>
        </w:rPr>
        <w:t xml:space="preserve"> (pct. </w:t>
      </w:r>
      <w:r w:rsidR="008C2FDC" w:rsidRPr="00650D66">
        <w:rPr>
          <w:rFonts w:ascii="Times New Roman" w:hAnsi="Times New Roman" w:cs="Times New Roman"/>
          <w:i/>
          <w:color w:val="000000" w:themeColor="text1"/>
          <w:sz w:val="24"/>
          <w:szCs w:val="24"/>
          <w:lang w:val="ro-RO"/>
        </w:rPr>
        <w:t>4.2.2</w:t>
      </w:r>
      <w:r w:rsidRPr="00650D66">
        <w:rPr>
          <w:rFonts w:ascii="Times New Roman" w:hAnsi="Times New Roman" w:cs="Times New Roman"/>
          <w:i/>
          <w:color w:val="000000" w:themeColor="text1"/>
          <w:sz w:val="24"/>
          <w:szCs w:val="24"/>
          <w:lang w:val="ro-RO"/>
        </w:rPr>
        <w:t>)</w:t>
      </w:r>
      <w:r w:rsidR="00C72E18">
        <w:rPr>
          <w:rFonts w:ascii="Times New Roman" w:hAnsi="Times New Roman" w:cs="Times New Roman"/>
          <w:i/>
          <w:color w:val="000000" w:themeColor="text1"/>
          <w:sz w:val="24"/>
          <w:szCs w:val="24"/>
          <w:lang w:val="ro-RO"/>
        </w:rPr>
        <w:t>;</w:t>
      </w:r>
    </w:p>
    <w:p w14:paraId="5956CD26" w14:textId="5E5E9599" w:rsidR="007B1D3C" w:rsidRPr="007B1D3C" w:rsidRDefault="006A3DDE" w:rsidP="007B1D3C">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l</w:t>
      </w:r>
      <w:r w:rsidR="00254FA6" w:rsidRPr="00650D66">
        <w:rPr>
          <w:rFonts w:ascii="Times New Roman" w:hAnsi="Times New Roman" w:cs="Times New Roman"/>
          <w:color w:val="000000" w:themeColor="text1"/>
          <w:sz w:val="24"/>
          <w:szCs w:val="24"/>
          <w:lang w:val="ro-RO"/>
        </w:rPr>
        <w:t xml:space="preserve">a executarea cheltuielilor pentru  delegarea și instruirea profesională a salariaților BNM au fost identificate unele </w:t>
      </w:r>
      <w:r w:rsidR="009F2B39" w:rsidRPr="00650D66">
        <w:rPr>
          <w:rFonts w:ascii="Times New Roman" w:hAnsi="Times New Roman" w:cs="Times New Roman"/>
          <w:color w:val="000000" w:themeColor="text1"/>
          <w:sz w:val="24"/>
          <w:szCs w:val="24"/>
          <w:lang w:val="ro-RO"/>
        </w:rPr>
        <w:t>carențe</w:t>
      </w:r>
      <w:r w:rsidR="00254FA6" w:rsidRPr="00650D66">
        <w:rPr>
          <w:rFonts w:ascii="Times New Roman" w:hAnsi="Times New Roman" w:cs="Times New Roman"/>
          <w:color w:val="000000" w:themeColor="text1"/>
          <w:sz w:val="24"/>
          <w:szCs w:val="24"/>
          <w:lang w:val="ro-RO"/>
        </w:rPr>
        <w:t xml:space="preserve"> </w:t>
      </w:r>
      <w:r w:rsidR="009C09AE" w:rsidRPr="00650D66">
        <w:rPr>
          <w:rFonts w:ascii="Times New Roman" w:hAnsi="Times New Roman" w:cs="Times New Roman"/>
          <w:i/>
          <w:color w:val="000000" w:themeColor="text1"/>
          <w:sz w:val="24"/>
          <w:szCs w:val="24"/>
          <w:lang w:val="ro-RO"/>
        </w:rPr>
        <w:t>(pct. 4.2.3)</w:t>
      </w:r>
      <w:r w:rsidR="00C72E18">
        <w:rPr>
          <w:rFonts w:ascii="Times New Roman" w:hAnsi="Times New Roman" w:cs="Times New Roman"/>
          <w:i/>
          <w:color w:val="000000" w:themeColor="text1"/>
          <w:sz w:val="24"/>
          <w:szCs w:val="24"/>
          <w:lang w:val="ro-RO"/>
        </w:rPr>
        <w:t>;</w:t>
      </w:r>
    </w:p>
    <w:p w14:paraId="72091546" w14:textId="6D9E0198" w:rsidR="006A3DDE" w:rsidRPr="007B1D3C" w:rsidRDefault="007B1D3C" w:rsidP="007B1D3C">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w:t>
      </w:r>
      <w:r w:rsidRPr="007B1D3C">
        <w:rPr>
          <w:rFonts w:ascii="Times New Roman" w:hAnsi="Times New Roman" w:cs="Times New Roman"/>
          <w:color w:val="000000" w:themeColor="text1"/>
          <w:sz w:val="24"/>
          <w:szCs w:val="24"/>
          <w:lang w:val="ro-RO"/>
        </w:rPr>
        <w:t>e atestă neremedierea problematicii constatate anterior de către Curtea de Conturi, nefiind actualizate reglementările interne privind cheltuielile de reprezentanță</w:t>
      </w:r>
      <w:r w:rsidR="00423B86" w:rsidRPr="007B1D3C">
        <w:rPr>
          <w:rFonts w:ascii="Times New Roman" w:hAnsi="Times New Roman" w:cs="Times New Roman"/>
          <w:i/>
          <w:color w:val="000000" w:themeColor="text1"/>
          <w:sz w:val="24"/>
          <w:szCs w:val="24"/>
          <w:lang w:val="ro-RO"/>
        </w:rPr>
        <w:t xml:space="preserve"> (pct. 4.2.4)</w:t>
      </w:r>
      <w:r w:rsidR="00C72E18">
        <w:rPr>
          <w:rFonts w:ascii="Times New Roman" w:hAnsi="Times New Roman" w:cs="Times New Roman"/>
          <w:i/>
          <w:color w:val="000000" w:themeColor="text1"/>
          <w:sz w:val="24"/>
          <w:szCs w:val="24"/>
          <w:lang w:val="ro-RO"/>
        </w:rPr>
        <w:t>;</w:t>
      </w:r>
    </w:p>
    <w:p w14:paraId="618222E7" w14:textId="61B01D73" w:rsidR="006A3DDE" w:rsidRPr="00650D66" w:rsidRDefault="006A3DDE" w:rsidP="006A3DDE">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executarea unor cheltuieli sociale care nu se regăsesc expres în cadrul normativ intern aprobat, iar asupra unui obiect</w:t>
      </w:r>
      <w:r w:rsidR="00CE0897">
        <w:rPr>
          <w:rFonts w:ascii="Times New Roman" w:hAnsi="Times New Roman" w:cs="Times New Roman"/>
          <w:color w:val="000000" w:themeColor="text1"/>
          <w:sz w:val="24"/>
          <w:szCs w:val="24"/>
          <w:lang w:val="ro-RO"/>
        </w:rPr>
        <w:t>iv</w:t>
      </w:r>
      <w:r w:rsidRPr="00650D66">
        <w:rPr>
          <w:rFonts w:ascii="Times New Roman" w:hAnsi="Times New Roman" w:cs="Times New Roman"/>
          <w:color w:val="000000" w:themeColor="text1"/>
          <w:sz w:val="24"/>
          <w:szCs w:val="24"/>
          <w:lang w:val="ro-RO"/>
        </w:rPr>
        <w:t xml:space="preserve"> social-cultural nu a fost înregistrat dreptul de proprietate</w:t>
      </w:r>
      <w:r w:rsidRPr="00650D66">
        <w:rPr>
          <w:lang w:val="ro-RO"/>
        </w:rPr>
        <w:t xml:space="preserve"> </w:t>
      </w:r>
      <w:r w:rsidRPr="00650D66">
        <w:rPr>
          <w:rFonts w:ascii="Times New Roman" w:hAnsi="Times New Roman" w:cs="Times New Roman"/>
          <w:i/>
          <w:color w:val="000000" w:themeColor="text1"/>
          <w:sz w:val="24"/>
          <w:szCs w:val="24"/>
          <w:lang w:val="ro-RO"/>
        </w:rPr>
        <w:t>(pct. 4.2.5)</w:t>
      </w:r>
      <w:r w:rsidR="00C72E18">
        <w:rPr>
          <w:rFonts w:ascii="Times New Roman" w:hAnsi="Times New Roman" w:cs="Times New Roman"/>
          <w:i/>
          <w:color w:val="000000" w:themeColor="text1"/>
          <w:sz w:val="24"/>
          <w:szCs w:val="24"/>
          <w:lang w:val="ro-RO"/>
        </w:rPr>
        <w:t>;</w:t>
      </w:r>
    </w:p>
    <w:p w14:paraId="5881D727" w14:textId="3C66C115" w:rsidR="006A3DDE" w:rsidRPr="00650D66" w:rsidRDefault="006A3DDE" w:rsidP="006A3DDE">
      <w:pPr>
        <w:pStyle w:val="ListParagraph"/>
        <w:numPr>
          <w:ilvl w:val="0"/>
          <w:numId w:val="15"/>
        </w:numPr>
        <w:tabs>
          <w:tab w:val="left" w:pos="993"/>
        </w:tabs>
        <w:ind w:left="0" w:firstLine="709"/>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 xml:space="preserve">beneficii oferite angajaților BNM, prin crearea cantinei, </w:t>
      </w:r>
      <w:r w:rsidR="00C72E18">
        <w:rPr>
          <w:rFonts w:ascii="Times New Roman" w:hAnsi="Times New Roman" w:cs="Times New Roman"/>
          <w:color w:val="000000" w:themeColor="text1"/>
          <w:sz w:val="24"/>
          <w:szCs w:val="24"/>
          <w:lang w:val="ro-RO"/>
        </w:rPr>
        <w:t xml:space="preserve">însă </w:t>
      </w:r>
      <w:r w:rsidRPr="00650D66">
        <w:rPr>
          <w:rFonts w:ascii="Times New Roman" w:hAnsi="Times New Roman" w:cs="Times New Roman"/>
          <w:color w:val="000000" w:themeColor="text1"/>
          <w:sz w:val="24"/>
          <w:szCs w:val="24"/>
          <w:lang w:val="ro-RO"/>
        </w:rPr>
        <w:t>în lipsa unei evidențe separate a acestora și în lipsa reglementării calculelor adaosului comercial</w:t>
      </w:r>
      <w:r w:rsidRPr="00650D66">
        <w:rPr>
          <w:lang w:val="ro-RO"/>
        </w:rPr>
        <w:t xml:space="preserve"> </w:t>
      </w:r>
      <w:r w:rsidRPr="00650D66">
        <w:rPr>
          <w:rFonts w:ascii="Times New Roman" w:hAnsi="Times New Roman" w:cs="Times New Roman"/>
          <w:i/>
          <w:color w:val="000000" w:themeColor="text1"/>
          <w:sz w:val="24"/>
          <w:szCs w:val="24"/>
          <w:lang w:val="ro-RO"/>
        </w:rPr>
        <w:t>(pct. 4.2.6)</w:t>
      </w:r>
      <w:r w:rsidR="00C72E18">
        <w:rPr>
          <w:rFonts w:ascii="Times New Roman" w:hAnsi="Times New Roman" w:cs="Times New Roman"/>
          <w:i/>
          <w:color w:val="000000" w:themeColor="text1"/>
          <w:sz w:val="24"/>
          <w:szCs w:val="24"/>
          <w:lang w:val="ro-RO"/>
        </w:rPr>
        <w:t>;</w:t>
      </w:r>
    </w:p>
    <w:p w14:paraId="0827C7D7" w14:textId="4D0A2994" w:rsidR="00334570" w:rsidRPr="00650D66" w:rsidRDefault="00EA37C1" w:rsidP="00334570">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 xml:space="preserve">nevalorificarea mijloacelor financiare planificate pentru achiziționarea bunurilor, lucrărilor și serviciilor în perioada auditată și organizarea procedurilor de achiziții cu unele </w:t>
      </w:r>
      <w:r w:rsidR="002768FF" w:rsidRPr="00650D66">
        <w:rPr>
          <w:rFonts w:ascii="Times New Roman" w:hAnsi="Times New Roman" w:cs="Times New Roman"/>
          <w:color w:val="000000" w:themeColor="text1"/>
          <w:sz w:val="24"/>
          <w:szCs w:val="24"/>
          <w:lang w:val="ro-RO"/>
        </w:rPr>
        <w:t>problematici</w:t>
      </w:r>
      <w:r w:rsidRPr="00650D66">
        <w:rPr>
          <w:rFonts w:ascii="Times New Roman" w:hAnsi="Times New Roman" w:cs="Times New Roman"/>
          <w:i/>
          <w:color w:val="000000" w:themeColor="text1"/>
          <w:sz w:val="24"/>
          <w:szCs w:val="24"/>
          <w:lang w:val="ro-RO"/>
        </w:rPr>
        <w:t xml:space="preserve"> (pct. 4.3.1)</w:t>
      </w:r>
      <w:r w:rsidR="00C72E18">
        <w:rPr>
          <w:rFonts w:ascii="Times New Roman" w:hAnsi="Times New Roman" w:cs="Times New Roman"/>
          <w:i/>
          <w:color w:val="000000" w:themeColor="text1"/>
          <w:sz w:val="24"/>
          <w:szCs w:val="24"/>
          <w:lang w:val="ro-RO"/>
        </w:rPr>
        <w:t>;</w:t>
      </w:r>
    </w:p>
    <w:p w14:paraId="792A4052" w14:textId="19EA02A3" w:rsidR="000C0E3D" w:rsidRPr="00650D66" w:rsidRDefault="00EA37C1" w:rsidP="000C0E3D">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color w:val="000000" w:themeColor="text1"/>
          <w:sz w:val="24"/>
          <w:szCs w:val="24"/>
          <w:lang w:val="ro-RO"/>
        </w:rPr>
      </w:pPr>
      <w:r w:rsidRPr="00CE4C03">
        <w:rPr>
          <w:rFonts w:ascii="Times New Roman" w:hAnsi="Times New Roman" w:cs="Times New Roman"/>
          <w:color w:val="000000" w:themeColor="text1"/>
          <w:sz w:val="24"/>
          <w:szCs w:val="24"/>
          <w:lang w:val="ro-RO"/>
        </w:rPr>
        <w:lastRenderedPageBreak/>
        <w:t>la organizarea procedurilor de achiziții a lucrărilor se evidențiază</w:t>
      </w:r>
      <w:r w:rsidR="00C04890" w:rsidRPr="00CE4C03">
        <w:rPr>
          <w:rFonts w:ascii="Times New Roman" w:hAnsi="Times New Roman" w:cs="Times New Roman"/>
          <w:color w:val="000000" w:themeColor="text1"/>
          <w:sz w:val="24"/>
          <w:szCs w:val="24"/>
          <w:lang w:val="ro-RO"/>
        </w:rPr>
        <w:t xml:space="preserve"> unele dificultăți la </w:t>
      </w:r>
      <w:r w:rsidRPr="00CE4C03">
        <w:rPr>
          <w:rFonts w:ascii="Times New Roman" w:hAnsi="Times New Roman" w:cs="Times New Roman"/>
          <w:color w:val="000000" w:themeColor="text1"/>
          <w:sz w:val="24"/>
          <w:szCs w:val="24"/>
          <w:lang w:val="ro-RO"/>
        </w:rPr>
        <w:t xml:space="preserve">selectarea ofertelor câștigătoare, </w:t>
      </w:r>
      <w:r w:rsidR="00BF7F6C" w:rsidRPr="00CE4C03">
        <w:rPr>
          <w:rFonts w:ascii="Times New Roman" w:hAnsi="Times New Roman" w:cs="Times New Roman"/>
          <w:color w:val="000000" w:themeColor="text1"/>
          <w:sz w:val="24"/>
          <w:szCs w:val="24"/>
          <w:lang w:val="ro-RO"/>
        </w:rPr>
        <w:t>aspect identificat și de către BNM</w:t>
      </w:r>
      <w:r w:rsidR="000C0E3D" w:rsidRPr="000C0E3D">
        <w:rPr>
          <w:rFonts w:ascii="Times New Roman" w:hAnsi="Times New Roman" w:cs="Times New Roman"/>
          <w:i/>
          <w:color w:val="000000" w:themeColor="text1"/>
          <w:sz w:val="24"/>
          <w:szCs w:val="24"/>
          <w:lang w:val="ro-RO"/>
        </w:rPr>
        <w:t xml:space="preserve"> </w:t>
      </w:r>
      <w:r w:rsidR="000C0E3D" w:rsidRPr="00650D66">
        <w:rPr>
          <w:rFonts w:ascii="Times New Roman" w:hAnsi="Times New Roman" w:cs="Times New Roman"/>
          <w:i/>
          <w:color w:val="000000" w:themeColor="text1"/>
          <w:sz w:val="24"/>
          <w:szCs w:val="24"/>
          <w:lang w:val="ro-RO"/>
        </w:rPr>
        <w:t>(pct. 4.3.2)</w:t>
      </w:r>
      <w:r w:rsidR="00C72E18">
        <w:rPr>
          <w:rFonts w:ascii="Times New Roman" w:hAnsi="Times New Roman" w:cs="Times New Roman"/>
          <w:i/>
          <w:color w:val="000000" w:themeColor="text1"/>
          <w:sz w:val="24"/>
          <w:szCs w:val="24"/>
          <w:lang w:val="ro-RO"/>
        </w:rPr>
        <w:t>;</w:t>
      </w:r>
    </w:p>
    <w:p w14:paraId="64F272FD" w14:textId="15B05D6E" w:rsidR="00EA37C1" w:rsidRPr="00EC1965" w:rsidRDefault="00C04890" w:rsidP="00334570">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w:t>
      </w:r>
      <w:r w:rsidR="00334570" w:rsidRPr="00650D66">
        <w:rPr>
          <w:rFonts w:ascii="Times New Roman" w:hAnsi="Times New Roman" w:cs="Times New Roman"/>
          <w:color w:val="000000" w:themeColor="text1"/>
          <w:sz w:val="24"/>
          <w:szCs w:val="24"/>
          <w:lang w:val="ro-RO"/>
        </w:rPr>
        <w:t xml:space="preserve">heltuielile pentru lucrările de reparație în sumă de </w:t>
      </w:r>
      <w:r w:rsidR="0004633E">
        <w:rPr>
          <w:rFonts w:ascii="Times New Roman" w:hAnsi="Times New Roman" w:cs="Times New Roman"/>
          <w:color w:val="000000" w:themeColor="text1"/>
          <w:sz w:val="24"/>
          <w:szCs w:val="24"/>
          <w:lang w:val="ro-RO"/>
        </w:rPr>
        <w:t>3,2</w:t>
      </w:r>
      <w:r w:rsidR="00334570" w:rsidRPr="00650D66">
        <w:rPr>
          <w:rFonts w:ascii="Times New Roman" w:hAnsi="Times New Roman" w:cs="Times New Roman"/>
          <w:color w:val="000000" w:themeColor="text1"/>
          <w:sz w:val="24"/>
          <w:szCs w:val="24"/>
          <w:lang w:val="ro-RO"/>
        </w:rPr>
        <w:t xml:space="preserve"> mil. lei efectuate în perioada auditată au fost reflectate la cheltuieli administrativ</w:t>
      </w:r>
      <w:r w:rsidR="006850B8" w:rsidRPr="00650D66">
        <w:rPr>
          <w:rFonts w:ascii="Times New Roman" w:hAnsi="Times New Roman" w:cs="Times New Roman"/>
          <w:color w:val="000000" w:themeColor="text1"/>
          <w:sz w:val="24"/>
          <w:szCs w:val="24"/>
          <w:lang w:val="ro-RO"/>
        </w:rPr>
        <w:t>e, dar nu atribuite la majorarea</w:t>
      </w:r>
      <w:r w:rsidR="00334570" w:rsidRPr="00650D66">
        <w:rPr>
          <w:rFonts w:ascii="Times New Roman" w:hAnsi="Times New Roman" w:cs="Times New Roman"/>
          <w:color w:val="000000" w:themeColor="text1"/>
          <w:sz w:val="24"/>
          <w:szCs w:val="24"/>
          <w:lang w:val="ro-RO"/>
        </w:rPr>
        <w:t xml:space="preserve"> valorii bunului, </w:t>
      </w:r>
      <w:r w:rsidR="00334570" w:rsidRPr="00EC1965">
        <w:rPr>
          <w:rFonts w:ascii="Times New Roman" w:hAnsi="Times New Roman" w:cs="Times New Roman"/>
          <w:color w:val="000000" w:themeColor="text1"/>
          <w:sz w:val="24"/>
          <w:szCs w:val="24"/>
          <w:lang w:val="ro-RO"/>
        </w:rPr>
        <w:t xml:space="preserve">deși sunt îndeplinite criteriile de recunoaștere potrivit prevederilor IAS 16 ,,Imobilizări corporale”. În acest aspect, auditul </w:t>
      </w:r>
      <w:r w:rsidR="00C72E18">
        <w:rPr>
          <w:rFonts w:ascii="Times New Roman" w:hAnsi="Times New Roman" w:cs="Times New Roman"/>
          <w:color w:val="000000" w:themeColor="text1"/>
          <w:sz w:val="24"/>
          <w:szCs w:val="24"/>
          <w:lang w:val="ro-RO"/>
        </w:rPr>
        <w:t xml:space="preserve">a </w:t>
      </w:r>
      <w:r w:rsidR="00334570" w:rsidRPr="00EC1965">
        <w:rPr>
          <w:rFonts w:ascii="Times New Roman" w:hAnsi="Times New Roman" w:cs="Times New Roman"/>
          <w:color w:val="000000" w:themeColor="text1"/>
          <w:sz w:val="24"/>
          <w:szCs w:val="24"/>
          <w:lang w:val="ro-RO"/>
        </w:rPr>
        <w:t>evidenți</w:t>
      </w:r>
      <w:r w:rsidR="00C72E18">
        <w:rPr>
          <w:rFonts w:ascii="Times New Roman" w:hAnsi="Times New Roman" w:cs="Times New Roman"/>
          <w:color w:val="000000" w:themeColor="text1"/>
          <w:sz w:val="24"/>
          <w:szCs w:val="24"/>
          <w:lang w:val="ro-RO"/>
        </w:rPr>
        <w:t>at</w:t>
      </w:r>
      <w:r w:rsidR="00334570" w:rsidRPr="00EC1965">
        <w:rPr>
          <w:rFonts w:ascii="Times New Roman" w:hAnsi="Times New Roman" w:cs="Times New Roman"/>
          <w:color w:val="000000" w:themeColor="text1"/>
          <w:sz w:val="24"/>
          <w:szCs w:val="24"/>
          <w:lang w:val="ro-RO"/>
        </w:rPr>
        <w:t xml:space="preserve"> necesitatea aplicării conforme a cadrului de raportare aplicabil</w:t>
      </w:r>
      <w:r w:rsidR="00334570" w:rsidRPr="00EC1965">
        <w:rPr>
          <w:rFonts w:ascii="Times New Roman" w:hAnsi="Times New Roman" w:cs="Times New Roman"/>
          <w:i/>
          <w:color w:val="000000" w:themeColor="text1"/>
          <w:sz w:val="24"/>
          <w:szCs w:val="24"/>
          <w:lang w:val="ro-RO"/>
        </w:rPr>
        <w:t xml:space="preserve"> </w:t>
      </w:r>
      <w:r w:rsidR="00EA37C1" w:rsidRPr="00EC1965">
        <w:rPr>
          <w:rFonts w:ascii="Times New Roman" w:hAnsi="Times New Roman" w:cs="Times New Roman"/>
          <w:i/>
          <w:color w:val="000000" w:themeColor="text1"/>
          <w:sz w:val="24"/>
          <w:szCs w:val="24"/>
          <w:lang w:val="ro-RO"/>
        </w:rPr>
        <w:t>(pct. 4.3.2)</w:t>
      </w:r>
      <w:r w:rsidR="00C72E18">
        <w:rPr>
          <w:rFonts w:ascii="Times New Roman" w:hAnsi="Times New Roman" w:cs="Times New Roman"/>
          <w:i/>
          <w:color w:val="000000" w:themeColor="text1"/>
          <w:sz w:val="24"/>
          <w:szCs w:val="24"/>
          <w:lang w:val="ro-RO"/>
        </w:rPr>
        <w:t>;</w:t>
      </w:r>
    </w:p>
    <w:p w14:paraId="44322EA6" w14:textId="6C182CB9" w:rsidR="003A5378" w:rsidRPr="00EC1965" w:rsidRDefault="00960037" w:rsidP="00A3288E">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iCs/>
          <w:color w:val="000000" w:themeColor="text1"/>
          <w:sz w:val="24"/>
          <w:szCs w:val="24"/>
          <w:lang w:val="ro-RO"/>
        </w:rPr>
      </w:pPr>
      <w:r w:rsidRPr="00EC1965">
        <w:rPr>
          <w:rFonts w:ascii="Times New Roman" w:hAnsi="Times New Roman" w:cs="Times New Roman"/>
          <w:iCs/>
          <w:color w:val="000000" w:themeColor="text1"/>
          <w:sz w:val="24"/>
          <w:szCs w:val="24"/>
          <w:lang w:val="ro-RO"/>
        </w:rPr>
        <w:t>BNM</w:t>
      </w:r>
      <w:r w:rsidR="00131427" w:rsidRPr="00EC1965">
        <w:rPr>
          <w:rFonts w:ascii="Times New Roman" w:hAnsi="Times New Roman" w:cs="Times New Roman"/>
          <w:iCs/>
          <w:color w:val="000000" w:themeColor="text1"/>
          <w:sz w:val="24"/>
          <w:szCs w:val="24"/>
          <w:lang w:val="ro-RO"/>
        </w:rPr>
        <w:t xml:space="preserve"> dispune de un sistem de control intern </w:t>
      </w:r>
      <w:r w:rsidR="00216E83" w:rsidRPr="00EC1965">
        <w:rPr>
          <w:rFonts w:ascii="Times New Roman" w:hAnsi="Times New Roman" w:cs="Times New Roman"/>
          <w:iCs/>
          <w:color w:val="000000" w:themeColor="text1"/>
          <w:sz w:val="24"/>
          <w:szCs w:val="24"/>
          <w:lang w:val="ro-RO"/>
        </w:rPr>
        <w:t xml:space="preserve">aferent executării devizului de cheltuieli, </w:t>
      </w:r>
      <w:r w:rsidR="004B19F2" w:rsidRPr="00EC1965">
        <w:rPr>
          <w:rFonts w:ascii="Times New Roman" w:hAnsi="Times New Roman" w:cs="Times New Roman"/>
          <w:iCs/>
          <w:color w:val="000000" w:themeColor="text1"/>
          <w:sz w:val="24"/>
          <w:szCs w:val="24"/>
          <w:lang w:val="ro-RO"/>
        </w:rPr>
        <w:t>organizarea</w:t>
      </w:r>
      <w:r w:rsidR="00131427" w:rsidRPr="00EC1965">
        <w:rPr>
          <w:rFonts w:ascii="Times New Roman" w:hAnsi="Times New Roman" w:cs="Times New Roman"/>
          <w:iCs/>
          <w:color w:val="000000" w:themeColor="text1"/>
          <w:sz w:val="24"/>
          <w:szCs w:val="24"/>
          <w:lang w:val="ro-RO"/>
        </w:rPr>
        <w:t xml:space="preserve"> și funcționare</w:t>
      </w:r>
      <w:r w:rsidR="004B19F2" w:rsidRPr="00EC1965">
        <w:rPr>
          <w:rFonts w:ascii="Times New Roman" w:hAnsi="Times New Roman" w:cs="Times New Roman"/>
          <w:iCs/>
          <w:color w:val="000000" w:themeColor="text1"/>
          <w:sz w:val="24"/>
          <w:szCs w:val="24"/>
          <w:lang w:val="ro-RO"/>
        </w:rPr>
        <w:t>a</w:t>
      </w:r>
      <w:r w:rsidR="00131427" w:rsidRPr="00EC1965">
        <w:rPr>
          <w:rFonts w:ascii="Times New Roman" w:hAnsi="Times New Roman" w:cs="Times New Roman"/>
          <w:iCs/>
          <w:color w:val="000000" w:themeColor="text1"/>
          <w:sz w:val="24"/>
          <w:szCs w:val="24"/>
          <w:lang w:val="ro-RO"/>
        </w:rPr>
        <w:t xml:space="preserve"> </w:t>
      </w:r>
      <w:r w:rsidR="00A054D3" w:rsidRPr="00EC1965">
        <w:rPr>
          <w:rFonts w:ascii="Times New Roman" w:hAnsi="Times New Roman" w:cs="Times New Roman"/>
          <w:iCs/>
          <w:color w:val="000000" w:themeColor="text1"/>
          <w:sz w:val="24"/>
          <w:szCs w:val="24"/>
          <w:lang w:val="ro-RO"/>
        </w:rPr>
        <w:t xml:space="preserve">acestuia </w:t>
      </w:r>
      <w:r w:rsidR="000C0E3D" w:rsidRPr="00EC1965">
        <w:rPr>
          <w:rFonts w:ascii="Times New Roman" w:hAnsi="Times New Roman" w:cs="Times New Roman"/>
          <w:iCs/>
          <w:color w:val="000000" w:themeColor="text1"/>
          <w:sz w:val="24"/>
          <w:szCs w:val="24"/>
          <w:lang w:val="ro-RO"/>
        </w:rPr>
        <w:t xml:space="preserve">fiind </w:t>
      </w:r>
      <w:r w:rsidR="003A5378" w:rsidRPr="00EC1965">
        <w:rPr>
          <w:rFonts w:ascii="Times New Roman" w:hAnsi="Times New Roman" w:cs="Times New Roman"/>
          <w:iCs/>
          <w:color w:val="000000" w:themeColor="text1"/>
          <w:sz w:val="24"/>
          <w:szCs w:val="24"/>
          <w:lang w:val="ro-RO"/>
        </w:rPr>
        <w:t>bazat</w:t>
      </w:r>
      <w:r w:rsidR="00374652">
        <w:rPr>
          <w:rFonts w:ascii="Times New Roman" w:hAnsi="Times New Roman" w:cs="Times New Roman"/>
          <w:iCs/>
          <w:color w:val="000000" w:themeColor="text1"/>
          <w:sz w:val="24"/>
          <w:szCs w:val="24"/>
          <w:lang w:val="ro-RO"/>
        </w:rPr>
        <w:t>e</w:t>
      </w:r>
      <w:r w:rsidR="003A5378" w:rsidRPr="00EC1965">
        <w:rPr>
          <w:rFonts w:ascii="Times New Roman" w:hAnsi="Times New Roman" w:cs="Times New Roman"/>
          <w:iCs/>
          <w:color w:val="000000" w:themeColor="text1"/>
          <w:sz w:val="24"/>
          <w:szCs w:val="24"/>
          <w:lang w:val="ro-RO"/>
        </w:rPr>
        <w:t xml:space="preserve"> pe managementul riscurilor conform </w:t>
      </w:r>
      <w:r w:rsidR="00A054D3" w:rsidRPr="00EC1965">
        <w:rPr>
          <w:rFonts w:ascii="Times New Roman" w:hAnsi="Times New Roman" w:cs="Times New Roman"/>
          <w:iCs/>
          <w:color w:val="000000" w:themeColor="text1"/>
          <w:sz w:val="24"/>
          <w:szCs w:val="24"/>
          <w:lang w:val="ro-RO"/>
        </w:rPr>
        <w:t>reglementărilor interne</w:t>
      </w:r>
      <w:r w:rsidR="003A5378" w:rsidRPr="00EC1965">
        <w:rPr>
          <w:rFonts w:ascii="Times New Roman" w:hAnsi="Times New Roman" w:cs="Times New Roman"/>
          <w:iCs/>
          <w:color w:val="000000" w:themeColor="text1"/>
          <w:sz w:val="24"/>
          <w:szCs w:val="24"/>
          <w:lang w:val="ro-RO"/>
        </w:rPr>
        <w:t xml:space="preserve">, </w:t>
      </w:r>
      <w:r w:rsidR="00A054D3" w:rsidRPr="00EC1965">
        <w:rPr>
          <w:rFonts w:ascii="Times New Roman" w:hAnsi="Times New Roman" w:cs="Times New Roman"/>
          <w:iCs/>
          <w:color w:val="000000" w:themeColor="text1"/>
          <w:sz w:val="24"/>
          <w:szCs w:val="24"/>
          <w:lang w:val="ro-RO"/>
        </w:rPr>
        <w:t>având potențial de îmbunătățire</w:t>
      </w:r>
      <w:r w:rsidR="00585584" w:rsidRPr="00EC1965">
        <w:rPr>
          <w:rFonts w:ascii="Times New Roman" w:hAnsi="Times New Roman" w:cs="Times New Roman"/>
          <w:iCs/>
          <w:color w:val="000000" w:themeColor="text1"/>
          <w:sz w:val="24"/>
          <w:szCs w:val="24"/>
          <w:lang w:val="ro-RO"/>
        </w:rPr>
        <w:t>.</w:t>
      </w:r>
      <w:r w:rsidR="003A5378" w:rsidRPr="00EC1965">
        <w:rPr>
          <w:rFonts w:ascii="Times New Roman" w:hAnsi="Times New Roman" w:cs="Times New Roman"/>
          <w:iCs/>
          <w:color w:val="000000" w:themeColor="text1"/>
          <w:sz w:val="24"/>
          <w:szCs w:val="24"/>
          <w:lang w:val="ro-RO"/>
        </w:rPr>
        <w:t xml:space="preserve"> De menționat că</w:t>
      </w:r>
      <w:r w:rsidR="004B19F2" w:rsidRPr="00EC1965">
        <w:rPr>
          <w:rFonts w:ascii="Times New Roman" w:hAnsi="Times New Roman" w:cs="Times New Roman"/>
          <w:iCs/>
          <w:color w:val="000000" w:themeColor="text1"/>
          <w:sz w:val="24"/>
          <w:szCs w:val="24"/>
          <w:lang w:val="ro-RO"/>
        </w:rPr>
        <w:t xml:space="preserve"> </w:t>
      </w:r>
      <w:r w:rsidR="00B46968" w:rsidRPr="00EC1965">
        <w:rPr>
          <w:rFonts w:ascii="Times New Roman" w:hAnsi="Times New Roman" w:cs="Times New Roman"/>
          <w:iCs/>
          <w:color w:val="000000" w:themeColor="text1"/>
          <w:sz w:val="24"/>
          <w:szCs w:val="24"/>
          <w:lang w:val="ro-RO"/>
        </w:rPr>
        <w:t>Regulamentul privind Sistemul de Control Intern în cadrul BNM</w:t>
      </w:r>
      <w:r w:rsidR="00374652">
        <w:rPr>
          <w:rFonts w:ascii="Times New Roman" w:hAnsi="Times New Roman" w:cs="Times New Roman"/>
          <w:iCs/>
          <w:color w:val="000000" w:themeColor="text1"/>
          <w:sz w:val="24"/>
          <w:szCs w:val="24"/>
          <w:lang w:val="ro-RO"/>
        </w:rPr>
        <w:t>,</w:t>
      </w:r>
      <w:r w:rsidR="00506819" w:rsidRPr="00EC1965">
        <w:rPr>
          <w:rFonts w:ascii="Times New Roman" w:hAnsi="Times New Roman" w:cs="Times New Roman"/>
          <w:iCs/>
          <w:color w:val="000000" w:themeColor="text1"/>
          <w:sz w:val="24"/>
          <w:szCs w:val="24"/>
          <w:lang w:val="ro-RO"/>
        </w:rPr>
        <w:t xml:space="preserve"> aprobat în</w:t>
      </w:r>
      <w:r w:rsidR="00B46968" w:rsidRPr="00EC1965">
        <w:rPr>
          <w:rFonts w:ascii="Times New Roman" w:hAnsi="Times New Roman" w:cs="Times New Roman"/>
          <w:iCs/>
          <w:color w:val="000000" w:themeColor="text1"/>
          <w:sz w:val="24"/>
          <w:szCs w:val="24"/>
          <w:lang w:val="ro-RO"/>
        </w:rPr>
        <w:t xml:space="preserve"> anul 2010, este în proces de elaborare în redacție nouă, pentru alinierea acestuia la ultimele </w:t>
      </w:r>
      <w:r w:rsidR="00506819" w:rsidRPr="00EC1965">
        <w:rPr>
          <w:rFonts w:ascii="Times New Roman" w:hAnsi="Times New Roman" w:cs="Times New Roman"/>
          <w:iCs/>
          <w:color w:val="000000" w:themeColor="text1"/>
          <w:sz w:val="24"/>
          <w:szCs w:val="24"/>
          <w:lang w:val="ro-RO"/>
        </w:rPr>
        <w:t>modificări ale standardelor</w:t>
      </w:r>
      <w:r w:rsidR="00B46968" w:rsidRPr="00EC1965">
        <w:rPr>
          <w:rFonts w:ascii="Times New Roman" w:hAnsi="Times New Roman" w:cs="Times New Roman"/>
          <w:iCs/>
          <w:color w:val="000000" w:themeColor="text1"/>
          <w:sz w:val="24"/>
          <w:szCs w:val="24"/>
          <w:lang w:val="ro-RO"/>
        </w:rPr>
        <w:t xml:space="preserve"> internaționale și ce</w:t>
      </w:r>
      <w:r w:rsidR="00506819" w:rsidRPr="00EC1965">
        <w:rPr>
          <w:rFonts w:ascii="Times New Roman" w:hAnsi="Times New Roman" w:cs="Times New Roman"/>
          <w:iCs/>
          <w:color w:val="000000" w:themeColor="text1"/>
          <w:sz w:val="24"/>
          <w:szCs w:val="24"/>
          <w:lang w:val="ro-RO"/>
        </w:rPr>
        <w:t>le mai bune practici din</w:t>
      </w:r>
      <w:r w:rsidR="00B46968" w:rsidRPr="00EC1965">
        <w:rPr>
          <w:rFonts w:ascii="Times New Roman" w:hAnsi="Times New Roman" w:cs="Times New Roman"/>
          <w:iCs/>
          <w:color w:val="000000" w:themeColor="text1"/>
          <w:sz w:val="24"/>
          <w:szCs w:val="24"/>
          <w:lang w:val="ro-RO"/>
        </w:rPr>
        <w:t xml:space="preserve"> domeniu </w:t>
      </w:r>
      <w:r w:rsidR="009F768D" w:rsidRPr="00650D66">
        <w:rPr>
          <w:rFonts w:ascii="Times New Roman" w:hAnsi="Times New Roman" w:cs="Times New Roman"/>
          <w:i/>
          <w:color w:val="000000" w:themeColor="text1"/>
          <w:sz w:val="24"/>
          <w:szCs w:val="24"/>
          <w:lang w:val="ro-RO"/>
        </w:rPr>
        <w:t>(pct.4.4)</w:t>
      </w:r>
      <w:r w:rsidR="00374652">
        <w:rPr>
          <w:rFonts w:ascii="Times New Roman" w:hAnsi="Times New Roman" w:cs="Times New Roman"/>
          <w:i/>
          <w:color w:val="000000" w:themeColor="text1"/>
          <w:sz w:val="24"/>
          <w:szCs w:val="24"/>
          <w:lang w:val="ro-RO"/>
        </w:rPr>
        <w:t>;</w:t>
      </w:r>
    </w:p>
    <w:p w14:paraId="54346EDE" w14:textId="0E44C0CC" w:rsidR="00F738C8" w:rsidRPr="003A5378" w:rsidRDefault="00555196" w:rsidP="00A3288E">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iCs/>
          <w:color w:val="000000" w:themeColor="text1"/>
          <w:sz w:val="24"/>
          <w:szCs w:val="24"/>
          <w:lang w:val="ro-RO"/>
        </w:rPr>
      </w:pPr>
      <w:r w:rsidRPr="00EC1965">
        <w:rPr>
          <w:rFonts w:ascii="Times New Roman" w:hAnsi="Times New Roman" w:cs="Times New Roman"/>
          <w:iCs/>
          <w:color w:val="000000" w:themeColor="text1"/>
          <w:sz w:val="24"/>
          <w:szCs w:val="24"/>
          <w:lang w:val="ro-RO"/>
        </w:rPr>
        <w:t xml:space="preserve">descrierea și aprobarea proceselor operaționale </w:t>
      </w:r>
      <w:r w:rsidR="003A5378" w:rsidRPr="00EC1965">
        <w:rPr>
          <w:rFonts w:ascii="Times New Roman" w:hAnsi="Times New Roman" w:cs="Times New Roman"/>
          <w:iCs/>
          <w:color w:val="000000" w:themeColor="text1"/>
          <w:sz w:val="24"/>
          <w:szCs w:val="24"/>
          <w:lang w:val="ro-RO"/>
        </w:rPr>
        <w:t xml:space="preserve">cu grad de urgență sporit pentru asigurarea continuității </w:t>
      </w:r>
      <w:r w:rsidRPr="00EC1965">
        <w:rPr>
          <w:rFonts w:ascii="Times New Roman" w:hAnsi="Times New Roman" w:cs="Times New Roman"/>
          <w:iCs/>
          <w:color w:val="000000" w:themeColor="text1"/>
          <w:sz w:val="24"/>
          <w:szCs w:val="24"/>
          <w:lang w:val="ro-RO"/>
        </w:rPr>
        <w:t>activit</w:t>
      </w:r>
      <w:r w:rsidR="003A5378" w:rsidRPr="00EC1965">
        <w:rPr>
          <w:rFonts w:ascii="Times New Roman" w:hAnsi="Times New Roman" w:cs="Times New Roman"/>
          <w:iCs/>
          <w:color w:val="000000" w:themeColor="text1"/>
          <w:sz w:val="24"/>
          <w:szCs w:val="24"/>
          <w:lang w:val="ro-RO"/>
        </w:rPr>
        <w:t>ății</w:t>
      </w:r>
      <w:r w:rsidRPr="00EC1965">
        <w:rPr>
          <w:rFonts w:ascii="Times New Roman" w:hAnsi="Times New Roman" w:cs="Times New Roman"/>
          <w:iCs/>
          <w:color w:val="000000" w:themeColor="text1"/>
          <w:sz w:val="24"/>
          <w:szCs w:val="24"/>
          <w:lang w:val="ro-RO"/>
        </w:rPr>
        <w:t xml:space="preserve"> BNM s</w:t>
      </w:r>
      <w:r w:rsidR="00374652">
        <w:rPr>
          <w:rFonts w:ascii="Times New Roman" w:hAnsi="Times New Roman" w:cs="Times New Roman"/>
          <w:iCs/>
          <w:color w:val="000000" w:themeColor="text1"/>
          <w:sz w:val="24"/>
          <w:szCs w:val="24"/>
          <w:lang w:val="ro-RO"/>
        </w:rPr>
        <w:t>u</w:t>
      </w:r>
      <w:r w:rsidRPr="00EC1965">
        <w:rPr>
          <w:rFonts w:ascii="Times New Roman" w:hAnsi="Times New Roman" w:cs="Times New Roman"/>
          <w:iCs/>
          <w:color w:val="000000" w:themeColor="text1"/>
          <w:sz w:val="24"/>
          <w:szCs w:val="24"/>
          <w:lang w:val="ro-RO"/>
        </w:rPr>
        <w:t xml:space="preserve">nt prioritare, iar </w:t>
      </w:r>
      <w:r w:rsidR="00374652">
        <w:rPr>
          <w:rFonts w:ascii="Times New Roman" w:hAnsi="Times New Roman" w:cs="Times New Roman"/>
          <w:iCs/>
          <w:color w:val="000000" w:themeColor="text1"/>
          <w:sz w:val="24"/>
          <w:szCs w:val="24"/>
          <w:lang w:val="ro-RO"/>
        </w:rPr>
        <w:t xml:space="preserve">cele </w:t>
      </w:r>
      <w:r w:rsidRPr="00EC1965">
        <w:rPr>
          <w:rFonts w:ascii="Times New Roman" w:hAnsi="Times New Roman" w:cs="Times New Roman"/>
          <w:iCs/>
          <w:color w:val="000000" w:themeColor="text1"/>
          <w:sz w:val="24"/>
          <w:szCs w:val="24"/>
          <w:lang w:val="ro-RO"/>
        </w:rPr>
        <w:t>ce țin de executarea devizului de cheltuieli au fost identificate</w:t>
      </w:r>
      <w:r w:rsidR="00374652">
        <w:rPr>
          <w:rFonts w:ascii="Times New Roman" w:hAnsi="Times New Roman" w:cs="Times New Roman"/>
          <w:iCs/>
          <w:color w:val="000000" w:themeColor="text1"/>
          <w:sz w:val="24"/>
          <w:szCs w:val="24"/>
          <w:lang w:val="ro-RO"/>
        </w:rPr>
        <w:t>,</w:t>
      </w:r>
      <w:r w:rsidRPr="00EC1965">
        <w:rPr>
          <w:rFonts w:ascii="Times New Roman" w:hAnsi="Times New Roman" w:cs="Times New Roman"/>
          <w:iCs/>
          <w:color w:val="000000" w:themeColor="text1"/>
          <w:sz w:val="24"/>
          <w:szCs w:val="24"/>
          <w:lang w:val="ro-RO"/>
        </w:rPr>
        <w:t xml:space="preserve"> dar nu au fost toate descrise</w:t>
      </w:r>
      <w:r w:rsidRPr="003A5378">
        <w:rPr>
          <w:rFonts w:ascii="Times New Roman" w:hAnsi="Times New Roman" w:cs="Times New Roman"/>
          <w:iCs/>
          <w:color w:val="000000" w:themeColor="text1"/>
          <w:sz w:val="24"/>
          <w:szCs w:val="24"/>
          <w:lang w:val="ro-RO"/>
        </w:rPr>
        <w:t xml:space="preserve"> și aprobate</w:t>
      </w:r>
      <w:r w:rsidR="009F768D" w:rsidRPr="00650D66">
        <w:rPr>
          <w:rFonts w:ascii="Times New Roman" w:hAnsi="Times New Roman" w:cs="Times New Roman"/>
          <w:i/>
          <w:color w:val="000000" w:themeColor="text1"/>
          <w:sz w:val="24"/>
          <w:szCs w:val="24"/>
          <w:lang w:val="ro-RO"/>
        </w:rPr>
        <w:t xml:space="preserve"> (pct.4.4)</w:t>
      </w:r>
      <w:r w:rsidR="00374652">
        <w:rPr>
          <w:rFonts w:ascii="Times New Roman" w:hAnsi="Times New Roman" w:cs="Times New Roman"/>
          <w:i/>
          <w:color w:val="000000" w:themeColor="text1"/>
          <w:sz w:val="24"/>
          <w:szCs w:val="24"/>
          <w:lang w:val="ro-RO"/>
        </w:rPr>
        <w:t>;</w:t>
      </w:r>
    </w:p>
    <w:p w14:paraId="7A8E2F4F" w14:textId="7EA50296" w:rsidR="00FC2946" w:rsidRPr="00650D66" w:rsidRDefault="00F738C8" w:rsidP="00F738C8">
      <w:pPr>
        <w:pStyle w:val="ListParagraph"/>
        <w:numPr>
          <w:ilvl w:val="0"/>
          <w:numId w:val="16"/>
        </w:numPr>
        <w:tabs>
          <w:tab w:val="left" w:pos="142"/>
          <w:tab w:val="left" w:pos="993"/>
        </w:tabs>
        <w:spacing w:after="0" w:line="276" w:lineRule="auto"/>
        <w:ind w:left="0" w:firstLine="709"/>
        <w:jc w:val="both"/>
        <w:rPr>
          <w:rFonts w:ascii="Times New Roman" w:hAnsi="Times New Roman" w:cs="Times New Roman"/>
          <w:iCs/>
          <w:color w:val="000000" w:themeColor="text1"/>
          <w:sz w:val="24"/>
          <w:szCs w:val="24"/>
          <w:lang w:val="ro-RO"/>
        </w:rPr>
      </w:pPr>
      <w:r w:rsidRPr="00650D66">
        <w:rPr>
          <w:rFonts w:ascii="Times New Roman" w:hAnsi="Times New Roman" w:cs="Times New Roman"/>
          <w:iCs/>
          <w:color w:val="000000" w:themeColor="text1"/>
          <w:sz w:val="24"/>
          <w:szCs w:val="24"/>
          <w:lang w:val="ro-RO"/>
        </w:rPr>
        <w:t>neasigurarea implementării integrale a recomandărilor înaintate de către DAI și neaplicarea măsurilor de remediere a deficiențelor aferente controalelor interne</w:t>
      </w:r>
      <w:r w:rsidR="00B46968" w:rsidRPr="00650D66">
        <w:rPr>
          <w:rFonts w:ascii="Times New Roman" w:hAnsi="Times New Roman" w:cs="Times New Roman"/>
          <w:i/>
          <w:color w:val="000000" w:themeColor="text1"/>
          <w:sz w:val="24"/>
          <w:szCs w:val="24"/>
          <w:lang w:val="ro-RO"/>
        </w:rPr>
        <w:t xml:space="preserve"> (pct.4.4)</w:t>
      </w:r>
      <w:r w:rsidR="00374652">
        <w:rPr>
          <w:rFonts w:ascii="Times New Roman" w:hAnsi="Times New Roman" w:cs="Times New Roman"/>
          <w:i/>
          <w:color w:val="000000" w:themeColor="text1"/>
          <w:sz w:val="24"/>
          <w:szCs w:val="24"/>
          <w:lang w:val="ro-RO"/>
        </w:rPr>
        <w:t>.</w:t>
      </w:r>
    </w:p>
    <w:p w14:paraId="3BB9E2C9" w14:textId="77777777" w:rsidR="00CF4826" w:rsidRPr="00650D66" w:rsidRDefault="00CF4826" w:rsidP="00CF4826">
      <w:pPr>
        <w:tabs>
          <w:tab w:val="left" w:pos="142"/>
        </w:tabs>
        <w:spacing w:after="0" w:line="276" w:lineRule="auto"/>
        <w:jc w:val="both"/>
        <w:rPr>
          <w:rFonts w:ascii="Times New Roman" w:hAnsi="Times New Roman" w:cs="Times New Roman"/>
          <w:color w:val="000000" w:themeColor="text1"/>
          <w:sz w:val="6"/>
          <w:szCs w:val="6"/>
          <w:lang w:val="ro-RO"/>
        </w:rPr>
      </w:pPr>
    </w:p>
    <w:p w14:paraId="239E81DA" w14:textId="5433EAC9" w:rsidR="00F56EEB" w:rsidRDefault="00CF4826" w:rsidP="006D6373">
      <w:pPr>
        <w:tabs>
          <w:tab w:val="left" w:pos="142"/>
        </w:tabs>
        <w:spacing w:after="0" w:line="276" w:lineRule="auto"/>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 xml:space="preserve">Constatările și </w:t>
      </w:r>
      <w:r w:rsidR="00C046C9" w:rsidRPr="00650D66">
        <w:rPr>
          <w:rFonts w:ascii="Times New Roman" w:hAnsi="Times New Roman" w:cs="Times New Roman"/>
          <w:color w:val="000000" w:themeColor="text1"/>
          <w:sz w:val="24"/>
          <w:szCs w:val="24"/>
          <w:lang w:val="ro-RO"/>
        </w:rPr>
        <w:t xml:space="preserve">concluzia </w:t>
      </w:r>
      <w:r w:rsidRPr="00650D66">
        <w:rPr>
          <w:rFonts w:ascii="Times New Roman" w:hAnsi="Times New Roman" w:cs="Times New Roman"/>
          <w:color w:val="000000" w:themeColor="text1"/>
          <w:sz w:val="24"/>
          <w:szCs w:val="24"/>
          <w:lang w:val="ro-RO"/>
        </w:rPr>
        <w:t xml:space="preserve">asupra aspectelor auditate în cadrul misiunii de audit sunt redate în compartimentele respective ale prezentului Raport de audit. Pentru remedierea deficiențelor constatate și consolidarea cadrului normativ aferent, au fost înaintate recomandările de rigoare, care au fost comunicate și coordonate cu organele de conducere ale BNM. </w:t>
      </w:r>
    </w:p>
    <w:p w14:paraId="567C7586" w14:textId="4A5DC5E5" w:rsidR="00A069C4" w:rsidRPr="006D6373" w:rsidRDefault="00A069C4" w:rsidP="006D6373">
      <w:pPr>
        <w:tabs>
          <w:tab w:val="left" w:pos="142"/>
        </w:tabs>
        <w:spacing w:after="0" w:line="276" w:lineRule="auto"/>
        <w:jc w:val="both"/>
        <w:rPr>
          <w:rFonts w:ascii="Times New Roman" w:hAnsi="Times New Roman" w:cs="Times New Roman"/>
          <w:color w:val="000000" w:themeColor="text1"/>
          <w:sz w:val="24"/>
          <w:szCs w:val="24"/>
          <w:lang w:val="ro-RO"/>
        </w:rPr>
      </w:pPr>
    </w:p>
    <w:p w14:paraId="744E4FBF" w14:textId="77777777" w:rsidR="00A47227" w:rsidRPr="00650D66" w:rsidRDefault="005901CA" w:rsidP="00B026DC">
      <w:pPr>
        <w:pStyle w:val="ListParagraph"/>
        <w:numPr>
          <w:ilvl w:val="0"/>
          <w:numId w:val="1"/>
        </w:numPr>
        <w:tabs>
          <w:tab w:val="left" w:pos="284"/>
        </w:tabs>
        <w:spacing w:before="120" w:after="0"/>
        <w:ind w:left="0" w:firstLine="0"/>
        <w:jc w:val="center"/>
        <w:outlineLvl w:val="0"/>
        <w:rPr>
          <w:rFonts w:ascii="Times New Roman" w:hAnsi="Times New Roman" w:cs="Times New Roman"/>
          <w:b/>
          <w:sz w:val="28"/>
          <w:szCs w:val="28"/>
          <w:lang w:val="ro-RO"/>
        </w:rPr>
      </w:pPr>
      <w:bookmarkStart w:id="3" w:name="_Toc159413630"/>
      <w:r w:rsidRPr="00650D66">
        <w:rPr>
          <w:rFonts w:ascii="Times New Roman" w:hAnsi="Times New Roman" w:cs="Times New Roman"/>
          <w:b/>
          <w:sz w:val="28"/>
          <w:szCs w:val="28"/>
          <w:lang w:val="ro-RO"/>
        </w:rPr>
        <w:t>PREZENTAREA GENERALĂ</w:t>
      </w:r>
      <w:bookmarkEnd w:id="3"/>
    </w:p>
    <w:p w14:paraId="7B564121" w14:textId="77777777" w:rsidR="00AA58D5" w:rsidRPr="00650D66" w:rsidRDefault="00CA4B8B" w:rsidP="00C42E85">
      <w:pPr>
        <w:pStyle w:val="Heading2"/>
        <w:spacing w:before="0" w:line="276" w:lineRule="auto"/>
        <w:rPr>
          <w:rFonts w:ascii="Times New Roman" w:eastAsia="Times New Roman" w:hAnsi="Times New Roman" w:cs="Times New Roman"/>
          <w:b/>
          <w:color w:val="000000" w:themeColor="text1"/>
          <w:sz w:val="24"/>
          <w:szCs w:val="24"/>
          <w:lang w:val="ro-RO"/>
        </w:rPr>
      </w:pPr>
      <w:bookmarkStart w:id="4" w:name="_Toc159413631"/>
      <w:r w:rsidRPr="00650D66">
        <w:rPr>
          <w:rFonts w:ascii="Times New Roman" w:eastAsia="Times New Roman" w:hAnsi="Times New Roman" w:cs="Times New Roman"/>
          <w:b/>
          <w:color w:val="000000" w:themeColor="text1"/>
          <w:sz w:val="24"/>
          <w:szCs w:val="24"/>
          <w:lang w:val="ro-RO"/>
        </w:rPr>
        <w:t>2.1 Subiectul</w:t>
      </w:r>
      <w:r w:rsidR="00982E99" w:rsidRPr="00650D66">
        <w:rPr>
          <w:rFonts w:ascii="Times New Roman" w:eastAsia="Times New Roman" w:hAnsi="Times New Roman" w:cs="Times New Roman"/>
          <w:b/>
          <w:color w:val="000000" w:themeColor="text1"/>
          <w:sz w:val="24"/>
          <w:szCs w:val="24"/>
          <w:lang w:val="ro-RO"/>
        </w:rPr>
        <w:t xml:space="preserve"> </w:t>
      </w:r>
      <w:r w:rsidR="006676F4" w:rsidRPr="00650D66">
        <w:rPr>
          <w:rFonts w:ascii="Times New Roman" w:eastAsia="Times New Roman" w:hAnsi="Times New Roman" w:cs="Times New Roman"/>
          <w:b/>
          <w:color w:val="000000" w:themeColor="text1"/>
          <w:sz w:val="24"/>
          <w:szCs w:val="24"/>
          <w:lang w:val="ro-RO"/>
        </w:rPr>
        <w:t>auditat</w:t>
      </w:r>
      <w:bookmarkEnd w:id="4"/>
    </w:p>
    <w:p w14:paraId="370D7AD0" w14:textId="77777777" w:rsidR="00755E53" w:rsidRPr="00650D66" w:rsidRDefault="00CF61C1" w:rsidP="00C42E85">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BNM este banca</w:t>
      </w:r>
      <w:r w:rsidR="009337AC" w:rsidRPr="00650D66">
        <w:rPr>
          <w:rFonts w:ascii="Times New Roman" w:eastAsia="Times New Roman" w:hAnsi="Times New Roman" w:cs="Times New Roman"/>
          <w:sz w:val="24"/>
          <w:szCs w:val="24"/>
          <w:lang w:val="ro-RO"/>
        </w:rPr>
        <w:t xml:space="preserve"> centrală a Republicii Moldova și funcționează ca </w:t>
      </w:r>
      <w:r w:rsidRPr="00650D66">
        <w:rPr>
          <w:rFonts w:ascii="Times New Roman" w:eastAsia="Times New Roman" w:hAnsi="Times New Roman" w:cs="Times New Roman"/>
          <w:sz w:val="24"/>
          <w:szCs w:val="24"/>
          <w:lang w:val="ro-RO"/>
        </w:rPr>
        <w:t>o persoană juridică publică autonomă</w:t>
      </w:r>
      <w:r w:rsidR="009337AC" w:rsidRPr="00650D66">
        <w:rPr>
          <w:rFonts w:ascii="Times New Roman" w:eastAsia="Times New Roman" w:hAnsi="Times New Roman" w:cs="Times New Roman"/>
          <w:sz w:val="24"/>
          <w:szCs w:val="24"/>
          <w:lang w:val="ro-RO"/>
        </w:rPr>
        <w:t xml:space="preserve">, </w:t>
      </w:r>
      <w:r w:rsidR="00915323" w:rsidRPr="00650D66">
        <w:rPr>
          <w:rFonts w:ascii="Times New Roman" w:eastAsia="Times New Roman" w:hAnsi="Times New Roman" w:cs="Times New Roman"/>
          <w:sz w:val="24"/>
          <w:szCs w:val="24"/>
          <w:lang w:val="ro-RO"/>
        </w:rPr>
        <w:t>responsabilă față de Parlament</w:t>
      </w:r>
      <w:r w:rsidRPr="00650D66">
        <w:rPr>
          <w:rFonts w:ascii="Times New Roman" w:eastAsia="Times New Roman" w:hAnsi="Times New Roman" w:cs="Times New Roman"/>
          <w:sz w:val="24"/>
          <w:szCs w:val="24"/>
          <w:lang w:val="ro-RO"/>
        </w:rPr>
        <w:t xml:space="preserve">. </w:t>
      </w:r>
      <w:r w:rsidR="00755E53" w:rsidRPr="00650D66">
        <w:rPr>
          <w:rFonts w:ascii="Times New Roman" w:eastAsia="Times New Roman" w:hAnsi="Times New Roman" w:cs="Times New Roman"/>
          <w:sz w:val="24"/>
          <w:szCs w:val="24"/>
          <w:lang w:val="ro-RO"/>
        </w:rPr>
        <w:t>Obiectivul fundamental al BNM este asigurarea și menținerea stabilității prețurilor, totodată urm</w:t>
      </w:r>
      <w:r w:rsidR="00EC2821" w:rsidRPr="00650D66">
        <w:rPr>
          <w:rFonts w:ascii="Times New Roman" w:eastAsia="Times New Roman" w:hAnsi="Times New Roman" w:cs="Times New Roman"/>
          <w:sz w:val="24"/>
          <w:szCs w:val="24"/>
          <w:lang w:val="ro-RO"/>
        </w:rPr>
        <w:t>ărește asigurarea stabilității ș</w:t>
      </w:r>
      <w:r w:rsidR="00755E53" w:rsidRPr="00650D66">
        <w:rPr>
          <w:rFonts w:ascii="Times New Roman" w:eastAsia="Times New Roman" w:hAnsi="Times New Roman" w:cs="Times New Roman"/>
          <w:sz w:val="24"/>
          <w:szCs w:val="24"/>
          <w:lang w:val="ro-RO"/>
        </w:rPr>
        <w:t>i viabilității sistemului bancar și sprijină politica economică generală a statului.</w:t>
      </w:r>
    </w:p>
    <w:p w14:paraId="1B2D3FBA" w14:textId="77777777" w:rsidR="00922610" w:rsidRPr="00650D66" w:rsidRDefault="00922610" w:rsidP="00CF61C1">
      <w:pPr>
        <w:spacing w:after="0" w:line="276" w:lineRule="auto"/>
        <w:jc w:val="both"/>
        <w:rPr>
          <w:rFonts w:ascii="Times New Roman" w:eastAsia="Times New Roman" w:hAnsi="Times New Roman" w:cs="Times New Roman"/>
          <w:sz w:val="6"/>
          <w:szCs w:val="6"/>
          <w:lang w:val="ro-RO"/>
        </w:rPr>
      </w:pPr>
    </w:p>
    <w:p w14:paraId="31F284F5" w14:textId="3BF8F03C" w:rsidR="00922610" w:rsidRPr="00650D66" w:rsidRDefault="00922610" w:rsidP="00CF61C1">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Organele de conducere ale BNM s</w:t>
      </w:r>
      <w:r w:rsidR="00A84F92">
        <w:rPr>
          <w:rFonts w:ascii="Times New Roman" w:eastAsia="Times New Roman" w:hAnsi="Times New Roman" w:cs="Times New Roman"/>
          <w:sz w:val="24"/>
          <w:szCs w:val="24"/>
          <w:lang w:val="ro-RO"/>
        </w:rPr>
        <w:t>u</w:t>
      </w:r>
      <w:r w:rsidRPr="00650D66">
        <w:rPr>
          <w:rFonts w:ascii="Times New Roman" w:eastAsia="Times New Roman" w:hAnsi="Times New Roman" w:cs="Times New Roman"/>
          <w:sz w:val="24"/>
          <w:szCs w:val="24"/>
          <w:lang w:val="ro-RO"/>
        </w:rPr>
        <w:t>nt Consiliul de supraveghere</w:t>
      </w:r>
      <w:r w:rsidR="0052763E" w:rsidRPr="00650D66">
        <w:rPr>
          <w:rStyle w:val="FootnoteReference"/>
          <w:rFonts w:ascii="Times New Roman" w:eastAsia="Times New Roman" w:hAnsi="Times New Roman" w:cs="Times New Roman"/>
          <w:sz w:val="24"/>
          <w:szCs w:val="24"/>
          <w:lang w:val="ro-RO"/>
        </w:rPr>
        <w:footnoteReference w:id="6"/>
      </w:r>
      <w:r w:rsidRPr="00650D66">
        <w:rPr>
          <w:rFonts w:ascii="Times New Roman" w:eastAsia="Times New Roman" w:hAnsi="Times New Roman" w:cs="Times New Roman"/>
          <w:sz w:val="24"/>
          <w:szCs w:val="24"/>
          <w:lang w:val="ro-RO"/>
        </w:rPr>
        <w:t xml:space="preserve"> și Comitetul executiv</w:t>
      </w:r>
      <w:r w:rsidR="00FA06D1" w:rsidRPr="00650D66">
        <w:rPr>
          <w:rStyle w:val="FootnoteReference"/>
          <w:rFonts w:ascii="Times New Roman" w:eastAsia="Times New Roman" w:hAnsi="Times New Roman" w:cs="Times New Roman"/>
          <w:sz w:val="24"/>
          <w:szCs w:val="24"/>
          <w:lang w:val="ro-RO"/>
        </w:rPr>
        <w:footnoteReference w:id="7"/>
      </w:r>
      <w:r w:rsidR="000D4565" w:rsidRPr="00650D66">
        <w:rPr>
          <w:rFonts w:ascii="Times New Roman" w:eastAsia="Times New Roman" w:hAnsi="Times New Roman" w:cs="Times New Roman"/>
          <w:sz w:val="24"/>
          <w:szCs w:val="24"/>
          <w:lang w:val="ro-RO"/>
        </w:rPr>
        <w:t xml:space="preserve">, fiind organe colegiale. </w:t>
      </w:r>
      <w:r w:rsidR="00555B6E" w:rsidRPr="00650D66">
        <w:rPr>
          <w:rFonts w:ascii="Times New Roman" w:eastAsia="Times New Roman" w:hAnsi="Times New Roman" w:cs="Times New Roman"/>
          <w:sz w:val="24"/>
          <w:szCs w:val="24"/>
          <w:lang w:val="ro-RO"/>
        </w:rPr>
        <w:t xml:space="preserve">Se menționează că </w:t>
      </w:r>
      <w:r w:rsidR="00F23AE1" w:rsidRPr="00650D66">
        <w:rPr>
          <w:rFonts w:ascii="Times New Roman" w:eastAsia="Times New Roman" w:hAnsi="Times New Roman" w:cs="Times New Roman"/>
          <w:sz w:val="24"/>
          <w:szCs w:val="24"/>
          <w:lang w:val="ro-RO"/>
        </w:rPr>
        <w:t>membrii organelor de conducere ale BNM s</w:t>
      </w:r>
      <w:r w:rsidR="00A84F92">
        <w:rPr>
          <w:rFonts w:ascii="Times New Roman" w:eastAsia="Times New Roman" w:hAnsi="Times New Roman" w:cs="Times New Roman"/>
          <w:sz w:val="24"/>
          <w:szCs w:val="24"/>
          <w:lang w:val="ro-RO"/>
        </w:rPr>
        <w:t>u</w:t>
      </w:r>
      <w:r w:rsidR="00F23AE1" w:rsidRPr="00650D66">
        <w:rPr>
          <w:rFonts w:ascii="Times New Roman" w:eastAsia="Times New Roman" w:hAnsi="Times New Roman" w:cs="Times New Roman"/>
          <w:sz w:val="24"/>
          <w:szCs w:val="24"/>
          <w:lang w:val="ro-RO"/>
        </w:rPr>
        <w:t xml:space="preserve">nt numiți în funcție de Parlament. Astfel, </w:t>
      </w:r>
      <w:r w:rsidR="00555B6E" w:rsidRPr="00650D66">
        <w:rPr>
          <w:rFonts w:ascii="Times New Roman" w:eastAsia="Times New Roman" w:hAnsi="Times New Roman" w:cs="Times New Roman"/>
          <w:sz w:val="24"/>
          <w:szCs w:val="24"/>
          <w:lang w:val="ro-RO"/>
        </w:rPr>
        <w:t>u</w:t>
      </w:r>
      <w:r w:rsidR="00233132" w:rsidRPr="00650D66">
        <w:rPr>
          <w:rFonts w:ascii="Times New Roman" w:eastAsia="Times New Roman" w:hAnsi="Times New Roman" w:cs="Times New Roman"/>
          <w:sz w:val="24"/>
          <w:szCs w:val="24"/>
          <w:lang w:val="ro-RO"/>
        </w:rPr>
        <w:t>n membru al Consiliului de supraveghere care este și viceguvernator al BNM, este numit de Parlament la propunerea Guvernatorului BNM</w:t>
      </w:r>
      <w:r w:rsidR="00555B6E" w:rsidRPr="00650D66">
        <w:rPr>
          <w:rFonts w:ascii="Times New Roman" w:eastAsia="Times New Roman" w:hAnsi="Times New Roman" w:cs="Times New Roman"/>
          <w:sz w:val="24"/>
          <w:szCs w:val="24"/>
          <w:lang w:val="ro-RO"/>
        </w:rPr>
        <w:t>. Totodată,</w:t>
      </w:r>
      <w:r w:rsidR="00233132" w:rsidRPr="00650D66">
        <w:rPr>
          <w:rFonts w:ascii="Times New Roman" w:eastAsia="Times New Roman" w:hAnsi="Times New Roman" w:cs="Times New Roman"/>
          <w:sz w:val="24"/>
          <w:szCs w:val="24"/>
          <w:lang w:val="ro-RO"/>
        </w:rPr>
        <w:t xml:space="preserve"> 4 membri a</w:t>
      </w:r>
      <w:r w:rsidR="00A84F92">
        <w:rPr>
          <w:rFonts w:ascii="Times New Roman" w:eastAsia="Times New Roman" w:hAnsi="Times New Roman" w:cs="Times New Roman"/>
          <w:sz w:val="24"/>
          <w:szCs w:val="24"/>
          <w:lang w:val="ro-RO"/>
        </w:rPr>
        <w:t>i</w:t>
      </w:r>
      <w:r w:rsidR="00233132" w:rsidRPr="00650D66">
        <w:rPr>
          <w:rFonts w:ascii="Times New Roman" w:eastAsia="Times New Roman" w:hAnsi="Times New Roman" w:cs="Times New Roman"/>
          <w:sz w:val="24"/>
          <w:szCs w:val="24"/>
          <w:lang w:val="ro-RO"/>
        </w:rPr>
        <w:t xml:space="preserve"> Consiliului de supraveghere, care nu s</w:t>
      </w:r>
      <w:r w:rsidR="00A84F92">
        <w:rPr>
          <w:rFonts w:ascii="Times New Roman" w:eastAsia="Times New Roman" w:hAnsi="Times New Roman" w:cs="Times New Roman"/>
          <w:sz w:val="24"/>
          <w:szCs w:val="24"/>
          <w:lang w:val="ro-RO"/>
        </w:rPr>
        <w:t>u</w:t>
      </w:r>
      <w:r w:rsidR="00233132" w:rsidRPr="00650D66">
        <w:rPr>
          <w:rFonts w:ascii="Times New Roman" w:eastAsia="Times New Roman" w:hAnsi="Times New Roman" w:cs="Times New Roman"/>
          <w:sz w:val="24"/>
          <w:szCs w:val="24"/>
          <w:lang w:val="ro-RO"/>
        </w:rPr>
        <w:t>nt salariați ai BNM, s</w:t>
      </w:r>
      <w:r w:rsidR="00A84F92">
        <w:rPr>
          <w:rFonts w:ascii="Times New Roman" w:eastAsia="Times New Roman" w:hAnsi="Times New Roman" w:cs="Times New Roman"/>
          <w:sz w:val="24"/>
          <w:szCs w:val="24"/>
          <w:lang w:val="ro-RO"/>
        </w:rPr>
        <w:t>u</w:t>
      </w:r>
      <w:r w:rsidR="00233132" w:rsidRPr="00650D66">
        <w:rPr>
          <w:rFonts w:ascii="Times New Roman" w:eastAsia="Times New Roman" w:hAnsi="Times New Roman" w:cs="Times New Roman"/>
          <w:sz w:val="24"/>
          <w:szCs w:val="24"/>
          <w:lang w:val="ro-RO"/>
        </w:rPr>
        <w:t>nt numiți de Parlament la propunerea Comisiei economie, buget și finanțe a Parlamentului. Guvernatorul BNM este numit de Parlament la propunerea Președintelui Parlamentului</w:t>
      </w:r>
      <w:r w:rsidR="00796FCB" w:rsidRPr="00650D66">
        <w:rPr>
          <w:rFonts w:ascii="Times New Roman" w:eastAsia="Times New Roman" w:hAnsi="Times New Roman" w:cs="Times New Roman"/>
          <w:sz w:val="24"/>
          <w:szCs w:val="24"/>
          <w:lang w:val="ro-RO"/>
        </w:rPr>
        <w:t xml:space="preserve"> și este președinte</w:t>
      </w:r>
      <w:r w:rsidR="00A84F92">
        <w:rPr>
          <w:rFonts w:ascii="Times New Roman" w:eastAsia="Times New Roman" w:hAnsi="Times New Roman" w:cs="Times New Roman"/>
          <w:sz w:val="24"/>
          <w:szCs w:val="24"/>
          <w:lang w:val="ro-RO"/>
        </w:rPr>
        <w:t xml:space="preserve"> a</w:t>
      </w:r>
      <w:r w:rsidR="00796FCB" w:rsidRPr="00650D66">
        <w:rPr>
          <w:rFonts w:ascii="Times New Roman" w:eastAsia="Times New Roman" w:hAnsi="Times New Roman" w:cs="Times New Roman"/>
          <w:sz w:val="24"/>
          <w:szCs w:val="24"/>
          <w:lang w:val="ro-RO"/>
        </w:rPr>
        <w:t>l Consiliului de supraveghere</w:t>
      </w:r>
      <w:r w:rsidR="00062864" w:rsidRPr="00650D66">
        <w:rPr>
          <w:rFonts w:ascii="Times New Roman" w:eastAsia="Times New Roman" w:hAnsi="Times New Roman" w:cs="Times New Roman"/>
          <w:sz w:val="24"/>
          <w:szCs w:val="24"/>
          <w:lang w:val="ro-RO"/>
        </w:rPr>
        <w:t xml:space="preserve"> și </w:t>
      </w:r>
      <w:r w:rsidR="00A84F92">
        <w:rPr>
          <w:rFonts w:ascii="Times New Roman" w:eastAsia="Times New Roman" w:hAnsi="Times New Roman" w:cs="Times New Roman"/>
          <w:sz w:val="24"/>
          <w:szCs w:val="24"/>
          <w:lang w:val="ro-RO"/>
        </w:rPr>
        <w:t xml:space="preserve">al </w:t>
      </w:r>
      <w:r w:rsidR="00062864" w:rsidRPr="00650D66">
        <w:rPr>
          <w:rFonts w:ascii="Times New Roman" w:eastAsia="Times New Roman" w:hAnsi="Times New Roman" w:cs="Times New Roman"/>
          <w:sz w:val="24"/>
          <w:szCs w:val="24"/>
          <w:lang w:val="ro-RO"/>
        </w:rPr>
        <w:t>Comitetului executiv</w:t>
      </w:r>
      <w:r w:rsidR="00233132" w:rsidRPr="00650D66">
        <w:rPr>
          <w:rFonts w:ascii="Times New Roman" w:eastAsia="Times New Roman" w:hAnsi="Times New Roman" w:cs="Times New Roman"/>
          <w:sz w:val="24"/>
          <w:szCs w:val="24"/>
          <w:lang w:val="ro-RO"/>
        </w:rPr>
        <w:t>.</w:t>
      </w:r>
    </w:p>
    <w:p w14:paraId="3FE3824C" w14:textId="77777777" w:rsidR="006E7AB7" w:rsidRPr="00650D66" w:rsidRDefault="006E7AB7" w:rsidP="00CF61C1">
      <w:pPr>
        <w:spacing w:after="0" w:line="276" w:lineRule="auto"/>
        <w:jc w:val="both"/>
        <w:rPr>
          <w:rFonts w:ascii="Times New Roman" w:eastAsia="Times New Roman" w:hAnsi="Times New Roman" w:cs="Times New Roman"/>
          <w:sz w:val="6"/>
          <w:szCs w:val="6"/>
          <w:lang w:val="ro-RO"/>
        </w:rPr>
      </w:pPr>
    </w:p>
    <w:p w14:paraId="160A688A" w14:textId="77777777" w:rsidR="00EE08E9" w:rsidRPr="00650D66" w:rsidRDefault="00EE08E9" w:rsidP="00EE08E9">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lastRenderedPageBreak/>
        <w:t>Curtea de Conturi, în condițiile legii</w:t>
      </w:r>
      <w:r w:rsidRPr="00650D66">
        <w:rPr>
          <w:rFonts w:ascii="Times New Roman" w:eastAsia="Times New Roman" w:hAnsi="Times New Roman" w:cs="Times New Roman"/>
          <w:sz w:val="24"/>
          <w:szCs w:val="24"/>
          <w:vertAlign w:val="superscript"/>
          <w:lang w:val="ro-RO"/>
        </w:rPr>
        <w:footnoteReference w:id="8"/>
      </w:r>
      <w:r w:rsidRPr="00650D66">
        <w:rPr>
          <w:rFonts w:ascii="Times New Roman" w:eastAsia="Times New Roman" w:hAnsi="Times New Roman" w:cs="Times New Roman"/>
          <w:sz w:val="24"/>
          <w:szCs w:val="24"/>
          <w:lang w:val="ro-RO"/>
        </w:rPr>
        <w:t>, auditează conformitatea executării de către Banca Națională a Moldovei a devizelor de cheltuieli și alocațiilor pentru investiții, limitându-se la examinarea eficienței operaționale a deciziilor luate de conducerea acesteia, cu excepția celor ce țin de implementarea politicii monetare și valutare și de gestionarea rezervelor valutare ale statului.</w:t>
      </w:r>
    </w:p>
    <w:p w14:paraId="28594230" w14:textId="77777777" w:rsidR="00EE08E9" w:rsidRPr="00650D66" w:rsidRDefault="00EE08E9" w:rsidP="00EE08E9">
      <w:pPr>
        <w:spacing w:after="0" w:line="276" w:lineRule="auto"/>
        <w:jc w:val="both"/>
        <w:rPr>
          <w:rFonts w:ascii="Times New Roman" w:eastAsia="Times New Roman" w:hAnsi="Times New Roman" w:cs="Times New Roman"/>
          <w:sz w:val="6"/>
          <w:szCs w:val="6"/>
          <w:lang w:val="ro-RO"/>
        </w:rPr>
      </w:pPr>
    </w:p>
    <w:p w14:paraId="034CECEE" w14:textId="77777777" w:rsidR="00216BFF" w:rsidRPr="00650D66" w:rsidRDefault="008D498C" w:rsidP="00CF61C1">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Anual, toate cheltuielile administrative și investițiile capitale ale BNM se prevăd în devizul de cheltuieli și, respectiv, în alocațiile pentru investiții, care se aprobă de către Consiliul de supraveghere și se verifică, în execuție, conform practicilor și procedurilor controlului și auditului intern</w:t>
      </w:r>
      <w:r w:rsidR="00674E4B" w:rsidRPr="00650D66">
        <w:rPr>
          <w:rStyle w:val="FootnoteReference"/>
          <w:rFonts w:ascii="Times New Roman" w:eastAsia="Times New Roman" w:hAnsi="Times New Roman" w:cs="Times New Roman"/>
          <w:sz w:val="24"/>
          <w:szCs w:val="24"/>
          <w:lang w:val="ro-RO"/>
        </w:rPr>
        <w:footnoteReference w:id="9"/>
      </w:r>
      <w:r w:rsidRPr="00650D66">
        <w:rPr>
          <w:rFonts w:ascii="Times New Roman" w:eastAsia="Times New Roman" w:hAnsi="Times New Roman" w:cs="Times New Roman"/>
          <w:sz w:val="24"/>
          <w:szCs w:val="24"/>
          <w:lang w:val="ro-RO"/>
        </w:rPr>
        <w:t>.</w:t>
      </w:r>
      <w:r w:rsidR="00C05CDA" w:rsidRPr="00650D66">
        <w:rPr>
          <w:rFonts w:ascii="Times New Roman" w:eastAsia="Times New Roman" w:hAnsi="Times New Roman" w:cs="Times New Roman"/>
          <w:sz w:val="24"/>
          <w:szCs w:val="24"/>
          <w:lang w:val="ro-RO"/>
        </w:rPr>
        <w:t xml:space="preserve"> </w:t>
      </w:r>
      <w:r w:rsidR="00544FE4" w:rsidRPr="00650D66">
        <w:rPr>
          <w:rFonts w:ascii="Times New Roman" w:eastAsia="Times New Roman" w:hAnsi="Times New Roman" w:cs="Times New Roman"/>
          <w:sz w:val="24"/>
          <w:szCs w:val="24"/>
          <w:lang w:val="ro-RO"/>
        </w:rPr>
        <w:t xml:space="preserve">Devizul de cheltuieli se execută și se raportează conform </w:t>
      </w:r>
      <w:r w:rsidR="00544FE4" w:rsidRPr="00650D66">
        <w:rPr>
          <w:rFonts w:ascii="Times New Roman" w:eastAsia="Times New Roman" w:hAnsi="Times New Roman" w:cs="Times New Roman"/>
          <w:i/>
          <w:sz w:val="24"/>
          <w:szCs w:val="24"/>
          <w:lang w:val="ro-RO"/>
        </w:rPr>
        <w:t>metodei de angajamente</w:t>
      </w:r>
      <w:r w:rsidR="00544FE4" w:rsidRPr="00650D66">
        <w:rPr>
          <w:rFonts w:ascii="Times New Roman" w:eastAsia="Times New Roman" w:hAnsi="Times New Roman" w:cs="Times New Roman"/>
          <w:sz w:val="24"/>
          <w:szCs w:val="24"/>
          <w:lang w:val="ro-RO"/>
        </w:rPr>
        <w:t>,</w:t>
      </w:r>
      <w:r w:rsidR="00F74F53" w:rsidRPr="00650D66">
        <w:rPr>
          <w:rFonts w:ascii="Times New Roman" w:eastAsia="Times New Roman" w:hAnsi="Times New Roman" w:cs="Times New Roman"/>
          <w:sz w:val="24"/>
          <w:szCs w:val="24"/>
          <w:lang w:val="ro-RO"/>
        </w:rPr>
        <w:t xml:space="preserve"> </w:t>
      </w:r>
      <w:r w:rsidR="00544FE4" w:rsidRPr="00650D66">
        <w:rPr>
          <w:rFonts w:ascii="Times New Roman" w:eastAsia="Times New Roman" w:hAnsi="Times New Roman" w:cs="Times New Roman"/>
          <w:sz w:val="24"/>
          <w:szCs w:val="24"/>
          <w:lang w:val="ro-RO"/>
        </w:rPr>
        <w:t xml:space="preserve">iar alocațiile pentru investiții conform </w:t>
      </w:r>
      <w:r w:rsidR="00544FE4" w:rsidRPr="00650D66">
        <w:rPr>
          <w:rFonts w:ascii="Times New Roman" w:eastAsia="Times New Roman" w:hAnsi="Times New Roman" w:cs="Times New Roman"/>
          <w:i/>
          <w:sz w:val="24"/>
          <w:szCs w:val="24"/>
          <w:lang w:val="ro-RO"/>
        </w:rPr>
        <w:t>metodei de casă</w:t>
      </w:r>
      <w:r w:rsidR="00F74F53" w:rsidRPr="00650D66">
        <w:rPr>
          <w:rFonts w:ascii="Times New Roman" w:eastAsia="Times New Roman" w:hAnsi="Times New Roman" w:cs="Times New Roman"/>
          <w:sz w:val="24"/>
          <w:szCs w:val="24"/>
          <w:lang w:val="ro-RO"/>
        </w:rPr>
        <w:t xml:space="preserve">. </w:t>
      </w:r>
    </w:p>
    <w:p w14:paraId="392A107F" w14:textId="77777777" w:rsidR="00983B48" w:rsidRPr="00650D66" w:rsidRDefault="00983B48" w:rsidP="00CF61C1">
      <w:pPr>
        <w:spacing w:after="0" w:line="276" w:lineRule="auto"/>
        <w:jc w:val="both"/>
        <w:rPr>
          <w:rFonts w:ascii="Times New Roman" w:eastAsia="Times New Roman" w:hAnsi="Times New Roman" w:cs="Times New Roman"/>
          <w:sz w:val="6"/>
          <w:szCs w:val="6"/>
          <w:lang w:val="ro-RO"/>
        </w:rPr>
      </w:pPr>
    </w:p>
    <w:p w14:paraId="1DC7AE29" w14:textId="20971EE5" w:rsidR="006E7AB7" w:rsidRPr="00650D66" w:rsidRDefault="003E713F" w:rsidP="00CF61C1">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 xml:space="preserve">Devizul de cheltuieli al BNM cuprinde următoarele elemente de cheltuieli: </w:t>
      </w:r>
      <w:r w:rsidRPr="00650D66">
        <w:rPr>
          <w:rFonts w:ascii="Times New Roman" w:eastAsia="Times New Roman" w:hAnsi="Times New Roman" w:cs="Times New Roman"/>
          <w:i/>
          <w:sz w:val="24"/>
          <w:szCs w:val="24"/>
          <w:lang w:val="ro-RO"/>
        </w:rPr>
        <w:t>(i)</w:t>
      </w:r>
      <w:r w:rsidRPr="00650D66">
        <w:rPr>
          <w:rFonts w:ascii="Times New Roman" w:eastAsia="Times New Roman" w:hAnsi="Times New Roman" w:cs="Times New Roman"/>
          <w:sz w:val="24"/>
          <w:szCs w:val="24"/>
          <w:lang w:val="ro-RO"/>
        </w:rPr>
        <w:t xml:space="preserve"> cheltuieli privind serviciile acordate BNM, </w:t>
      </w:r>
      <w:r w:rsidRPr="00650D66">
        <w:rPr>
          <w:rFonts w:ascii="Times New Roman" w:eastAsia="Times New Roman" w:hAnsi="Times New Roman" w:cs="Times New Roman"/>
          <w:i/>
          <w:sz w:val="24"/>
          <w:szCs w:val="24"/>
          <w:lang w:val="ro-RO"/>
        </w:rPr>
        <w:t>(ii)</w:t>
      </w:r>
      <w:r w:rsidRPr="00650D66">
        <w:rPr>
          <w:rFonts w:ascii="Times New Roman" w:eastAsia="Times New Roman" w:hAnsi="Times New Roman" w:cs="Times New Roman"/>
          <w:sz w:val="24"/>
          <w:szCs w:val="24"/>
          <w:lang w:val="ro-RO"/>
        </w:rPr>
        <w:t xml:space="preserve"> cheltuieli cu personalul, </w:t>
      </w:r>
      <w:r w:rsidRPr="00650D66">
        <w:rPr>
          <w:rFonts w:ascii="Times New Roman" w:eastAsia="Times New Roman" w:hAnsi="Times New Roman" w:cs="Times New Roman"/>
          <w:i/>
          <w:sz w:val="24"/>
          <w:szCs w:val="24"/>
          <w:lang w:val="ro-RO"/>
        </w:rPr>
        <w:t>(iii)</w:t>
      </w:r>
      <w:r w:rsidRPr="00650D66">
        <w:rPr>
          <w:rFonts w:ascii="Times New Roman" w:eastAsia="Times New Roman" w:hAnsi="Times New Roman" w:cs="Times New Roman"/>
          <w:sz w:val="24"/>
          <w:szCs w:val="24"/>
          <w:lang w:val="ro-RO"/>
        </w:rPr>
        <w:t xml:space="preserve"> cheltuieli privind asigurările obligatorii și facultative, </w:t>
      </w:r>
      <w:r w:rsidRPr="00650D66">
        <w:rPr>
          <w:rFonts w:ascii="Times New Roman" w:eastAsia="Times New Roman" w:hAnsi="Times New Roman" w:cs="Times New Roman"/>
          <w:i/>
          <w:sz w:val="24"/>
          <w:szCs w:val="24"/>
          <w:lang w:val="ro-RO"/>
        </w:rPr>
        <w:t>(iv)</w:t>
      </w:r>
      <w:r w:rsidRPr="00650D66">
        <w:rPr>
          <w:rFonts w:ascii="Times New Roman" w:eastAsia="Times New Roman" w:hAnsi="Times New Roman" w:cs="Times New Roman"/>
          <w:sz w:val="24"/>
          <w:szCs w:val="24"/>
          <w:lang w:val="ro-RO"/>
        </w:rPr>
        <w:t xml:space="preserve"> cheltuieli generale, </w:t>
      </w:r>
      <w:r w:rsidRPr="00650D66">
        <w:rPr>
          <w:rFonts w:ascii="Times New Roman" w:eastAsia="Times New Roman" w:hAnsi="Times New Roman" w:cs="Times New Roman"/>
          <w:i/>
          <w:sz w:val="24"/>
          <w:szCs w:val="24"/>
          <w:lang w:val="ro-RO"/>
        </w:rPr>
        <w:t>(v)</w:t>
      </w:r>
      <w:r w:rsidRPr="00650D66">
        <w:rPr>
          <w:rFonts w:ascii="Times New Roman" w:eastAsia="Times New Roman" w:hAnsi="Times New Roman" w:cs="Times New Roman"/>
          <w:sz w:val="24"/>
          <w:szCs w:val="24"/>
          <w:lang w:val="ro-RO"/>
        </w:rPr>
        <w:t xml:space="preserve"> cheltuieli de întreținere și reparații, </w:t>
      </w:r>
      <w:r w:rsidRPr="00650D66">
        <w:rPr>
          <w:rFonts w:ascii="Times New Roman" w:eastAsia="Times New Roman" w:hAnsi="Times New Roman" w:cs="Times New Roman"/>
          <w:i/>
          <w:sz w:val="24"/>
          <w:szCs w:val="24"/>
          <w:lang w:val="ro-RO"/>
        </w:rPr>
        <w:t>(vi)</w:t>
      </w:r>
      <w:r w:rsidRPr="00650D66">
        <w:rPr>
          <w:rFonts w:ascii="Times New Roman" w:eastAsia="Times New Roman" w:hAnsi="Times New Roman" w:cs="Times New Roman"/>
          <w:sz w:val="24"/>
          <w:szCs w:val="24"/>
          <w:lang w:val="ro-RO"/>
        </w:rPr>
        <w:t xml:space="preserve"> cheltuieli privind scoaterea din uz a imobilizărilor corporale și necorporale și a altor active materiale,  </w:t>
      </w:r>
      <w:r w:rsidRPr="00650D66">
        <w:rPr>
          <w:rFonts w:ascii="Times New Roman" w:eastAsia="Times New Roman" w:hAnsi="Times New Roman" w:cs="Times New Roman"/>
          <w:i/>
          <w:sz w:val="24"/>
          <w:szCs w:val="24"/>
          <w:lang w:val="ro-RO"/>
        </w:rPr>
        <w:t>(vii)</w:t>
      </w:r>
      <w:r w:rsidRPr="00650D66">
        <w:rPr>
          <w:rFonts w:ascii="Times New Roman" w:eastAsia="Times New Roman" w:hAnsi="Times New Roman" w:cs="Times New Roman"/>
          <w:sz w:val="24"/>
          <w:szCs w:val="24"/>
          <w:lang w:val="ro-RO"/>
        </w:rPr>
        <w:t xml:space="preserve"> cheltuieli sociale, </w:t>
      </w:r>
      <w:r w:rsidRPr="00650D66">
        <w:rPr>
          <w:rFonts w:ascii="Times New Roman" w:eastAsia="Times New Roman" w:hAnsi="Times New Roman" w:cs="Times New Roman"/>
          <w:i/>
          <w:sz w:val="24"/>
          <w:szCs w:val="24"/>
          <w:lang w:val="ro-RO"/>
        </w:rPr>
        <w:t xml:space="preserve">(viii) </w:t>
      </w:r>
      <w:r w:rsidRPr="00650D66">
        <w:rPr>
          <w:rFonts w:ascii="Times New Roman" w:eastAsia="Times New Roman" w:hAnsi="Times New Roman" w:cs="Times New Roman"/>
          <w:sz w:val="24"/>
          <w:szCs w:val="24"/>
          <w:lang w:val="ro-RO"/>
        </w:rPr>
        <w:t xml:space="preserve">cheltuieli privind deprecierea activelor și cu provizioane, </w:t>
      </w:r>
      <w:r w:rsidRPr="00650D66">
        <w:rPr>
          <w:rFonts w:ascii="Times New Roman" w:eastAsia="Times New Roman" w:hAnsi="Times New Roman" w:cs="Times New Roman"/>
          <w:i/>
          <w:sz w:val="24"/>
          <w:szCs w:val="24"/>
          <w:lang w:val="ro-RO"/>
        </w:rPr>
        <w:t xml:space="preserve">(ix) </w:t>
      </w:r>
      <w:r w:rsidRPr="00650D66">
        <w:rPr>
          <w:rFonts w:ascii="Times New Roman" w:eastAsia="Times New Roman" w:hAnsi="Times New Roman" w:cs="Times New Roman"/>
          <w:sz w:val="24"/>
          <w:szCs w:val="24"/>
          <w:lang w:val="ro-RO"/>
        </w:rPr>
        <w:t xml:space="preserve">cheltuieli privind amortizarea </w:t>
      </w:r>
      <w:r w:rsidRPr="00650D66">
        <w:rPr>
          <w:rFonts w:ascii="Times New Roman" w:eastAsia="Times New Roman" w:hAnsi="Times New Roman" w:cs="Times New Roman"/>
          <w:i/>
          <w:sz w:val="24"/>
          <w:szCs w:val="24"/>
          <w:lang w:val="ro-RO"/>
        </w:rPr>
        <w:t>și</w:t>
      </w:r>
      <w:r w:rsidRPr="00650D66">
        <w:rPr>
          <w:rFonts w:ascii="Times New Roman" w:eastAsia="Times New Roman" w:hAnsi="Times New Roman" w:cs="Times New Roman"/>
          <w:sz w:val="24"/>
          <w:szCs w:val="24"/>
          <w:lang w:val="ro-RO"/>
        </w:rPr>
        <w:t xml:space="preserve"> </w:t>
      </w:r>
      <w:r w:rsidRPr="00650D66">
        <w:rPr>
          <w:rFonts w:ascii="Times New Roman" w:eastAsia="Times New Roman" w:hAnsi="Times New Roman" w:cs="Times New Roman"/>
          <w:i/>
          <w:sz w:val="24"/>
          <w:szCs w:val="24"/>
          <w:lang w:val="ro-RO"/>
        </w:rPr>
        <w:t>(x)</w:t>
      </w:r>
      <w:r w:rsidRPr="00650D66">
        <w:rPr>
          <w:rFonts w:ascii="Times New Roman" w:eastAsia="Times New Roman" w:hAnsi="Times New Roman" w:cs="Times New Roman"/>
          <w:sz w:val="24"/>
          <w:szCs w:val="24"/>
          <w:lang w:val="ro-RO"/>
        </w:rPr>
        <w:t xml:space="preserve"> cheltuieli neaferente activității operaționale.</w:t>
      </w:r>
      <w:r w:rsidR="00D934E9" w:rsidRPr="00650D66">
        <w:rPr>
          <w:rFonts w:ascii="Times New Roman" w:eastAsia="Times New Roman" w:hAnsi="Times New Roman" w:cs="Times New Roman"/>
          <w:sz w:val="24"/>
          <w:szCs w:val="24"/>
          <w:lang w:val="ro-RO"/>
        </w:rPr>
        <w:t xml:space="preserve"> Pe parcursul anului, după aprobarea devizului de cheltuieli de către Consiliul de supraveghere, </w:t>
      </w:r>
      <w:r w:rsidR="00A84F92">
        <w:rPr>
          <w:rFonts w:ascii="Times New Roman" w:eastAsia="Times New Roman" w:hAnsi="Times New Roman" w:cs="Times New Roman"/>
          <w:sz w:val="24"/>
          <w:szCs w:val="24"/>
          <w:lang w:val="ro-RO"/>
        </w:rPr>
        <w:t>acesta este</w:t>
      </w:r>
      <w:r w:rsidR="00D934E9" w:rsidRPr="00650D66">
        <w:rPr>
          <w:rFonts w:ascii="Times New Roman" w:eastAsia="Times New Roman" w:hAnsi="Times New Roman" w:cs="Times New Roman"/>
          <w:sz w:val="24"/>
          <w:szCs w:val="24"/>
          <w:lang w:val="ro-RO"/>
        </w:rPr>
        <w:t xml:space="preserve"> public</w:t>
      </w:r>
      <w:r w:rsidR="00A84F92">
        <w:rPr>
          <w:rFonts w:ascii="Times New Roman" w:eastAsia="Times New Roman" w:hAnsi="Times New Roman" w:cs="Times New Roman"/>
          <w:sz w:val="24"/>
          <w:szCs w:val="24"/>
          <w:lang w:val="ro-RO"/>
        </w:rPr>
        <w:t>at</w:t>
      </w:r>
      <w:r w:rsidR="00D934E9" w:rsidRPr="00650D66">
        <w:rPr>
          <w:rFonts w:ascii="Times New Roman" w:eastAsia="Times New Roman" w:hAnsi="Times New Roman" w:cs="Times New Roman"/>
          <w:sz w:val="24"/>
          <w:szCs w:val="24"/>
          <w:lang w:val="ro-RO"/>
        </w:rPr>
        <w:t xml:space="preserve"> pe pagina web oficială a BNM.</w:t>
      </w:r>
    </w:p>
    <w:p w14:paraId="10711318" w14:textId="77777777" w:rsidR="00384667" w:rsidRPr="00650D66" w:rsidRDefault="00384667" w:rsidP="00CF61C1">
      <w:pPr>
        <w:spacing w:after="0" w:line="276" w:lineRule="auto"/>
        <w:jc w:val="both"/>
        <w:rPr>
          <w:rFonts w:ascii="Times New Roman" w:eastAsia="Times New Roman" w:hAnsi="Times New Roman" w:cs="Times New Roman"/>
          <w:sz w:val="6"/>
          <w:szCs w:val="6"/>
          <w:lang w:val="ro-RO"/>
        </w:rPr>
      </w:pPr>
    </w:p>
    <w:p w14:paraId="5CF63C09" w14:textId="77777777" w:rsidR="00BE2612" w:rsidRPr="00650D66" w:rsidRDefault="00EF6E8C" w:rsidP="00AF6D58">
      <w:pPr>
        <w:spacing w:after="0" w:line="276" w:lineRule="auto"/>
        <w:jc w:val="both"/>
        <w:rPr>
          <w:rFonts w:ascii="Times New Roman" w:eastAsia="Times New Roman" w:hAnsi="Times New Roman" w:cs="Times New Roman"/>
          <w:sz w:val="24"/>
          <w:szCs w:val="24"/>
          <w:lang w:val="ro-RO"/>
        </w:rPr>
      </w:pPr>
      <w:r w:rsidRPr="00650D66">
        <w:rPr>
          <w:rFonts w:ascii="Times New Roman" w:hAnsi="Times New Roman" w:cs="Times New Roman"/>
          <w:sz w:val="24"/>
          <w:szCs w:val="24"/>
          <w:lang w:val="ro-RO"/>
        </w:rPr>
        <w:t xml:space="preserve">BNM elaborează și alocațiile pentru investiții, care reflectă mijloacele financiare utilizate în scopul achiziționării și modernizării imobilizărilor corporale și necorporale ale entității, al căror termen de utilizare și prestare este anul gestionar și perioadele ulterioare. </w:t>
      </w:r>
      <w:r w:rsidR="00734238" w:rsidRPr="00650D66">
        <w:rPr>
          <w:rFonts w:ascii="Times New Roman" w:eastAsia="Times New Roman" w:hAnsi="Times New Roman" w:cs="Times New Roman"/>
          <w:sz w:val="24"/>
          <w:szCs w:val="24"/>
          <w:lang w:val="ro-RO"/>
        </w:rPr>
        <w:t>Conform reglementărilor interne ale BNM, a</w:t>
      </w:r>
      <w:r w:rsidR="00413F17" w:rsidRPr="00650D66">
        <w:rPr>
          <w:rFonts w:ascii="Times New Roman" w:eastAsia="Times New Roman" w:hAnsi="Times New Roman" w:cs="Times New Roman"/>
          <w:sz w:val="24"/>
          <w:szCs w:val="24"/>
          <w:lang w:val="ro-RO"/>
        </w:rPr>
        <w:t xml:space="preserve">locațiile pentru investiții se planifică și se aprobă în două nivele: </w:t>
      </w:r>
      <w:r w:rsidR="00413F17" w:rsidRPr="00650D66">
        <w:rPr>
          <w:rFonts w:ascii="Times New Roman" w:eastAsia="Times New Roman" w:hAnsi="Times New Roman" w:cs="Times New Roman"/>
          <w:i/>
          <w:sz w:val="24"/>
          <w:szCs w:val="24"/>
          <w:lang w:val="ro-RO"/>
        </w:rPr>
        <w:t>(i)</w:t>
      </w:r>
      <w:r w:rsidR="00413F17" w:rsidRPr="00650D66">
        <w:rPr>
          <w:rFonts w:ascii="Times New Roman" w:eastAsia="Times New Roman" w:hAnsi="Times New Roman" w:cs="Times New Roman"/>
          <w:sz w:val="24"/>
          <w:szCs w:val="24"/>
          <w:lang w:val="ro-RO"/>
        </w:rPr>
        <w:t xml:space="preserve"> sumele alocate pentru inițierea achizițiilor în anul respectiv, inclusiv pentru cele preconizate a fi achitate parțial sau integral în anul/anii următor/următori, </w:t>
      </w:r>
      <w:r w:rsidR="00413F17" w:rsidRPr="00650D66">
        <w:rPr>
          <w:rFonts w:ascii="Times New Roman" w:eastAsia="Times New Roman" w:hAnsi="Times New Roman" w:cs="Times New Roman"/>
          <w:i/>
          <w:sz w:val="24"/>
          <w:szCs w:val="24"/>
          <w:lang w:val="ro-RO"/>
        </w:rPr>
        <w:t>(ii)</w:t>
      </w:r>
      <w:r w:rsidR="00413F17" w:rsidRPr="00650D66">
        <w:rPr>
          <w:rFonts w:ascii="Times New Roman" w:eastAsia="Times New Roman" w:hAnsi="Times New Roman" w:cs="Times New Roman"/>
          <w:sz w:val="24"/>
          <w:szCs w:val="24"/>
          <w:lang w:val="ro-RO"/>
        </w:rPr>
        <w:t xml:space="preserve"> sumele preconizate a fi achitate în anul respectiv, inclusiv cele aferente achizițiilor inițiate în anul/anii precedent/precedenți.</w:t>
      </w:r>
      <w:r w:rsidRPr="00650D66">
        <w:rPr>
          <w:rFonts w:ascii="Times New Roman" w:eastAsia="Times New Roman" w:hAnsi="Times New Roman" w:cs="Times New Roman"/>
          <w:sz w:val="24"/>
          <w:szCs w:val="24"/>
          <w:lang w:val="ro-RO"/>
        </w:rPr>
        <w:t xml:space="preserve"> </w:t>
      </w:r>
    </w:p>
    <w:p w14:paraId="6D6A0793" w14:textId="048D5B06" w:rsidR="00413F17" w:rsidRPr="00650D66" w:rsidRDefault="00393269" w:rsidP="00393269">
      <w:pPr>
        <w:spacing w:after="0" w:line="276" w:lineRule="auto"/>
        <w:jc w:val="both"/>
        <w:rPr>
          <w:rFonts w:ascii="Times New Roman" w:hAnsi="Times New Roman" w:cs="Times New Roman"/>
          <w:sz w:val="24"/>
          <w:szCs w:val="24"/>
          <w:lang w:val="ro-RO"/>
        </w:rPr>
      </w:pPr>
      <w:r w:rsidRPr="00650D66">
        <w:rPr>
          <w:rFonts w:ascii="Times New Roman" w:eastAsia="Times New Roman" w:hAnsi="Times New Roman" w:cs="Times New Roman"/>
          <w:sz w:val="24"/>
          <w:szCs w:val="24"/>
          <w:lang w:val="ro-RO"/>
        </w:rPr>
        <w:t>În alocațiile pentru investiții ale BNM se prevăd investițiile capitale ale BNM aprobate</w:t>
      </w:r>
      <w:r w:rsidR="00EF6E8C" w:rsidRPr="00650D66">
        <w:rPr>
          <w:rFonts w:ascii="Times New Roman" w:eastAsia="Times New Roman" w:hAnsi="Times New Roman" w:cs="Times New Roman"/>
          <w:sz w:val="24"/>
          <w:szCs w:val="24"/>
          <w:lang w:val="ro-RO"/>
        </w:rPr>
        <w:t xml:space="preserve"> pentru: </w:t>
      </w:r>
      <w:r w:rsidR="00EF6E8C" w:rsidRPr="00650D66">
        <w:rPr>
          <w:rFonts w:ascii="Times New Roman" w:eastAsia="Times New Roman" w:hAnsi="Times New Roman" w:cs="Times New Roman"/>
          <w:i/>
          <w:sz w:val="24"/>
          <w:szCs w:val="24"/>
          <w:lang w:val="ro-RO"/>
        </w:rPr>
        <w:t>(i)</w:t>
      </w:r>
      <w:r w:rsidR="00EF6E8C" w:rsidRPr="00650D66">
        <w:rPr>
          <w:rFonts w:ascii="Times New Roman" w:eastAsia="Times New Roman" w:hAnsi="Times New Roman" w:cs="Times New Roman"/>
          <w:sz w:val="24"/>
          <w:szCs w:val="24"/>
          <w:lang w:val="ro-RO"/>
        </w:rPr>
        <w:t xml:space="preserve"> </w:t>
      </w:r>
      <w:r w:rsidR="001D1383">
        <w:rPr>
          <w:rFonts w:ascii="Times New Roman" w:eastAsia="Times New Roman" w:hAnsi="Times New Roman" w:cs="Times New Roman"/>
          <w:sz w:val="24"/>
          <w:szCs w:val="24"/>
          <w:lang w:val="ro-RO"/>
        </w:rPr>
        <w:t>t</w:t>
      </w:r>
      <w:r w:rsidR="00EF6E8C" w:rsidRPr="00650D66">
        <w:rPr>
          <w:rFonts w:ascii="Times New Roman" w:eastAsia="Times New Roman" w:hAnsi="Times New Roman" w:cs="Times New Roman"/>
          <w:sz w:val="24"/>
          <w:szCs w:val="24"/>
          <w:lang w:val="ro-RO"/>
        </w:rPr>
        <w:t>ehnică de calcul</w:t>
      </w:r>
      <w:r w:rsidR="00EF6E8C" w:rsidRPr="00991A75">
        <w:rPr>
          <w:rFonts w:ascii="Times New Roman" w:eastAsia="Times New Roman" w:hAnsi="Times New Roman" w:cs="Times New Roman"/>
          <w:sz w:val="24"/>
          <w:szCs w:val="24"/>
          <w:lang w:val="ro-RO"/>
        </w:rPr>
        <w:t xml:space="preserve">, </w:t>
      </w:r>
      <w:r w:rsidR="00EF6E8C" w:rsidRPr="00991A75">
        <w:rPr>
          <w:rFonts w:ascii="Times New Roman" w:eastAsia="Times New Roman" w:hAnsi="Times New Roman" w:cs="Times New Roman"/>
          <w:i/>
          <w:sz w:val="24"/>
          <w:szCs w:val="24"/>
          <w:lang w:val="ro-RO"/>
        </w:rPr>
        <w:t>(ii)</w:t>
      </w:r>
      <w:r w:rsidR="00EF6E8C" w:rsidRPr="00991A75">
        <w:rPr>
          <w:rFonts w:ascii="Times New Roman" w:eastAsia="Times New Roman" w:hAnsi="Times New Roman" w:cs="Times New Roman"/>
          <w:sz w:val="24"/>
          <w:szCs w:val="24"/>
          <w:lang w:val="ro-RO"/>
        </w:rPr>
        <w:t xml:space="preserve"> produse programate, </w:t>
      </w:r>
      <w:r w:rsidR="00EF6E8C" w:rsidRPr="00991A75">
        <w:rPr>
          <w:rFonts w:ascii="Times New Roman" w:eastAsia="Times New Roman" w:hAnsi="Times New Roman" w:cs="Times New Roman"/>
          <w:i/>
          <w:sz w:val="24"/>
          <w:szCs w:val="24"/>
          <w:lang w:val="ro-RO"/>
        </w:rPr>
        <w:t>(iii)</w:t>
      </w:r>
      <w:r w:rsidR="00EF6E8C" w:rsidRPr="00650D66">
        <w:rPr>
          <w:rFonts w:ascii="Times New Roman" w:eastAsia="Times New Roman" w:hAnsi="Times New Roman" w:cs="Times New Roman"/>
          <w:sz w:val="24"/>
          <w:szCs w:val="24"/>
          <w:lang w:val="ro-RO"/>
        </w:rPr>
        <w:t xml:space="preserve"> utilaj și echipament, </w:t>
      </w:r>
      <w:r w:rsidR="00EF6E8C" w:rsidRPr="00650D66">
        <w:rPr>
          <w:rFonts w:ascii="Times New Roman" w:eastAsia="Times New Roman" w:hAnsi="Times New Roman" w:cs="Times New Roman"/>
          <w:i/>
          <w:sz w:val="24"/>
          <w:szCs w:val="24"/>
          <w:lang w:val="ro-RO"/>
        </w:rPr>
        <w:t>(iv)</w:t>
      </w:r>
      <w:r w:rsidR="00EF6E8C" w:rsidRPr="00650D66">
        <w:rPr>
          <w:rFonts w:ascii="Times New Roman" w:eastAsia="Times New Roman" w:hAnsi="Times New Roman" w:cs="Times New Roman"/>
          <w:sz w:val="24"/>
          <w:szCs w:val="24"/>
          <w:lang w:val="ro-RO"/>
        </w:rPr>
        <w:t xml:space="preserve"> mijloace fixe de gospodărie, </w:t>
      </w:r>
      <w:r w:rsidR="00EF6E8C" w:rsidRPr="00650D66">
        <w:rPr>
          <w:rFonts w:ascii="Times New Roman" w:eastAsia="Times New Roman" w:hAnsi="Times New Roman" w:cs="Times New Roman"/>
          <w:i/>
          <w:sz w:val="24"/>
          <w:szCs w:val="24"/>
          <w:lang w:val="ro-RO"/>
        </w:rPr>
        <w:t>(v)</w:t>
      </w:r>
      <w:r w:rsidR="00EF6E8C" w:rsidRPr="00650D66">
        <w:rPr>
          <w:rFonts w:ascii="Times New Roman" w:eastAsia="Times New Roman" w:hAnsi="Times New Roman" w:cs="Times New Roman"/>
          <w:sz w:val="24"/>
          <w:szCs w:val="24"/>
          <w:lang w:val="ro-RO"/>
        </w:rPr>
        <w:t xml:space="preserve"> lucrări de reconstrucție, construcție </w:t>
      </w:r>
      <w:r w:rsidR="00EF6E8C" w:rsidRPr="00650D66">
        <w:rPr>
          <w:rFonts w:ascii="Times New Roman" w:eastAsia="Times New Roman" w:hAnsi="Times New Roman" w:cs="Times New Roman"/>
          <w:i/>
          <w:sz w:val="24"/>
          <w:szCs w:val="24"/>
          <w:lang w:val="ro-RO"/>
        </w:rPr>
        <w:t>și (vi)</w:t>
      </w:r>
      <w:r w:rsidR="00EF6E8C" w:rsidRPr="00650D66">
        <w:rPr>
          <w:rFonts w:ascii="Times New Roman" w:eastAsia="Times New Roman" w:hAnsi="Times New Roman" w:cs="Times New Roman"/>
          <w:sz w:val="24"/>
          <w:szCs w:val="24"/>
          <w:lang w:val="ro-RO"/>
        </w:rPr>
        <w:t xml:space="preserve"> alte bunuri, servicii și lucrări.</w:t>
      </w:r>
    </w:p>
    <w:p w14:paraId="17B1783C" w14:textId="77777777" w:rsidR="008748EC" w:rsidRPr="00650D66" w:rsidRDefault="008748EC" w:rsidP="00CF61C1">
      <w:pPr>
        <w:spacing w:after="0" w:line="276" w:lineRule="auto"/>
        <w:jc w:val="both"/>
        <w:rPr>
          <w:rFonts w:ascii="Times New Roman" w:eastAsia="Times New Roman" w:hAnsi="Times New Roman" w:cs="Times New Roman"/>
          <w:sz w:val="6"/>
          <w:szCs w:val="6"/>
          <w:lang w:val="ro-RO"/>
        </w:rPr>
      </w:pPr>
    </w:p>
    <w:p w14:paraId="0E5E4395" w14:textId="1738044C" w:rsidR="006676F4" w:rsidRPr="00650D66" w:rsidRDefault="00E337E8" w:rsidP="00004BEF">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 xml:space="preserve">Semestrial și anual, rezultatele analizei executării devizului de cheltuieli și alocațiilor pentru investiții ale BNM se expun în </w:t>
      </w:r>
      <w:r w:rsidRPr="00650D66">
        <w:rPr>
          <w:rFonts w:ascii="Times New Roman" w:eastAsia="Times New Roman" w:hAnsi="Times New Roman" w:cs="Times New Roman"/>
          <w:i/>
          <w:sz w:val="24"/>
          <w:szCs w:val="24"/>
          <w:lang w:val="ro-RO"/>
        </w:rPr>
        <w:t>Raportul privind executarea devizului de cheltuieli și alocațiilor pentru investiții ale BNM</w:t>
      </w:r>
      <w:r w:rsidRPr="00650D66">
        <w:rPr>
          <w:rFonts w:ascii="Times New Roman" w:eastAsia="Times New Roman" w:hAnsi="Times New Roman" w:cs="Times New Roman"/>
          <w:sz w:val="24"/>
          <w:szCs w:val="24"/>
          <w:lang w:val="ro-RO"/>
        </w:rPr>
        <w:t xml:space="preserve">. </w:t>
      </w:r>
      <w:r w:rsidR="005518E7" w:rsidRPr="00650D66">
        <w:rPr>
          <w:rFonts w:ascii="Times New Roman" w:eastAsia="Times New Roman" w:hAnsi="Times New Roman" w:cs="Times New Roman"/>
          <w:sz w:val="24"/>
          <w:szCs w:val="24"/>
          <w:lang w:val="ro-RO"/>
        </w:rPr>
        <w:t xml:space="preserve">Raportul menționat mai sus se examinează de către Departamentul </w:t>
      </w:r>
      <w:r w:rsidR="001D1383">
        <w:rPr>
          <w:rFonts w:ascii="Times New Roman" w:eastAsia="Times New Roman" w:hAnsi="Times New Roman" w:cs="Times New Roman"/>
          <w:sz w:val="24"/>
          <w:szCs w:val="24"/>
          <w:lang w:val="ro-RO"/>
        </w:rPr>
        <w:t>a</w:t>
      </w:r>
      <w:r w:rsidR="005518E7" w:rsidRPr="00650D66">
        <w:rPr>
          <w:rFonts w:ascii="Times New Roman" w:eastAsia="Times New Roman" w:hAnsi="Times New Roman" w:cs="Times New Roman"/>
          <w:sz w:val="24"/>
          <w:szCs w:val="24"/>
          <w:lang w:val="ro-RO"/>
        </w:rPr>
        <w:t xml:space="preserve">udit </w:t>
      </w:r>
      <w:r w:rsidR="001D1383">
        <w:rPr>
          <w:rFonts w:ascii="Times New Roman" w:eastAsia="Times New Roman" w:hAnsi="Times New Roman" w:cs="Times New Roman"/>
          <w:sz w:val="24"/>
          <w:szCs w:val="24"/>
          <w:lang w:val="ro-RO"/>
        </w:rPr>
        <w:t>i</w:t>
      </w:r>
      <w:r w:rsidR="005518E7" w:rsidRPr="00650D66">
        <w:rPr>
          <w:rFonts w:ascii="Times New Roman" w:eastAsia="Times New Roman" w:hAnsi="Times New Roman" w:cs="Times New Roman"/>
          <w:sz w:val="24"/>
          <w:szCs w:val="24"/>
          <w:lang w:val="ro-RO"/>
        </w:rPr>
        <w:t>ntern, confirmând rezultatel</w:t>
      </w:r>
      <w:r w:rsidR="00B1464D" w:rsidRPr="00650D66">
        <w:rPr>
          <w:rFonts w:ascii="Times New Roman" w:eastAsia="Times New Roman" w:hAnsi="Times New Roman" w:cs="Times New Roman"/>
          <w:sz w:val="24"/>
          <w:szCs w:val="24"/>
          <w:lang w:val="ro-RO"/>
        </w:rPr>
        <w:t>e examinării prin aviz, ulterior</w:t>
      </w:r>
      <w:r w:rsidR="005518E7" w:rsidRPr="00650D66">
        <w:rPr>
          <w:rFonts w:ascii="Times New Roman" w:eastAsia="Times New Roman" w:hAnsi="Times New Roman" w:cs="Times New Roman"/>
          <w:sz w:val="24"/>
          <w:szCs w:val="24"/>
          <w:lang w:val="ro-RO"/>
        </w:rPr>
        <w:t xml:space="preserve"> se prezintă spre coordonare Comitetului executiv și spre examinare </w:t>
      </w:r>
      <w:r w:rsidR="001D1383">
        <w:rPr>
          <w:rFonts w:ascii="Times New Roman" w:eastAsia="Times New Roman" w:hAnsi="Times New Roman" w:cs="Times New Roman"/>
          <w:sz w:val="24"/>
          <w:szCs w:val="24"/>
          <w:lang w:val="ro-RO"/>
        </w:rPr>
        <w:t xml:space="preserve">– </w:t>
      </w:r>
      <w:r w:rsidR="005518E7" w:rsidRPr="00650D66">
        <w:rPr>
          <w:rFonts w:ascii="Times New Roman" w:eastAsia="Times New Roman" w:hAnsi="Times New Roman" w:cs="Times New Roman"/>
          <w:sz w:val="24"/>
          <w:szCs w:val="24"/>
          <w:lang w:val="ro-RO"/>
        </w:rPr>
        <w:t>Consiliului de supraveghere.</w:t>
      </w:r>
    </w:p>
    <w:p w14:paraId="51535DEE" w14:textId="77777777" w:rsidR="009E2D1F" w:rsidRPr="00650D66" w:rsidRDefault="009E2D1F" w:rsidP="00004BEF">
      <w:pPr>
        <w:spacing w:after="0" w:line="276" w:lineRule="auto"/>
        <w:jc w:val="both"/>
        <w:rPr>
          <w:rFonts w:ascii="Times New Roman" w:eastAsia="Times New Roman" w:hAnsi="Times New Roman" w:cs="Times New Roman"/>
          <w:sz w:val="24"/>
          <w:szCs w:val="24"/>
          <w:lang w:val="ro-RO"/>
        </w:rPr>
      </w:pPr>
    </w:p>
    <w:p w14:paraId="06475326" w14:textId="77777777" w:rsidR="00CF61C1" w:rsidRPr="00650D66" w:rsidRDefault="006676F4" w:rsidP="00956FDB">
      <w:pPr>
        <w:pStyle w:val="Heading2"/>
        <w:spacing w:before="0" w:line="276" w:lineRule="auto"/>
        <w:rPr>
          <w:rFonts w:ascii="Times New Roman" w:hAnsi="Times New Roman" w:cs="Times New Roman"/>
          <w:b/>
          <w:color w:val="000000" w:themeColor="text1"/>
          <w:sz w:val="24"/>
          <w:szCs w:val="24"/>
          <w:lang w:val="ro-RO"/>
        </w:rPr>
      </w:pPr>
      <w:bookmarkStart w:id="5" w:name="_Toc159413632"/>
      <w:r w:rsidRPr="00650D66">
        <w:rPr>
          <w:rFonts w:ascii="Times New Roman" w:hAnsi="Times New Roman" w:cs="Times New Roman"/>
          <w:b/>
          <w:color w:val="000000" w:themeColor="text1"/>
          <w:sz w:val="24"/>
          <w:szCs w:val="24"/>
          <w:lang w:val="ro-RO"/>
        </w:rPr>
        <w:t>2.2 Cadrul instituțional</w:t>
      </w:r>
      <w:bookmarkEnd w:id="5"/>
    </w:p>
    <w:p w14:paraId="794D8A8E" w14:textId="174966C1" w:rsidR="00756F19" w:rsidRPr="00650D66" w:rsidRDefault="0090644F" w:rsidP="00956FDB">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BNM își desfășoară activitatea în conformitate cu Legea cu privire la Banca </w:t>
      </w:r>
      <w:r w:rsidR="00973711">
        <w:rPr>
          <w:rFonts w:ascii="Times New Roman" w:hAnsi="Times New Roman" w:cs="Times New Roman"/>
          <w:sz w:val="24"/>
          <w:szCs w:val="24"/>
          <w:lang w:val="ro-RO"/>
        </w:rPr>
        <w:t>Națională a Moldovei nr.548</w:t>
      </w:r>
      <w:r w:rsidRPr="00650D66">
        <w:rPr>
          <w:rFonts w:ascii="Times New Roman" w:hAnsi="Times New Roman" w:cs="Times New Roman"/>
          <w:sz w:val="24"/>
          <w:szCs w:val="24"/>
          <w:lang w:val="ro-RO"/>
        </w:rPr>
        <w:t xml:space="preserve"> din 21.07.1995, alte acte no</w:t>
      </w:r>
      <w:r w:rsidR="00251427" w:rsidRPr="00650D66">
        <w:rPr>
          <w:rFonts w:ascii="Times New Roman" w:hAnsi="Times New Roman" w:cs="Times New Roman"/>
          <w:sz w:val="24"/>
          <w:szCs w:val="24"/>
          <w:lang w:val="ro-RO"/>
        </w:rPr>
        <w:t>rmative</w:t>
      </w:r>
      <w:r w:rsidR="000B0E5C">
        <w:rPr>
          <w:rFonts w:ascii="Times New Roman" w:hAnsi="Times New Roman" w:cs="Times New Roman"/>
          <w:sz w:val="24"/>
          <w:szCs w:val="24"/>
          <w:lang w:val="ro-RO"/>
        </w:rPr>
        <w:t>, inclusiv</w:t>
      </w:r>
      <w:r w:rsidR="00251427" w:rsidRPr="00650D66">
        <w:rPr>
          <w:rFonts w:ascii="Times New Roman" w:hAnsi="Times New Roman" w:cs="Times New Roman"/>
          <w:sz w:val="24"/>
          <w:szCs w:val="24"/>
          <w:lang w:val="ro-RO"/>
        </w:rPr>
        <w:t xml:space="preserve"> </w:t>
      </w:r>
      <w:r w:rsidR="000B0E5C">
        <w:rPr>
          <w:rFonts w:ascii="Times New Roman" w:hAnsi="Times New Roman" w:cs="Times New Roman"/>
          <w:sz w:val="24"/>
          <w:szCs w:val="24"/>
          <w:lang w:val="ro-RO"/>
        </w:rPr>
        <w:t xml:space="preserve">cu </w:t>
      </w:r>
      <w:r w:rsidR="00251427" w:rsidRPr="00650D66">
        <w:rPr>
          <w:rFonts w:ascii="Times New Roman" w:hAnsi="Times New Roman" w:cs="Times New Roman"/>
          <w:sz w:val="24"/>
          <w:szCs w:val="24"/>
          <w:lang w:val="ro-RO"/>
        </w:rPr>
        <w:t>reglementări</w:t>
      </w:r>
      <w:r w:rsidR="002D4C04" w:rsidRPr="00650D66">
        <w:rPr>
          <w:rFonts w:ascii="Times New Roman" w:hAnsi="Times New Roman" w:cs="Times New Roman"/>
          <w:sz w:val="24"/>
          <w:szCs w:val="24"/>
          <w:lang w:val="ro-RO"/>
        </w:rPr>
        <w:t>le</w:t>
      </w:r>
      <w:r w:rsidR="00251427" w:rsidRPr="00650D66">
        <w:rPr>
          <w:rFonts w:ascii="Times New Roman" w:hAnsi="Times New Roman" w:cs="Times New Roman"/>
          <w:sz w:val="24"/>
          <w:szCs w:val="24"/>
          <w:lang w:val="ro-RO"/>
        </w:rPr>
        <w:t xml:space="preserve"> interne</w:t>
      </w:r>
      <w:r w:rsidR="00351265" w:rsidRPr="00650D66">
        <w:rPr>
          <w:rFonts w:ascii="Times New Roman" w:hAnsi="Times New Roman" w:cs="Times New Roman"/>
          <w:sz w:val="24"/>
          <w:szCs w:val="24"/>
          <w:lang w:val="ro-RO"/>
        </w:rPr>
        <w:t>,</w:t>
      </w:r>
      <w:r w:rsidR="00D807CD" w:rsidRPr="00650D66">
        <w:rPr>
          <w:rFonts w:ascii="Times New Roman" w:hAnsi="Times New Roman" w:cs="Times New Roman"/>
          <w:sz w:val="24"/>
          <w:szCs w:val="24"/>
          <w:lang w:val="ro-RO"/>
        </w:rPr>
        <w:t xml:space="preserve"> având independență în exercitarea atribuțiilor sale conform art.6 alin.(4) din legea nominalizată.</w:t>
      </w:r>
      <w:r w:rsidR="006B1854" w:rsidRPr="00650D66">
        <w:rPr>
          <w:rFonts w:ascii="Times New Roman" w:hAnsi="Times New Roman" w:cs="Times New Roman"/>
          <w:sz w:val="24"/>
          <w:szCs w:val="24"/>
          <w:lang w:val="ro-RO"/>
        </w:rPr>
        <w:t xml:space="preserve"> </w:t>
      </w:r>
      <w:r w:rsidR="00756F19" w:rsidRPr="00650D66">
        <w:rPr>
          <w:rFonts w:ascii="Times New Roman" w:hAnsi="Times New Roman" w:cs="Times New Roman"/>
          <w:sz w:val="24"/>
          <w:szCs w:val="24"/>
          <w:lang w:val="ro-RO"/>
        </w:rPr>
        <w:t xml:space="preserve">Astfel, BNM și membrii organelor de conducere ale acesteia sunt independenți în exercitarea atribuțiilor stabilite de lege și nu pot solicita și nici accepta instrucțiuni de la autoritățile publice sau de la orice altă autoritate. </w:t>
      </w:r>
    </w:p>
    <w:p w14:paraId="2EC95ACE" w14:textId="77777777" w:rsidR="0000061B" w:rsidRPr="00650D66" w:rsidRDefault="0000061B" w:rsidP="005E527A">
      <w:pPr>
        <w:spacing w:after="0" w:line="276" w:lineRule="auto"/>
        <w:jc w:val="both"/>
        <w:rPr>
          <w:rFonts w:ascii="Times New Roman" w:hAnsi="Times New Roman" w:cs="Times New Roman"/>
          <w:sz w:val="6"/>
          <w:szCs w:val="6"/>
          <w:lang w:val="ro-RO"/>
        </w:rPr>
      </w:pPr>
    </w:p>
    <w:p w14:paraId="7DAD55FE" w14:textId="75F7BBAC" w:rsidR="005E527A" w:rsidRPr="00650D66" w:rsidRDefault="005E527A" w:rsidP="005E527A">
      <w:pPr>
        <w:spacing w:after="0" w:line="276" w:lineRule="auto"/>
        <w:jc w:val="both"/>
        <w:rPr>
          <w:rFonts w:ascii="Times New Roman" w:hAnsi="Times New Roman" w:cs="Times New Roman"/>
          <w:sz w:val="24"/>
          <w:szCs w:val="24"/>
          <w:lang w:val="ro-RO"/>
        </w:rPr>
      </w:pPr>
      <w:r w:rsidRPr="00650D66">
        <w:rPr>
          <w:rFonts w:ascii="Times New Roman" w:eastAsia="Times New Roman" w:hAnsi="Times New Roman" w:cs="Times New Roman"/>
          <w:sz w:val="24"/>
          <w:szCs w:val="24"/>
          <w:lang w:val="ro-RO"/>
        </w:rPr>
        <w:lastRenderedPageBreak/>
        <w:t>În scopul îndeplinirii atribuțiilor sale, BNM are dreptul să emită hotărâri, regulamente, instrucțiuni și ordonanțe</w:t>
      </w:r>
      <w:r w:rsidRPr="00650D66">
        <w:rPr>
          <w:rFonts w:ascii="Times New Roman" w:eastAsia="Times New Roman" w:hAnsi="Times New Roman" w:cs="Times New Roman"/>
          <w:sz w:val="24"/>
          <w:szCs w:val="24"/>
          <w:vertAlign w:val="superscript"/>
          <w:lang w:val="ro-RO"/>
        </w:rPr>
        <w:footnoteReference w:id="10"/>
      </w:r>
      <w:r w:rsidRPr="00650D66">
        <w:rPr>
          <w:rFonts w:ascii="Times New Roman" w:eastAsia="Times New Roman" w:hAnsi="Times New Roman" w:cs="Times New Roman"/>
          <w:sz w:val="24"/>
          <w:szCs w:val="24"/>
          <w:lang w:val="ro-RO"/>
        </w:rPr>
        <w:t>. Totodată, c</w:t>
      </w:r>
      <w:r w:rsidRPr="00650D66">
        <w:rPr>
          <w:rFonts w:ascii="Times New Roman" w:hAnsi="Times New Roman" w:cs="Times New Roman"/>
          <w:sz w:val="24"/>
          <w:szCs w:val="24"/>
          <w:lang w:val="ro-RO"/>
        </w:rPr>
        <w:t>onform art.37 din Legea nr.100 din 22.12.2017</w:t>
      </w:r>
      <w:r w:rsidRPr="00650D66">
        <w:rPr>
          <w:rStyle w:val="FootnoteReference"/>
          <w:rFonts w:ascii="Times New Roman" w:hAnsi="Times New Roman" w:cs="Times New Roman"/>
          <w:sz w:val="24"/>
          <w:szCs w:val="24"/>
          <w:lang w:val="ro-RO"/>
        </w:rPr>
        <w:footnoteReference w:id="11"/>
      </w:r>
      <w:r w:rsidRPr="00650D66">
        <w:rPr>
          <w:rFonts w:ascii="Times New Roman" w:hAnsi="Times New Roman" w:cs="Times New Roman"/>
          <w:sz w:val="24"/>
          <w:szCs w:val="24"/>
          <w:lang w:val="ro-RO"/>
        </w:rPr>
        <w:t xml:space="preserve"> și art.11 alin. (3</w:t>
      </w:r>
      <w:r w:rsidRPr="00650D66">
        <w:rPr>
          <w:rFonts w:ascii="Times New Roman" w:hAnsi="Times New Roman" w:cs="Times New Roman"/>
          <w:sz w:val="24"/>
          <w:szCs w:val="24"/>
          <w:vertAlign w:val="superscript"/>
          <w:lang w:val="ro-RO"/>
        </w:rPr>
        <w:t>2</w:t>
      </w:r>
      <w:r w:rsidRPr="00650D66">
        <w:rPr>
          <w:rFonts w:ascii="Times New Roman" w:hAnsi="Times New Roman" w:cs="Times New Roman"/>
          <w:sz w:val="24"/>
          <w:szCs w:val="24"/>
          <w:lang w:val="ro-RO"/>
        </w:rPr>
        <w:t>) din Legea nr.548/1995</w:t>
      </w:r>
      <w:r w:rsidR="000B0E5C">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actele normative emise de BNM nu se supun expertizei juridice a Ministerului Justiției, dar acestea se transmit, după adoptare, Ministerului Justiției pentru a fi înregistrate în Registrul de stat al actelor juridice. </w:t>
      </w:r>
    </w:p>
    <w:p w14:paraId="7DC8E436" w14:textId="77777777" w:rsidR="005E527A" w:rsidRPr="00650D66" w:rsidRDefault="005E527A" w:rsidP="005E527A">
      <w:pPr>
        <w:spacing w:after="0" w:line="276" w:lineRule="auto"/>
        <w:jc w:val="both"/>
        <w:rPr>
          <w:rFonts w:ascii="Times New Roman" w:hAnsi="Times New Roman" w:cs="Times New Roman"/>
          <w:sz w:val="6"/>
          <w:szCs w:val="6"/>
          <w:lang w:val="ro-RO"/>
        </w:rPr>
      </w:pPr>
    </w:p>
    <w:p w14:paraId="1EE7DE09" w14:textId="42D31707" w:rsidR="006676F4" w:rsidRPr="00650D66" w:rsidRDefault="00F8199F" w:rsidP="00926D09">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perioada 2019-2022, organele de conducere ale BNM și-au exercitat atrib</w:t>
      </w:r>
      <w:r w:rsidR="00973711">
        <w:rPr>
          <w:rFonts w:ascii="Times New Roman" w:hAnsi="Times New Roman" w:cs="Times New Roman"/>
          <w:sz w:val="24"/>
          <w:szCs w:val="24"/>
          <w:lang w:val="ro-RO"/>
        </w:rPr>
        <w:t>uțiile în baza Legii nr.548</w:t>
      </w:r>
      <w:r w:rsidR="001E0E9C" w:rsidRPr="00650D66">
        <w:rPr>
          <w:rFonts w:ascii="Times New Roman" w:hAnsi="Times New Roman" w:cs="Times New Roman"/>
          <w:sz w:val="24"/>
          <w:szCs w:val="24"/>
          <w:lang w:val="ro-RO"/>
        </w:rPr>
        <w:t xml:space="preserve"> din 21.07.1995, </w:t>
      </w:r>
      <w:r w:rsidR="00D92352" w:rsidRPr="00650D66">
        <w:rPr>
          <w:rFonts w:ascii="Times New Roman" w:hAnsi="Times New Roman" w:cs="Times New Roman"/>
          <w:sz w:val="24"/>
          <w:szCs w:val="24"/>
          <w:lang w:val="ro-RO"/>
        </w:rPr>
        <w:t>Regulamentelor de organizare și funcționare a Consiliului de supraveghere și Comitetului executiv</w:t>
      </w:r>
      <w:r w:rsidR="00D92352" w:rsidRPr="00650D66">
        <w:rPr>
          <w:rStyle w:val="FootnoteReference"/>
          <w:rFonts w:ascii="Times New Roman" w:hAnsi="Times New Roman" w:cs="Times New Roman"/>
          <w:sz w:val="24"/>
          <w:szCs w:val="24"/>
          <w:lang w:val="ro-RO"/>
        </w:rPr>
        <w:footnoteReference w:id="12"/>
      </w:r>
      <w:r w:rsidR="000B0E5C">
        <w:rPr>
          <w:rFonts w:ascii="Times New Roman" w:hAnsi="Times New Roman" w:cs="Times New Roman"/>
          <w:sz w:val="24"/>
          <w:szCs w:val="24"/>
          <w:lang w:val="ro-RO"/>
        </w:rPr>
        <w:t>,</w:t>
      </w:r>
      <w:r w:rsidR="001E0E9C" w:rsidRPr="00650D66">
        <w:rPr>
          <w:rFonts w:ascii="Times New Roman" w:hAnsi="Times New Roman" w:cs="Times New Roman"/>
          <w:sz w:val="24"/>
          <w:szCs w:val="24"/>
          <w:lang w:val="ro-RO"/>
        </w:rPr>
        <w:t xml:space="preserve"> actelor normative interne care reglementează domeniile de activitate ale BNM. </w:t>
      </w:r>
      <w:r w:rsidR="005E527A" w:rsidRPr="00650D66">
        <w:rPr>
          <w:rFonts w:ascii="Times New Roman" w:hAnsi="Times New Roman" w:cs="Times New Roman"/>
          <w:sz w:val="24"/>
          <w:szCs w:val="24"/>
          <w:lang w:val="ro-RO"/>
        </w:rPr>
        <w:t>D</w:t>
      </w:r>
      <w:r w:rsidR="001E4137" w:rsidRPr="00650D66">
        <w:rPr>
          <w:rFonts w:ascii="Times New Roman" w:hAnsi="Times New Roman" w:cs="Times New Roman"/>
          <w:sz w:val="24"/>
          <w:szCs w:val="24"/>
          <w:lang w:val="ro-RO"/>
        </w:rPr>
        <w:t>evizul de cheltuieli și alocațiile pentru investiții se elaborează, se execută și se raportează în baza Regulamentului aprobat prin Hotărârea Consiliului de supraveghere nr.5 din 23.12.2015</w:t>
      </w:r>
      <w:r w:rsidR="001E4137" w:rsidRPr="00650D66">
        <w:rPr>
          <w:rStyle w:val="FootnoteReference"/>
          <w:rFonts w:ascii="Times New Roman" w:hAnsi="Times New Roman" w:cs="Times New Roman"/>
          <w:sz w:val="24"/>
          <w:szCs w:val="24"/>
          <w:lang w:val="ro-RO"/>
        </w:rPr>
        <w:footnoteReference w:id="13"/>
      </w:r>
      <w:r w:rsidR="001E4137" w:rsidRPr="00650D66">
        <w:rPr>
          <w:rFonts w:ascii="Times New Roman" w:hAnsi="Times New Roman" w:cs="Times New Roman"/>
          <w:sz w:val="24"/>
          <w:szCs w:val="24"/>
          <w:lang w:val="ro-RO"/>
        </w:rPr>
        <w:t>.</w:t>
      </w:r>
      <w:r w:rsidR="00B37D79" w:rsidRPr="00650D66">
        <w:rPr>
          <w:rFonts w:ascii="Times New Roman" w:hAnsi="Times New Roman" w:cs="Times New Roman"/>
          <w:i/>
          <w:sz w:val="24"/>
          <w:szCs w:val="24"/>
          <w:lang w:val="ro-RO"/>
        </w:rPr>
        <w:t xml:space="preserve"> Lista actelor normative aplicate de BNM </w:t>
      </w:r>
      <w:r w:rsidR="000B0E5C">
        <w:rPr>
          <w:rFonts w:ascii="Times New Roman" w:hAnsi="Times New Roman" w:cs="Times New Roman"/>
          <w:i/>
          <w:sz w:val="24"/>
          <w:szCs w:val="24"/>
          <w:lang w:val="ro-RO"/>
        </w:rPr>
        <w:t>este prezentată</w:t>
      </w:r>
      <w:r w:rsidR="00B37D79" w:rsidRPr="00650D66">
        <w:rPr>
          <w:rFonts w:ascii="Times New Roman" w:hAnsi="Times New Roman" w:cs="Times New Roman"/>
          <w:i/>
          <w:sz w:val="24"/>
          <w:szCs w:val="24"/>
          <w:lang w:val="ro-RO"/>
        </w:rPr>
        <w:t xml:space="preserve"> în Anexa nr.1 la prezentul Raport de audit.</w:t>
      </w:r>
    </w:p>
    <w:p w14:paraId="403DC0D5" w14:textId="77777777" w:rsidR="007D2592" w:rsidRPr="00650D66" w:rsidRDefault="007D2592" w:rsidP="00926D09">
      <w:pPr>
        <w:spacing w:after="0" w:line="276" w:lineRule="auto"/>
        <w:jc w:val="both"/>
        <w:rPr>
          <w:rFonts w:ascii="Times New Roman" w:hAnsi="Times New Roman" w:cs="Times New Roman"/>
          <w:b/>
          <w:sz w:val="6"/>
          <w:szCs w:val="6"/>
          <w:lang w:val="ro-RO"/>
        </w:rPr>
      </w:pPr>
    </w:p>
    <w:p w14:paraId="1C1B82BF" w14:textId="77777777" w:rsidR="008704D9" w:rsidRPr="00650D66" w:rsidRDefault="007D2592" w:rsidP="00392CEC">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BNM dispune de Planul de conturi, aprobat</w:t>
      </w:r>
      <w:r w:rsidR="00962B56" w:rsidRPr="00650D66">
        <w:rPr>
          <w:rFonts w:ascii="Times New Roman" w:eastAsia="Times New Roman" w:hAnsi="Times New Roman" w:cs="Times New Roman"/>
          <w:sz w:val="24"/>
          <w:szCs w:val="24"/>
          <w:lang w:val="ro-RO"/>
        </w:rPr>
        <w:t xml:space="preserve"> în redacție nouă</w:t>
      </w:r>
      <w:r w:rsidRPr="00650D66">
        <w:rPr>
          <w:rFonts w:ascii="Times New Roman" w:eastAsia="Times New Roman" w:hAnsi="Times New Roman" w:cs="Times New Roman"/>
          <w:sz w:val="24"/>
          <w:szCs w:val="24"/>
          <w:lang w:val="ro-RO"/>
        </w:rPr>
        <w:t xml:space="preserve"> prin Hotărârea </w:t>
      </w:r>
      <w:r w:rsidR="008A0E3B" w:rsidRPr="00650D66">
        <w:rPr>
          <w:rFonts w:ascii="Times New Roman" w:eastAsia="Times New Roman" w:hAnsi="Times New Roman" w:cs="Times New Roman"/>
          <w:sz w:val="24"/>
          <w:szCs w:val="24"/>
          <w:lang w:val="ro-RO"/>
        </w:rPr>
        <w:t>Comitetului</w:t>
      </w:r>
      <w:r w:rsidRPr="00650D66">
        <w:rPr>
          <w:rFonts w:ascii="Times New Roman" w:eastAsia="Times New Roman" w:hAnsi="Times New Roman" w:cs="Times New Roman"/>
          <w:sz w:val="24"/>
          <w:szCs w:val="24"/>
          <w:lang w:val="ro-RO"/>
        </w:rPr>
        <w:t xml:space="preserve"> </w:t>
      </w:r>
      <w:r w:rsidR="00962B56" w:rsidRPr="00650D66">
        <w:rPr>
          <w:rFonts w:ascii="Times New Roman" w:eastAsia="Times New Roman" w:hAnsi="Times New Roman" w:cs="Times New Roman"/>
          <w:sz w:val="24"/>
          <w:szCs w:val="24"/>
          <w:lang w:val="ro-RO"/>
        </w:rPr>
        <w:t>executiv nr.362</w:t>
      </w:r>
      <w:r w:rsidRPr="00650D66">
        <w:rPr>
          <w:rFonts w:ascii="Times New Roman" w:eastAsia="Times New Roman" w:hAnsi="Times New Roman" w:cs="Times New Roman"/>
          <w:sz w:val="24"/>
          <w:szCs w:val="24"/>
          <w:lang w:val="ro-RO"/>
        </w:rPr>
        <w:t xml:space="preserve"> din </w:t>
      </w:r>
      <w:r w:rsidR="00962B56" w:rsidRPr="00650D66">
        <w:rPr>
          <w:rFonts w:ascii="Times New Roman" w:eastAsia="Times New Roman" w:hAnsi="Times New Roman" w:cs="Times New Roman"/>
          <w:sz w:val="24"/>
          <w:szCs w:val="24"/>
          <w:lang w:val="ro-RO"/>
        </w:rPr>
        <w:t>28.12.2017</w:t>
      </w:r>
      <w:r w:rsidRPr="00650D66">
        <w:rPr>
          <w:rFonts w:ascii="Times New Roman" w:eastAsia="Times New Roman" w:hAnsi="Times New Roman" w:cs="Times New Roman"/>
          <w:sz w:val="24"/>
          <w:szCs w:val="24"/>
          <w:lang w:val="ro-RO"/>
        </w:rPr>
        <w:t xml:space="preserve"> (cu modificările și completările ulterioare), care este elaborat potrivit Standardelor Internaționale de Raportare Financiară (</w:t>
      </w:r>
      <w:r w:rsidR="00AE7573" w:rsidRPr="00650D66">
        <w:rPr>
          <w:rFonts w:ascii="Times New Roman" w:eastAsia="Times New Roman" w:hAnsi="Times New Roman" w:cs="Times New Roman"/>
          <w:sz w:val="24"/>
          <w:szCs w:val="24"/>
          <w:lang w:val="ro-RO"/>
        </w:rPr>
        <w:t>IFRS</w:t>
      </w:r>
      <w:r w:rsidRPr="00650D66">
        <w:rPr>
          <w:rFonts w:ascii="Times New Roman" w:eastAsia="Times New Roman" w:hAnsi="Times New Roman" w:cs="Times New Roman"/>
          <w:sz w:val="24"/>
          <w:szCs w:val="24"/>
          <w:lang w:val="ro-RO"/>
        </w:rPr>
        <w:t>) și procedurilor contabile accep</w:t>
      </w:r>
      <w:r w:rsidR="005B185B" w:rsidRPr="00650D66">
        <w:rPr>
          <w:rFonts w:ascii="Times New Roman" w:eastAsia="Times New Roman" w:hAnsi="Times New Roman" w:cs="Times New Roman"/>
          <w:sz w:val="24"/>
          <w:szCs w:val="24"/>
          <w:lang w:val="ro-RO"/>
        </w:rPr>
        <w:t>tate în practica internațională</w:t>
      </w:r>
      <w:r w:rsidR="00063DEF" w:rsidRPr="00650D66">
        <w:rPr>
          <w:rFonts w:ascii="Times New Roman" w:eastAsia="Times New Roman" w:hAnsi="Times New Roman" w:cs="Times New Roman"/>
          <w:sz w:val="24"/>
          <w:szCs w:val="24"/>
          <w:lang w:val="ro-RO"/>
        </w:rPr>
        <w:t xml:space="preserve">. </w:t>
      </w:r>
      <w:r w:rsidR="00937D2D" w:rsidRPr="00650D66">
        <w:rPr>
          <w:rFonts w:ascii="Times New Roman" w:eastAsia="Times New Roman" w:hAnsi="Times New Roman" w:cs="Times New Roman"/>
          <w:sz w:val="24"/>
          <w:szCs w:val="24"/>
          <w:lang w:val="ro-RO"/>
        </w:rPr>
        <w:t>În condițiile prevederilor legale actuale</w:t>
      </w:r>
      <w:r w:rsidR="00E57447" w:rsidRPr="00650D66">
        <w:rPr>
          <w:rFonts w:ascii="Times New Roman" w:eastAsia="Times New Roman" w:hAnsi="Times New Roman" w:cs="Times New Roman"/>
          <w:sz w:val="24"/>
          <w:szCs w:val="24"/>
          <w:lang w:val="ro-RO"/>
        </w:rPr>
        <w:t>,</w:t>
      </w:r>
      <w:r w:rsidR="00937D2D" w:rsidRPr="00650D66">
        <w:rPr>
          <w:rFonts w:ascii="Times New Roman" w:eastAsia="Times New Roman" w:hAnsi="Times New Roman" w:cs="Times New Roman"/>
          <w:sz w:val="24"/>
          <w:szCs w:val="24"/>
          <w:lang w:val="ro-RO"/>
        </w:rPr>
        <w:t xml:space="preserve"> Curtea de Conturi auditează  clasa 9 </w:t>
      </w:r>
      <w:r w:rsidR="00D72F11" w:rsidRPr="00650D66">
        <w:rPr>
          <w:rFonts w:ascii="Times New Roman" w:eastAsia="Times New Roman" w:hAnsi="Times New Roman" w:cs="Times New Roman"/>
          <w:sz w:val="24"/>
          <w:szCs w:val="24"/>
          <w:lang w:val="ro-RO"/>
        </w:rPr>
        <w:t xml:space="preserve">,,Cheltuielile administrative” și </w:t>
      </w:r>
      <w:r w:rsidR="006C0237" w:rsidRPr="00650D66">
        <w:rPr>
          <w:rFonts w:ascii="Times New Roman" w:eastAsia="Times New Roman" w:hAnsi="Times New Roman" w:cs="Times New Roman"/>
          <w:sz w:val="24"/>
          <w:szCs w:val="24"/>
          <w:lang w:val="ro-RO"/>
        </w:rPr>
        <w:t xml:space="preserve">alocațiile pentru investiții la imobilizările corporale și necorporale înregistrate </w:t>
      </w:r>
      <w:r w:rsidR="00E334A2" w:rsidRPr="00650D66">
        <w:rPr>
          <w:rFonts w:ascii="Times New Roman" w:eastAsia="Times New Roman" w:hAnsi="Times New Roman" w:cs="Times New Roman"/>
          <w:sz w:val="24"/>
          <w:szCs w:val="24"/>
          <w:lang w:val="ro-RO"/>
        </w:rPr>
        <w:t>de către BNM.</w:t>
      </w:r>
    </w:p>
    <w:p w14:paraId="6673AB48" w14:textId="77777777" w:rsidR="00DF1289" w:rsidRPr="00650D66" w:rsidRDefault="00DF1289" w:rsidP="00392CEC">
      <w:pPr>
        <w:spacing w:after="0" w:line="276" w:lineRule="auto"/>
        <w:jc w:val="both"/>
        <w:rPr>
          <w:rFonts w:ascii="Times New Roman" w:eastAsia="Times New Roman" w:hAnsi="Times New Roman" w:cs="Times New Roman"/>
          <w:sz w:val="6"/>
          <w:szCs w:val="6"/>
          <w:lang w:val="ro-RO"/>
        </w:rPr>
      </w:pPr>
    </w:p>
    <w:p w14:paraId="631C3F00" w14:textId="01EA132C" w:rsidR="00884013" w:rsidRDefault="00B351A4" w:rsidP="00392CEC">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Totodată</w:t>
      </w:r>
      <w:r w:rsidR="007D2592" w:rsidRPr="00650D66">
        <w:rPr>
          <w:rFonts w:ascii="Times New Roman" w:eastAsia="Times New Roman" w:hAnsi="Times New Roman" w:cs="Times New Roman"/>
          <w:sz w:val="24"/>
          <w:szCs w:val="24"/>
          <w:lang w:val="ro-RO"/>
        </w:rPr>
        <w:t xml:space="preserve">, prin Hotărârile </w:t>
      </w:r>
      <w:r w:rsidR="0002042B" w:rsidRPr="00650D66">
        <w:rPr>
          <w:rFonts w:ascii="Times New Roman" w:eastAsia="Times New Roman" w:hAnsi="Times New Roman" w:cs="Times New Roman"/>
          <w:sz w:val="24"/>
          <w:szCs w:val="24"/>
          <w:lang w:val="ro-RO"/>
        </w:rPr>
        <w:t>Comitetului executiv al</w:t>
      </w:r>
      <w:r w:rsidR="00A870E5" w:rsidRPr="00650D66">
        <w:rPr>
          <w:rFonts w:ascii="Times New Roman" w:eastAsia="Times New Roman" w:hAnsi="Times New Roman" w:cs="Times New Roman"/>
          <w:sz w:val="24"/>
          <w:szCs w:val="24"/>
          <w:lang w:val="ro-RO"/>
        </w:rPr>
        <w:t xml:space="preserve"> BNM anual se aprobă Politicile</w:t>
      </w:r>
      <w:r w:rsidR="007D2592" w:rsidRPr="00650D66">
        <w:rPr>
          <w:rFonts w:ascii="Times New Roman" w:eastAsia="Times New Roman" w:hAnsi="Times New Roman" w:cs="Times New Roman"/>
          <w:sz w:val="24"/>
          <w:szCs w:val="24"/>
          <w:lang w:val="ro-RO"/>
        </w:rPr>
        <w:t xml:space="preserve"> </w:t>
      </w:r>
      <w:r w:rsidR="002B4B50" w:rsidRPr="00650D66">
        <w:rPr>
          <w:rFonts w:ascii="Times New Roman" w:eastAsia="Times New Roman" w:hAnsi="Times New Roman" w:cs="Times New Roman"/>
          <w:sz w:val="24"/>
          <w:szCs w:val="24"/>
          <w:lang w:val="ro-RO"/>
        </w:rPr>
        <w:t>contabile</w:t>
      </w:r>
      <w:r w:rsidR="007D2592" w:rsidRPr="00650D66">
        <w:rPr>
          <w:rFonts w:ascii="Times New Roman" w:eastAsia="Times New Roman" w:hAnsi="Times New Roman" w:cs="Times New Roman"/>
          <w:sz w:val="24"/>
          <w:szCs w:val="24"/>
          <w:lang w:val="ro-RO"/>
        </w:rPr>
        <w:t xml:space="preserve">, care </w:t>
      </w:r>
      <w:r w:rsidR="00865351" w:rsidRPr="00650D66">
        <w:rPr>
          <w:rFonts w:ascii="Times New Roman" w:eastAsia="Times New Roman" w:hAnsi="Times New Roman" w:cs="Times New Roman"/>
          <w:sz w:val="24"/>
          <w:szCs w:val="24"/>
          <w:lang w:val="ro-RO"/>
        </w:rPr>
        <w:t xml:space="preserve">constituie instrumentul principal de realizare a prevederilor </w:t>
      </w:r>
      <w:r w:rsidR="00A870E5" w:rsidRPr="00650D66">
        <w:rPr>
          <w:rFonts w:ascii="Times New Roman" w:eastAsia="Times New Roman" w:hAnsi="Times New Roman" w:cs="Times New Roman"/>
          <w:sz w:val="24"/>
          <w:szCs w:val="24"/>
          <w:lang w:val="ro-RO"/>
        </w:rPr>
        <w:t>IFRS</w:t>
      </w:r>
      <w:r w:rsidR="00865351" w:rsidRPr="00650D66">
        <w:rPr>
          <w:rFonts w:ascii="Times New Roman" w:eastAsia="Times New Roman" w:hAnsi="Times New Roman" w:cs="Times New Roman"/>
          <w:sz w:val="24"/>
          <w:szCs w:val="24"/>
          <w:lang w:val="ro-RO"/>
        </w:rPr>
        <w:t>, având ca scop stabilirea principiilor fundamentale de contabilitate, metodelor și regulilor specifice care stau la baza întocmirii și prezentării situațiilor financiare ale BNM.</w:t>
      </w:r>
      <w:r w:rsidR="00392C59" w:rsidRPr="00650D66">
        <w:rPr>
          <w:rFonts w:ascii="Times New Roman" w:eastAsia="Times New Roman" w:hAnsi="Times New Roman" w:cs="Times New Roman"/>
          <w:sz w:val="24"/>
          <w:szCs w:val="24"/>
          <w:lang w:val="ro-RO"/>
        </w:rPr>
        <w:t xml:space="preserve"> Politicile contabile ale BNM s</w:t>
      </w:r>
      <w:r w:rsidR="000B0E5C">
        <w:rPr>
          <w:rFonts w:ascii="Times New Roman" w:eastAsia="Times New Roman" w:hAnsi="Times New Roman" w:cs="Times New Roman"/>
          <w:sz w:val="24"/>
          <w:szCs w:val="24"/>
          <w:lang w:val="ro-RO"/>
        </w:rPr>
        <w:t>u</w:t>
      </w:r>
      <w:r w:rsidR="00392C59" w:rsidRPr="00650D66">
        <w:rPr>
          <w:rFonts w:ascii="Times New Roman" w:eastAsia="Times New Roman" w:hAnsi="Times New Roman" w:cs="Times New Roman"/>
          <w:sz w:val="24"/>
          <w:szCs w:val="24"/>
          <w:lang w:val="ro-RO"/>
        </w:rPr>
        <w:t xml:space="preserve">nt elaborate în conformitate cu prevederile </w:t>
      </w:r>
      <w:r w:rsidR="005C2D00" w:rsidRPr="00650D66">
        <w:rPr>
          <w:rFonts w:ascii="Times New Roman" w:eastAsia="Times New Roman" w:hAnsi="Times New Roman" w:cs="Times New Roman"/>
          <w:sz w:val="24"/>
          <w:szCs w:val="24"/>
          <w:lang w:val="ro-RO"/>
        </w:rPr>
        <w:t>IFRS</w:t>
      </w:r>
      <w:r w:rsidR="00392C59" w:rsidRPr="00650D66">
        <w:rPr>
          <w:rFonts w:ascii="Times New Roman" w:eastAsia="Times New Roman" w:hAnsi="Times New Roman" w:cs="Times New Roman"/>
          <w:sz w:val="24"/>
          <w:szCs w:val="24"/>
          <w:lang w:val="ro-RO"/>
        </w:rPr>
        <w:t>, Legii contabilității și raportării financiare nr.287 din 15.12.2017 și Leg</w:t>
      </w:r>
      <w:r w:rsidR="00973711">
        <w:rPr>
          <w:rFonts w:ascii="Times New Roman" w:eastAsia="Times New Roman" w:hAnsi="Times New Roman" w:cs="Times New Roman"/>
          <w:sz w:val="24"/>
          <w:szCs w:val="24"/>
          <w:lang w:val="ro-RO"/>
        </w:rPr>
        <w:t>ii cu privire la BNM nr.548</w:t>
      </w:r>
      <w:r w:rsidR="00392C59" w:rsidRPr="00650D66">
        <w:rPr>
          <w:rFonts w:ascii="Times New Roman" w:eastAsia="Times New Roman" w:hAnsi="Times New Roman" w:cs="Times New Roman"/>
          <w:sz w:val="24"/>
          <w:szCs w:val="24"/>
          <w:lang w:val="ro-RO"/>
        </w:rPr>
        <w:t xml:space="preserve"> din 21.07.1995.</w:t>
      </w:r>
    </w:p>
    <w:p w14:paraId="0BEE311D" w14:textId="77777777" w:rsidR="00C97999" w:rsidRPr="00650D66" w:rsidRDefault="00C97999" w:rsidP="00392CEC">
      <w:pPr>
        <w:spacing w:after="0" w:line="276" w:lineRule="auto"/>
        <w:jc w:val="both"/>
        <w:rPr>
          <w:rFonts w:ascii="Times New Roman" w:eastAsia="Times New Roman" w:hAnsi="Times New Roman" w:cs="Times New Roman"/>
          <w:sz w:val="24"/>
          <w:szCs w:val="24"/>
          <w:lang w:val="ro-RO"/>
        </w:rPr>
      </w:pPr>
    </w:p>
    <w:p w14:paraId="4DA9D650" w14:textId="61FF77C4" w:rsidR="00C30317" w:rsidRPr="00650D66" w:rsidRDefault="00EC2821" w:rsidP="00C312FC">
      <w:pPr>
        <w:pStyle w:val="Heading2"/>
        <w:spacing w:before="0"/>
        <w:jc w:val="both"/>
        <w:rPr>
          <w:rFonts w:ascii="Times New Roman" w:hAnsi="Times New Roman" w:cs="Times New Roman"/>
          <w:b/>
          <w:color w:val="000000" w:themeColor="text1"/>
          <w:sz w:val="24"/>
          <w:szCs w:val="24"/>
          <w:lang w:val="ro-RO"/>
        </w:rPr>
      </w:pPr>
      <w:bookmarkStart w:id="6" w:name="_Toc159413633"/>
      <w:r w:rsidRPr="00650D66">
        <w:rPr>
          <w:rFonts w:ascii="Times New Roman" w:hAnsi="Times New Roman" w:cs="Times New Roman"/>
          <w:b/>
          <w:color w:val="000000" w:themeColor="text1"/>
          <w:sz w:val="24"/>
          <w:szCs w:val="24"/>
          <w:lang w:val="ro-RO"/>
        </w:rPr>
        <w:t xml:space="preserve">2.3 </w:t>
      </w:r>
      <w:r w:rsidR="000740F2" w:rsidRPr="00650D66">
        <w:rPr>
          <w:rFonts w:ascii="Times New Roman" w:hAnsi="Times New Roman" w:cs="Times New Roman"/>
          <w:b/>
          <w:color w:val="000000" w:themeColor="text1"/>
          <w:sz w:val="24"/>
          <w:szCs w:val="24"/>
          <w:lang w:val="ro-RO"/>
        </w:rPr>
        <w:t xml:space="preserve">Analiza </w:t>
      </w:r>
      <w:r w:rsidRPr="00650D66">
        <w:rPr>
          <w:rFonts w:ascii="Times New Roman" w:hAnsi="Times New Roman" w:cs="Times New Roman"/>
          <w:b/>
          <w:color w:val="000000" w:themeColor="text1"/>
          <w:sz w:val="24"/>
          <w:szCs w:val="24"/>
          <w:lang w:val="ro-RO"/>
        </w:rPr>
        <w:t>devizelor de cheltuieli și alocațiilor pentru investiții</w:t>
      </w:r>
      <w:r w:rsidR="000740F2" w:rsidRPr="00650D66">
        <w:rPr>
          <w:rFonts w:ascii="Times New Roman" w:hAnsi="Times New Roman" w:cs="Times New Roman"/>
          <w:b/>
          <w:color w:val="000000" w:themeColor="text1"/>
          <w:sz w:val="24"/>
          <w:szCs w:val="24"/>
          <w:lang w:val="ro-RO"/>
        </w:rPr>
        <w:t xml:space="preserve"> aprobate</w:t>
      </w:r>
      <w:r w:rsidRPr="00650D66">
        <w:rPr>
          <w:rFonts w:ascii="Times New Roman" w:hAnsi="Times New Roman" w:cs="Times New Roman"/>
          <w:b/>
          <w:color w:val="000000" w:themeColor="text1"/>
          <w:sz w:val="24"/>
          <w:szCs w:val="24"/>
          <w:lang w:val="ro-RO"/>
        </w:rPr>
        <w:t xml:space="preserve"> </w:t>
      </w:r>
      <w:r w:rsidR="00AC088F" w:rsidRPr="00650D66">
        <w:rPr>
          <w:rFonts w:ascii="Times New Roman" w:hAnsi="Times New Roman" w:cs="Times New Roman"/>
          <w:b/>
          <w:color w:val="000000" w:themeColor="text1"/>
          <w:sz w:val="24"/>
          <w:szCs w:val="24"/>
          <w:lang w:val="ro-RO"/>
        </w:rPr>
        <w:t xml:space="preserve">și executate </w:t>
      </w:r>
      <w:r w:rsidR="000740F2" w:rsidRPr="00650D66">
        <w:rPr>
          <w:rFonts w:ascii="Times New Roman" w:hAnsi="Times New Roman" w:cs="Times New Roman"/>
          <w:b/>
          <w:color w:val="000000" w:themeColor="text1"/>
          <w:sz w:val="24"/>
          <w:szCs w:val="24"/>
          <w:lang w:val="ro-RO"/>
        </w:rPr>
        <w:t>de către BNM pentru anii</w:t>
      </w:r>
      <w:r w:rsidR="009546A8" w:rsidRPr="00650D66">
        <w:rPr>
          <w:rFonts w:ascii="Times New Roman" w:hAnsi="Times New Roman" w:cs="Times New Roman"/>
          <w:b/>
          <w:color w:val="000000" w:themeColor="text1"/>
          <w:sz w:val="24"/>
          <w:szCs w:val="24"/>
          <w:lang w:val="ro-RO"/>
        </w:rPr>
        <w:t xml:space="preserve"> 2019</w:t>
      </w:r>
      <w:r w:rsidR="000B0E5C">
        <w:rPr>
          <w:rFonts w:ascii="Times New Roman" w:hAnsi="Times New Roman" w:cs="Times New Roman"/>
          <w:b/>
          <w:color w:val="000000" w:themeColor="text1"/>
          <w:sz w:val="24"/>
          <w:szCs w:val="24"/>
          <w:lang w:val="ro-RO"/>
        </w:rPr>
        <w:t>-</w:t>
      </w:r>
      <w:r w:rsidR="009546A8" w:rsidRPr="00650D66">
        <w:rPr>
          <w:rFonts w:ascii="Times New Roman" w:hAnsi="Times New Roman" w:cs="Times New Roman"/>
          <w:b/>
          <w:color w:val="000000" w:themeColor="text1"/>
          <w:sz w:val="24"/>
          <w:szCs w:val="24"/>
          <w:lang w:val="ro-RO"/>
        </w:rPr>
        <w:t>2022</w:t>
      </w:r>
      <w:bookmarkEnd w:id="6"/>
    </w:p>
    <w:p w14:paraId="078FA9CF" w14:textId="1479F210" w:rsidR="00B110C7" w:rsidRPr="00650D66" w:rsidRDefault="00992290" w:rsidP="00BB734E">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BNM a elaborat și </w:t>
      </w:r>
      <w:r w:rsidR="001126DC" w:rsidRPr="00650D66">
        <w:rPr>
          <w:rFonts w:ascii="Times New Roman" w:hAnsi="Times New Roman" w:cs="Times New Roman"/>
          <w:sz w:val="24"/>
          <w:szCs w:val="24"/>
          <w:lang w:val="ro-RO"/>
        </w:rPr>
        <w:t xml:space="preserve">a </w:t>
      </w:r>
      <w:r w:rsidRPr="00650D66">
        <w:rPr>
          <w:rFonts w:ascii="Times New Roman" w:hAnsi="Times New Roman" w:cs="Times New Roman"/>
          <w:sz w:val="24"/>
          <w:szCs w:val="24"/>
          <w:lang w:val="ro-RO"/>
        </w:rPr>
        <w:t xml:space="preserve">aprobat </w:t>
      </w:r>
      <w:r w:rsidR="001126DC" w:rsidRPr="00650D66">
        <w:rPr>
          <w:rFonts w:ascii="Times New Roman" w:hAnsi="Times New Roman" w:cs="Times New Roman"/>
          <w:sz w:val="24"/>
          <w:szCs w:val="24"/>
          <w:lang w:val="ro-RO"/>
        </w:rPr>
        <w:t>devizele de cheltuieli pentru anii 2019</w:t>
      </w:r>
      <w:r w:rsidR="000B0E5C">
        <w:rPr>
          <w:rFonts w:ascii="Times New Roman" w:hAnsi="Times New Roman" w:cs="Times New Roman"/>
          <w:sz w:val="24"/>
          <w:szCs w:val="24"/>
          <w:lang w:val="ro-RO"/>
        </w:rPr>
        <w:t>-</w:t>
      </w:r>
      <w:r w:rsidR="001126DC" w:rsidRPr="00650D66">
        <w:rPr>
          <w:rFonts w:ascii="Times New Roman" w:hAnsi="Times New Roman" w:cs="Times New Roman"/>
          <w:sz w:val="24"/>
          <w:szCs w:val="24"/>
          <w:lang w:val="ro-RO"/>
        </w:rPr>
        <w:t xml:space="preserve">2022 </w:t>
      </w:r>
      <w:r w:rsidR="000B0E5C">
        <w:rPr>
          <w:rFonts w:ascii="Times New Roman" w:hAnsi="Times New Roman" w:cs="Times New Roman"/>
          <w:sz w:val="24"/>
          <w:szCs w:val="24"/>
          <w:lang w:val="ro-RO"/>
        </w:rPr>
        <w:t>cu o</w:t>
      </w:r>
      <w:r w:rsidR="002947D0" w:rsidRPr="00650D66">
        <w:rPr>
          <w:rFonts w:ascii="Times New Roman" w:hAnsi="Times New Roman" w:cs="Times New Roman"/>
          <w:sz w:val="24"/>
          <w:szCs w:val="24"/>
          <w:lang w:val="ro-RO"/>
        </w:rPr>
        <w:t xml:space="preserve"> tendință de creștere de la 245,1 mil. lei în anul 2019 până</w:t>
      </w:r>
      <w:r w:rsidR="00F54D02" w:rsidRPr="00650D66">
        <w:rPr>
          <w:rFonts w:ascii="Times New Roman" w:hAnsi="Times New Roman" w:cs="Times New Roman"/>
          <w:sz w:val="24"/>
          <w:szCs w:val="24"/>
          <w:lang w:val="ro-RO"/>
        </w:rPr>
        <w:t xml:space="preserve"> la 361,8 mil. lei în anul 2022</w:t>
      </w:r>
      <w:r w:rsidR="002947D0" w:rsidRPr="00650D66">
        <w:rPr>
          <w:rFonts w:ascii="Times New Roman" w:hAnsi="Times New Roman" w:cs="Times New Roman"/>
          <w:sz w:val="24"/>
          <w:szCs w:val="24"/>
          <w:lang w:val="ro-RO"/>
        </w:rPr>
        <w:t>.</w:t>
      </w:r>
      <w:r w:rsidR="00222AF4" w:rsidRPr="00650D66">
        <w:rPr>
          <w:rFonts w:ascii="Times New Roman" w:hAnsi="Times New Roman" w:cs="Times New Roman"/>
          <w:sz w:val="24"/>
          <w:szCs w:val="24"/>
          <w:lang w:val="ro-RO"/>
        </w:rPr>
        <w:t xml:space="preserve"> Potrivit motivației BNM, factorii care au dus la majorarea sumelor aprobate </w:t>
      </w:r>
      <w:r w:rsidR="00B13C4B" w:rsidRPr="00650D66">
        <w:rPr>
          <w:rFonts w:ascii="Times New Roman" w:hAnsi="Times New Roman" w:cs="Times New Roman"/>
          <w:sz w:val="24"/>
          <w:szCs w:val="24"/>
          <w:lang w:val="ro-RO"/>
        </w:rPr>
        <w:t>s</w:t>
      </w:r>
      <w:r w:rsidR="000B0E5C">
        <w:rPr>
          <w:rFonts w:ascii="Times New Roman" w:hAnsi="Times New Roman" w:cs="Times New Roman"/>
          <w:sz w:val="24"/>
          <w:szCs w:val="24"/>
          <w:lang w:val="ro-RO"/>
        </w:rPr>
        <w:t>u</w:t>
      </w:r>
      <w:r w:rsidR="00B13C4B" w:rsidRPr="00650D66">
        <w:rPr>
          <w:rFonts w:ascii="Times New Roman" w:hAnsi="Times New Roman" w:cs="Times New Roman"/>
          <w:sz w:val="24"/>
          <w:szCs w:val="24"/>
          <w:lang w:val="ro-RO"/>
        </w:rPr>
        <w:t>nt</w:t>
      </w:r>
      <w:r w:rsidR="00222AF4" w:rsidRPr="00650D66">
        <w:rPr>
          <w:rFonts w:ascii="Times New Roman" w:hAnsi="Times New Roman" w:cs="Times New Roman"/>
          <w:sz w:val="24"/>
          <w:szCs w:val="24"/>
          <w:lang w:val="ro-RO"/>
        </w:rPr>
        <w:t>: evoluția ratei inflației din RM și alte state prestatoare de servicii</w:t>
      </w:r>
      <w:r w:rsidR="00B13C4B" w:rsidRPr="00650D66">
        <w:rPr>
          <w:rFonts w:ascii="Times New Roman" w:hAnsi="Times New Roman" w:cs="Times New Roman"/>
          <w:sz w:val="24"/>
          <w:szCs w:val="24"/>
          <w:lang w:val="ro-RO"/>
        </w:rPr>
        <w:t>,</w:t>
      </w:r>
      <w:r w:rsidR="00222AF4" w:rsidRPr="00650D66">
        <w:rPr>
          <w:rFonts w:ascii="Times New Roman" w:hAnsi="Times New Roman" w:cs="Times New Roman"/>
          <w:sz w:val="24"/>
          <w:szCs w:val="24"/>
          <w:lang w:val="ro-RO"/>
        </w:rPr>
        <w:t xml:space="preserve"> a cursului valutar, revizuirea strategiilor de dezvoltare pe anumite direcții, modificări ale actelor normative interne/externe etc.</w:t>
      </w:r>
    </w:p>
    <w:p w14:paraId="2D722F82" w14:textId="77777777" w:rsidR="00222AF4" w:rsidRPr="00650D66" w:rsidRDefault="00222AF4" w:rsidP="00BB734E">
      <w:pPr>
        <w:spacing w:after="0" w:line="276" w:lineRule="auto"/>
        <w:jc w:val="both"/>
        <w:rPr>
          <w:rFonts w:ascii="Times New Roman" w:hAnsi="Times New Roman" w:cs="Times New Roman"/>
          <w:i/>
          <w:sz w:val="6"/>
          <w:szCs w:val="6"/>
          <w:lang w:val="ro-RO"/>
        </w:rPr>
      </w:pPr>
    </w:p>
    <w:p w14:paraId="109568BE" w14:textId="6C368830" w:rsidR="00EA7D01" w:rsidRDefault="00F67D40" w:rsidP="00C541CF">
      <w:pPr>
        <w:spacing w:after="0" w:line="276" w:lineRule="auto"/>
        <w:jc w:val="both"/>
        <w:rPr>
          <w:rFonts w:ascii="Times New Roman" w:hAnsi="Times New Roman" w:cs="Times New Roman"/>
          <w:i/>
          <w:sz w:val="24"/>
          <w:szCs w:val="24"/>
          <w:lang w:val="ro-RO"/>
        </w:rPr>
      </w:pPr>
      <w:r w:rsidRPr="00650D66">
        <w:rPr>
          <w:rFonts w:ascii="Times New Roman" w:hAnsi="Times New Roman" w:cs="Times New Roman"/>
          <w:sz w:val="24"/>
          <w:szCs w:val="24"/>
          <w:lang w:val="ro-RO"/>
        </w:rPr>
        <w:t>Imaginea de ansamblu privind n</w:t>
      </w:r>
      <w:r w:rsidR="002947D0" w:rsidRPr="00650D66">
        <w:rPr>
          <w:rFonts w:ascii="Times New Roman" w:hAnsi="Times New Roman" w:cs="Times New Roman"/>
          <w:sz w:val="24"/>
          <w:szCs w:val="24"/>
          <w:lang w:val="ro-RO"/>
        </w:rPr>
        <w:t>ivelul de executare a cheltu</w:t>
      </w:r>
      <w:r w:rsidR="001F751B" w:rsidRPr="00650D66">
        <w:rPr>
          <w:rFonts w:ascii="Times New Roman" w:hAnsi="Times New Roman" w:cs="Times New Roman"/>
          <w:sz w:val="24"/>
          <w:szCs w:val="24"/>
          <w:lang w:val="ro-RO"/>
        </w:rPr>
        <w:t>ielilor față de cele aprobate</w:t>
      </w:r>
      <w:r w:rsidR="00FA10E0" w:rsidRPr="00650D66">
        <w:rPr>
          <w:rFonts w:ascii="Times New Roman" w:hAnsi="Times New Roman" w:cs="Times New Roman"/>
          <w:sz w:val="24"/>
          <w:szCs w:val="24"/>
          <w:lang w:val="ro-RO"/>
        </w:rPr>
        <w:t xml:space="preserve"> ș</w:t>
      </w:r>
      <w:r w:rsidR="008760D1" w:rsidRPr="00650D66">
        <w:rPr>
          <w:rFonts w:ascii="Times New Roman" w:hAnsi="Times New Roman" w:cs="Times New Roman"/>
          <w:sz w:val="24"/>
          <w:szCs w:val="24"/>
          <w:lang w:val="ro-RO"/>
        </w:rPr>
        <w:t>i rectificate ulterior</w:t>
      </w:r>
      <w:r w:rsidR="001F751B" w:rsidRPr="00650D66">
        <w:rPr>
          <w:rFonts w:ascii="Times New Roman" w:hAnsi="Times New Roman" w:cs="Times New Roman"/>
          <w:sz w:val="24"/>
          <w:szCs w:val="24"/>
          <w:lang w:val="ro-RO"/>
        </w:rPr>
        <w:t xml:space="preserve"> a</w:t>
      </w:r>
      <w:r w:rsidR="002947D0" w:rsidRPr="00650D66">
        <w:rPr>
          <w:rFonts w:ascii="Times New Roman" w:hAnsi="Times New Roman" w:cs="Times New Roman"/>
          <w:sz w:val="24"/>
          <w:szCs w:val="24"/>
          <w:lang w:val="ro-RO"/>
        </w:rPr>
        <w:t xml:space="preserve"> deviat </w:t>
      </w:r>
      <w:r w:rsidR="00352D33" w:rsidRPr="00650D66">
        <w:rPr>
          <w:rFonts w:ascii="Times New Roman" w:hAnsi="Times New Roman" w:cs="Times New Roman"/>
          <w:sz w:val="24"/>
          <w:szCs w:val="24"/>
          <w:lang w:val="ro-RO"/>
        </w:rPr>
        <w:t>anual</w:t>
      </w:r>
      <w:r w:rsidR="00B359AB" w:rsidRPr="00650D66">
        <w:rPr>
          <w:rFonts w:ascii="Times New Roman" w:hAnsi="Times New Roman" w:cs="Times New Roman"/>
          <w:sz w:val="24"/>
          <w:szCs w:val="24"/>
          <w:lang w:val="ro-RO"/>
        </w:rPr>
        <w:t>,</w:t>
      </w:r>
      <w:r w:rsidR="00352D33" w:rsidRPr="00650D66">
        <w:rPr>
          <w:rFonts w:ascii="Times New Roman" w:hAnsi="Times New Roman" w:cs="Times New Roman"/>
          <w:sz w:val="24"/>
          <w:szCs w:val="24"/>
          <w:lang w:val="ro-RO"/>
        </w:rPr>
        <w:t xml:space="preserve"> </w:t>
      </w:r>
      <w:r w:rsidR="00992CC9" w:rsidRPr="00650D66">
        <w:rPr>
          <w:rFonts w:ascii="Times New Roman" w:hAnsi="Times New Roman" w:cs="Times New Roman"/>
          <w:sz w:val="24"/>
          <w:szCs w:val="24"/>
          <w:lang w:val="ro-RO"/>
        </w:rPr>
        <w:t>înregistrând</w:t>
      </w:r>
      <w:r w:rsidR="002947D0" w:rsidRPr="00650D66">
        <w:rPr>
          <w:rFonts w:ascii="Times New Roman" w:hAnsi="Times New Roman" w:cs="Times New Roman"/>
          <w:sz w:val="24"/>
          <w:szCs w:val="24"/>
          <w:lang w:val="ro-RO"/>
        </w:rPr>
        <w:t xml:space="preserve"> 81,1%</w:t>
      </w:r>
      <w:r w:rsidR="00E63E76" w:rsidRPr="00650D66">
        <w:rPr>
          <w:rFonts w:ascii="Times New Roman" w:hAnsi="Times New Roman" w:cs="Times New Roman"/>
          <w:sz w:val="24"/>
          <w:szCs w:val="24"/>
          <w:lang w:val="ro-RO"/>
        </w:rPr>
        <w:t xml:space="preserve"> în anul 2022</w:t>
      </w:r>
      <w:r w:rsidR="008760D1" w:rsidRPr="00650D66">
        <w:rPr>
          <w:rFonts w:ascii="Times New Roman" w:hAnsi="Times New Roman" w:cs="Times New Roman"/>
          <w:sz w:val="24"/>
          <w:szCs w:val="24"/>
          <w:lang w:val="ro-RO"/>
        </w:rPr>
        <w:t>, 80,5</w:t>
      </w:r>
      <w:r w:rsidR="00992CC9" w:rsidRPr="00650D66">
        <w:rPr>
          <w:rFonts w:ascii="Times New Roman" w:hAnsi="Times New Roman" w:cs="Times New Roman"/>
          <w:sz w:val="24"/>
          <w:szCs w:val="24"/>
          <w:lang w:val="ro-RO"/>
        </w:rPr>
        <w:t xml:space="preserve">% în anul 2021, </w:t>
      </w:r>
      <w:r w:rsidR="008760D1" w:rsidRPr="00650D66">
        <w:rPr>
          <w:rFonts w:ascii="Times New Roman" w:hAnsi="Times New Roman" w:cs="Times New Roman"/>
          <w:sz w:val="24"/>
          <w:szCs w:val="24"/>
          <w:lang w:val="ro-RO"/>
        </w:rPr>
        <w:t>82,7</w:t>
      </w:r>
      <w:r w:rsidR="00992CC9" w:rsidRPr="00650D66">
        <w:rPr>
          <w:rFonts w:ascii="Times New Roman" w:hAnsi="Times New Roman" w:cs="Times New Roman"/>
          <w:sz w:val="24"/>
          <w:szCs w:val="24"/>
          <w:lang w:val="ro-RO"/>
        </w:rPr>
        <w:t>% în anul 2020</w:t>
      </w:r>
      <w:r w:rsidR="002947D0" w:rsidRPr="00650D66">
        <w:rPr>
          <w:rFonts w:ascii="Times New Roman" w:hAnsi="Times New Roman" w:cs="Times New Roman"/>
          <w:sz w:val="24"/>
          <w:szCs w:val="24"/>
          <w:lang w:val="ro-RO"/>
        </w:rPr>
        <w:t xml:space="preserve"> </w:t>
      </w:r>
      <w:r w:rsidR="00992CC9" w:rsidRPr="00650D66">
        <w:rPr>
          <w:rFonts w:ascii="Times New Roman" w:hAnsi="Times New Roman" w:cs="Times New Roman"/>
          <w:sz w:val="24"/>
          <w:szCs w:val="24"/>
          <w:lang w:val="ro-RO"/>
        </w:rPr>
        <w:t>și</w:t>
      </w:r>
      <w:r w:rsidR="002947D0" w:rsidRPr="00650D66">
        <w:rPr>
          <w:rFonts w:ascii="Times New Roman" w:hAnsi="Times New Roman" w:cs="Times New Roman"/>
          <w:sz w:val="24"/>
          <w:szCs w:val="24"/>
          <w:lang w:val="ro-RO"/>
        </w:rPr>
        <w:t xml:space="preserve"> 89,5%</w:t>
      </w:r>
      <w:r w:rsidR="00E63E76" w:rsidRPr="00650D66">
        <w:rPr>
          <w:rFonts w:ascii="Times New Roman" w:hAnsi="Times New Roman" w:cs="Times New Roman"/>
          <w:sz w:val="24"/>
          <w:szCs w:val="24"/>
          <w:lang w:val="ro-RO"/>
        </w:rPr>
        <w:t xml:space="preserve"> în anul 2019</w:t>
      </w:r>
      <w:r w:rsidR="002947D0" w:rsidRPr="00650D66">
        <w:rPr>
          <w:rFonts w:ascii="Times New Roman" w:hAnsi="Times New Roman" w:cs="Times New Roman"/>
          <w:sz w:val="24"/>
          <w:szCs w:val="24"/>
          <w:lang w:val="ro-RO"/>
        </w:rPr>
        <w:t xml:space="preserve">. </w:t>
      </w:r>
      <w:r w:rsidR="0078242E" w:rsidRPr="00650D66">
        <w:rPr>
          <w:rFonts w:ascii="Times New Roman" w:hAnsi="Times New Roman" w:cs="Times New Roman"/>
          <w:sz w:val="24"/>
          <w:szCs w:val="24"/>
          <w:lang w:val="ro-RO"/>
        </w:rPr>
        <w:t xml:space="preserve">Nivelul de executare a </w:t>
      </w:r>
      <w:r w:rsidR="0091364C" w:rsidRPr="00650D66">
        <w:rPr>
          <w:rFonts w:ascii="Times New Roman" w:hAnsi="Times New Roman" w:cs="Times New Roman"/>
          <w:sz w:val="24"/>
          <w:szCs w:val="24"/>
          <w:lang w:val="ro-RO"/>
        </w:rPr>
        <w:t>cheltuielilor</w:t>
      </w:r>
      <w:r w:rsidR="006C41D4" w:rsidRPr="00650D66">
        <w:rPr>
          <w:rFonts w:ascii="Times New Roman" w:hAnsi="Times New Roman" w:cs="Times New Roman"/>
          <w:sz w:val="24"/>
          <w:szCs w:val="24"/>
          <w:lang w:val="ro-RO"/>
        </w:rPr>
        <w:t xml:space="preserve"> executate</w:t>
      </w:r>
      <w:r w:rsidR="00533BE3">
        <w:rPr>
          <w:rFonts w:ascii="Times New Roman" w:hAnsi="Times New Roman" w:cs="Times New Roman"/>
          <w:sz w:val="24"/>
          <w:szCs w:val="24"/>
          <w:lang w:val="ro-RO"/>
        </w:rPr>
        <w:t>,</w:t>
      </w:r>
      <w:r w:rsidR="0091364C" w:rsidRPr="00650D66">
        <w:rPr>
          <w:rFonts w:ascii="Times New Roman" w:hAnsi="Times New Roman" w:cs="Times New Roman"/>
          <w:sz w:val="24"/>
          <w:szCs w:val="24"/>
          <w:lang w:val="ro-RO"/>
        </w:rPr>
        <w:t xml:space="preserve"> comparativ celor prognozate</w:t>
      </w:r>
      <w:r w:rsidR="00533BE3">
        <w:rPr>
          <w:rFonts w:ascii="Times New Roman" w:hAnsi="Times New Roman" w:cs="Times New Roman"/>
          <w:sz w:val="24"/>
          <w:szCs w:val="24"/>
          <w:lang w:val="ro-RO"/>
        </w:rPr>
        <w:t>,</w:t>
      </w:r>
      <w:r w:rsidR="0091364C" w:rsidRPr="00650D66">
        <w:rPr>
          <w:rFonts w:ascii="Times New Roman" w:hAnsi="Times New Roman" w:cs="Times New Roman"/>
          <w:sz w:val="24"/>
          <w:szCs w:val="24"/>
          <w:lang w:val="ro-RO"/>
        </w:rPr>
        <w:t xml:space="preserve"> se explică </w:t>
      </w:r>
      <w:r w:rsidR="00533BE3">
        <w:rPr>
          <w:rFonts w:ascii="Times New Roman" w:hAnsi="Times New Roman" w:cs="Times New Roman"/>
          <w:sz w:val="24"/>
          <w:szCs w:val="24"/>
          <w:lang w:val="ro-RO"/>
        </w:rPr>
        <w:t>prin</w:t>
      </w:r>
      <w:r w:rsidR="0091364C" w:rsidRPr="00650D66">
        <w:rPr>
          <w:rFonts w:ascii="Times New Roman" w:hAnsi="Times New Roman" w:cs="Times New Roman"/>
          <w:sz w:val="24"/>
          <w:szCs w:val="24"/>
          <w:lang w:val="ro-RO"/>
        </w:rPr>
        <w:t xml:space="preserve"> situația generată de pandemia COVID-19</w:t>
      </w:r>
      <w:r w:rsidR="000B0E5C">
        <w:rPr>
          <w:rFonts w:ascii="Times New Roman" w:hAnsi="Times New Roman" w:cs="Times New Roman"/>
          <w:sz w:val="24"/>
          <w:szCs w:val="24"/>
          <w:lang w:val="ro-RO"/>
        </w:rPr>
        <w:t>,</w:t>
      </w:r>
      <w:r w:rsidR="0091364C" w:rsidRPr="00650D66">
        <w:rPr>
          <w:rFonts w:ascii="Times New Roman" w:hAnsi="Times New Roman" w:cs="Times New Roman"/>
          <w:sz w:val="24"/>
          <w:szCs w:val="24"/>
          <w:lang w:val="ro-RO"/>
        </w:rPr>
        <w:t xml:space="preserve"> dar și prin: </w:t>
      </w:r>
      <w:r w:rsidR="0091364C" w:rsidRPr="00650D66">
        <w:rPr>
          <w:rFonts w:ascii="Times New Roman" w:hAnsi="Times New Roman" w:cs="Times New Roman"/>
          <w:i/>
          <w:sz w:val="24"/>
          <w:szCs w:val="24"/>
          <w:lang w:val="ro-RO"/>
        </w:rPr>
        <w:t>(i)</w:t>
      </w:r>
      <w:r w:rsidR="0091364C" w:rsidRPr="00650D66">
        <w:rPr>
          <w:rFonts w:ascii="Times New Roman" w:hAnsi="Times New Roman" w:cs="Times New Roman"/>
          <w:sz w:val="24"/>
          <w:szCs w:val="24"/>
          <w:lang w:val="ro-RO"/>
        </w:rPr>
        <w:t xml:space="preserve"> anularea unor proceduri de achiziții, </w:t>
      </w:r>
      <w:r w:rsidR="0091364C" w:rsidRPr="00650D66">
        <w:rPr>
          <w:rFonts w:ascii="Times New Roman" w:hAnsi="Times New Roman" w:cs="Times New Roman"/>
          <w:i/>
          <w:sz w:val="24"/>
          <w:szCs w:val="24"/>
          <w:lang w:val="ro-RO"/>
        </w:rPr>
        <w:t>(ii)</w:t>
      </w:r>
      <w:r w:rsidR="0091364C" w:rsidRPr="00650D66">
        <w:rPr>
          <w:rFonts w:ascii="Times New Roman" w:hAnsi="Times New Roman" w:cs="Times New Roman"/>
          <w:sz w:val="24"/>
          <w:szCs w:val="24"/>
          <w:lang w:val="ro-RO"/>
        </w:rPr>
        <w:t xml:space="preserve"> lipsa necesității unor servicii planificate, </w:t>
      </w:r>
      <w:r w:rsidR="0091364C" w:rsidRPr="00650D66">
        <w:rPr>
          <w:rFonts w:ascii="Times New Roman" w:hAnsi="Times New Roman" w:cs="Times New Roman"/>
          <w:i/>
          <w:sz w:val="24"/>
          <w:szCs w:val="24"/>
          <w:lang w:val="ro-RO"/>
        </w:rPr>
        <w:t xml:space="preserve">(iii) </w:t>
      </w:r>
      <w:r w:rsidR="0091364C" w:rsidRPr="00650D66">
        <w:rPr>
          <w:rFonts w:ascii="Times New Roman" w:hAnsi="Times New Roman" w:cs="Times New Roman"/>
          <w:sz w:val="24"/>
          <w:szCs w:val="24"/>
          <w:lang w:val="ro-RO"/>
        </w:rPr>
        <w:t xml:space="preserve">servicii contractate la sfârșitul anului etc. </w:t>
      </w:r>
      <w:r w:rsidR="002947D0" w:rsidRPr="00650D66">
        <w:rPr>
          <w:rFonts w:ascii="Times New Roman" w:hAnsi="Times New Roman" w:cs="Times New Roman"/>
          <w:i/>
          <w:sz w:val="24"/>
          <w:szCs w:val="24"/>
          <w:lang w:val="ro-RO"/>
        </w:rPr>
        <w:t>Sinteza executării devizelor de cheltuieli în perioada 2019-2022 se prezintă în Tabelul nr.1.</w:t>
      </w:r>
    </w:p>
    <w:p w14:paraId="1EE687BA" w14:textId="5FAB603A" w:rsidR="00590002" w:rsidRPr="00650D66" w:rsidRDefault="00590002" w:rsidP="00C541CF">
      <w:pPr>
        <w:spacing w:after="0" w:line="276" w:lineRule="auto"/>
        <w:jc w:val="both"/>
        <w:rPr>
          <w:rFonts w:ascii="Times New Roman" w:hAnsi="Times New Roman" w:cs="Times New Roman"/>
          <w:sz w:val="24"/>
          <w:szCs w:val="24"/>
          <w:lang w:val="ro-RO"/>
        </w:rPr>
      </w:pPr>
    </w:p>
    <w:p w14:paraId="68AD9985" w14:textId="5D87A31D" w:rsidR="00590002" w:rsidRDefault="00C87730" w:rsidP="00BA59BE">
      <w:pPr>
        <w:spacing w:after="0" w:line="240" w:lineRule="auto"/>
        <w:jc w:val="right"/>
        <w:rPr>
          <w:rFonts w:ascii="Times New Roman" w:hAnsi="Times New Roman" w:cs="Times New Roman"/>
          <w:i/>
          <w:sz w:val="24"/>
          <w:szCs w:val="24"/>
          <w:lang w:val="ro-RO"/>
        </w:rPr>
      </w:pPr>
      <w:r w:rsidRPr="00650D66">
        <w:rPr>
          <w:rFonts w:ascii="Times New Roman" w:hAnsi="Times New Roman" w:cs="Times New Roman"/>
          <w:i/>
          <w:sz w:val="24"/>
          <w:szCs w:val="24"/>
          <w:lang w:val="ro-RO"/>
        </w:rPr>
        <w:lastRenderedPageBreak/>
        <w:t>Tabelul nr.1</w:t>
      </w:r>
    </w:p>
    <w:p w14:paraId="378986BF" w14:textId="77777777" w:rsidR="003E0B34" w:rsidRPr="00650D66" w:rsidRDefault="003E0B34" w:rsidP="00BA59BE">
      <w:pPr>
        <w:spacing w:after="0" w:line="240" w:lineRule="auto"/>
        <w:jc w:val="right"/>
        <w:rPr>
          <w:rFonts w:ascii="Times New Roman" w:hAnsi="Times New Roman" w:cs="Times New Roman"/>
          <w:i/>
          <w:sz w:val="24"/>
          <w:szCs w:val="24"/>
          <w:lang w:val="ro-RO"/>
        </w:rPr>
      </w:pPr>
    </w:p>
    <w:p w14:paraId="65FC77A6" w14:textId="585851DF" w:rsidR="00590002" w:rsidRDefault="00C87730" w:rsidP="00BA59BE">
      <w:pPr>
        <w:spacing w:after="0" w:line="240" w:lineRule="auto"/>
        <w:jc w:val="center"/>
        <w:rPr>
          <w:rFonts w:ascii="Times New Roman" w:hAnsi="Times New Roman" w:cs="Times New Roman"/>
          <w:b/>
          <w:sz w:val="24"/>
          <w:szCs w:val="24"/>
          <w:lang w:val="ro-RO"/>
        </w:rPr>
      </w:pPr>
      <w:r w:rsidRPr="00650D66">
        <w:rPr>
          <w:rFonts w:ascii="Times New Roman" w:hAnsi="Times New Roman" w:cs="Times New Roman"/>
          <w:b/>
          <w:sz w:val="24"/>
          <w:szCs w:val="24"/>
          <w:lang w:val="ro-RO"/>
        </w:rPr>
        <w:t>Sinteza executării devi</w:t>
      </w:r>
      <w:r w:rsidR="00732A0E" w:rsidRPr="00650D66">
        <w:rPr>
          <w:rFonts w:ascii="Times New Roman" w:hAnsi="Times New Roman" w:cs="Times New Roman"/>
          <w:b/>
          <w:sz w:val="24"/>
          <w:szCs w:val="24"/>
          <w:lang w:val="ro-RO"/>
        </w:rPr>
        <w:t>zelor de cheltuieli în perioada</w:t>
      </w:r>
      <w:r w:rsidR="00E23747" w:rsidRPr="00650D66">
        <w:rPr>
          <w:rFonts w:ascii="Times New Roman" w:hAnsi="Times New Roman" w:cs="Times New Roman"/>
          <w:b/>
          <w:sz w:val="24"/>
          <w:szCs w:val="24"/>
          <w:lang w:val="ro-RO"/>
        </w:rPr>
        <w:t xml:space="preserve"> </w:t>
      </w:r>
      <w:r w:rsidRPr="00650D66">
        <w:rPr>
          <w:rFonts w:ascii="Times New Roman" w:hAnsi="Times New Roman" w:cs="Times New Roman"/>
          <w:b/>
          <w:sz w:val="24"/>
          <w:szCs w:val="24"/>
          <w:lang w:val="ro-RO"/>
        </w:rPr>
        <w:t>2019-2022</w:t>
      </w:r>
    </w:p>
    <w:p w14:paraId="12175DC3" w14:textId="12085DA0" w:rsidR="001E4137" w:rsidRPr="00650D66" w:rsidRDefault="00C87730" w:rsidP="00C87730">
      <w:pPr>
        <w:spacing w:after="0" w:line="240" w:lineRule="auto"/>
        <w:jc w:val="right"/>
        <w:rPr>
          <w:rFonts w:ascii="Times New Roman" w:hAnsi="Times New Roman" w:cs="Times New Roman"/>
          <w:b/>
          <w:sz w:val="24"/>
          <w:szCs w:val="24"/>
          <w:lang w:val="ro-RO"/>
        </w:rPr>
      </w:pPr>
      <w:r w:rsidRPr="00650D66">
        <w:rPr>
          <w:rFonts w:ascii="Times New Roman" w:hAnsi="Times New Roman" w:cs="Times New Roman"/>
          <w:b/>
          <w:sz w:val="24"/>
          <w:szCs w:val="24"/>
          <w:lang w:val="ro-RO"/>
        </w:rPr>
        <w:t>(mil. lei)</w:t>
      </w:r>
    </w:p>
    <w:tbl>
      <w:tblPr>
        <w:tblStyle w:val="GridTable1Light"/>
        <w:tblW w:w="10348" w:type="dxa"/>
        <w:tblInd w:w="-714" w:type="dxa"/>
        <w:tblLook w:val="04A0" w:firstRow="1" w:lastRow="0" w:firstColumn="1" w:lastColumn="0" w:noHBand="0" w:noVBand="1"/>
      </w:tblPr>
      <w:tblGrid>
        <w:gridCol w:w="1980"/>
        <w:gridCol w:w="939"/>
        <w:gridCol w:w="972"/>
        <w:gridCol w:w="939"/>
        <w:gridCol w:w="972"/>
        <w:gridCol w:w="939"/>
        <w:gridCol w:w="972"/>
        <w:gridCol w:w="939"/>
        <w:gridCol w:w="972"/>
        <w:gridCol w:w="972"/>
      </w:tblGrid>
      <w:tr w:rsidR="009B6A83" w:rsidRPr="00650D66" w14:paraId="203E5A17" w14:textId="77777777" w:rsidTr="00615DF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0" w:type="dxa"/>
            <w:vMerge w:val="restart"/>
            <w:noWrap/>
            <w:vAlign w:val="center"/>
            <w:hideMark/>
          </w:tcPr>
          <w:p w14:paraId="2574ADE7" w14:textId="77777777" w:rsidR="009B6A83" w:rsidRPr="00650D66" w:rsidRDefault="009B6A83" w:rsidP="008B4CAB">
            <w:pPr>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Denumirea articolului</w:t>
            </w:r>
          </w:p>
        </w:tc>
        <w:tc>
          <w:tcPr>
            <w:tcW w:w="1911" w:type="dxa"/>
            <w:gridSpan w:val="2"/>
            <w:noWrap/>
            <w:hideMark/>
          </w:tcPr>
          <w:p w14:paraId="084039E8" w14:textId="77777777" w:rsidR="009B6A83" w:rsidRPr="00650D66" w:rsidRDefault="009B6A83" w:rsidP="008B4C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Anul 2019</w:t>
            </w:r>
          </w:p>
        </w:tc>
        <w:tc>
          <w:tcPr>
            <w:tcW w:w="1911" w:type="dxa"/>
            <w:gridSpan w:val="2"/>
            <w:noWrap/>
            <w:hideMark/>
          </w:tcPr>
          <w:p w14:paraId="22FA3B98" w14:textId="77777777" w:rsidR="009B6A83" w:rsidRPr="00650D66" w:rsidRDefault="009B6A83" w:rsidP="008B4C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Anul 2020</w:t>
            </w:r>
          </w:p>
        </w:tc>
        <w:tc>
          <w:tcPr>
            <w:tcW w:w="1911" w:type="dxa"/>
            <w:gridSpan w:val="2"/>
            <w:noWrap/>
            <w:hideMark/>
          </w:tcPr>
          <w:p w14:paraId="74CD068A" w14:textId="77777777" w:rsidR="009B6A83" w:rsidRPr="00650D66" w:rsidRDefault="009B6A83" w:rsidP="008B4C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Anul 2021</w:t>
            </w:r>
          </w:p>
        </w:tc>
        <w:tc>
          <w:tcPr>
            <w:tcW w:w="1911" w:type="dxa"/>
            <w:gridSpan w:val="2"/>
            <w:noWrap/>
            <w:hideMark/>
          </w:tcPr>
          <w:p w14:paraId="7880D18B" w14:textId="77777777" w:rsidR="009B6A83" w:rsidRPr="00650D66" w:rsidRDefault="009B6A83" w:rsidP="008B4C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Anul 2022</w:t>
            </w:r>
          </w:p>
        </w:tc>
        <w:tc>
          <w:tcPr>
            <w:tcW w:w="724" w:type="dxa"/>
          </w:tcPr>
          <w:p w14:paraId="00F3B39E" w14:textId="77777777" w:rsidR="009B6A83" w:rsidRPr="00650D66" w:rsidRDefault="009B6A83" w:rsidP="008B4C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Pr>
                <w:rFonts w:ascii="Times New Roman" w:eastAsia="Times New Roman" w:hAnsi="Times New Roman" w:cs="Times New Roman"/>
                <w:color w:val="000000"/>
                <w:sz w:val="20"/>
                <w:szCs w:val="20"/>
                <w:lang w:val="ro-RO"/>
              </w:rPr>
              <w:t>Total</w:t>
            </w:r>
          </w:p>
        </w:tc>
      </w:tr>
      <w:tr w:rsidR="009B6A83" w:rsidRPr="00650D66" w14:paraId="78FA48DC" w14:textId="77777777" w:rsidTr="00615DF5">
        <w:trPr>
          <w:trHeight w:val="288"/>
        </w:trPr>
        <w:tc>
          <w:tcPr>
            <w:cnfStyle w:val="001000000000" w:firstRow="0" w:lastRow="0" w:firstColumn="1" w:lastColumn="0" w:oddVBand="0" w:evenVBand="0" w:oddHBand="0" w:evenHBand="0" w:firstRowFirstColumn="0" w:firstRowLastColumn="0" w:lastRowFirstColumn="0" w:lastRowLastColumn="0"/>
            <w:tcW w:w="1980" w:type="dxa"/>
            <w:vMerge/>
            <w:hideMark/>
          </w:tcPr>
          <w:p w14:paraId="1312E5D9" w14:textId="77777777" w:rsidR="009B6A83" w:rsidRPr="00650D66" w:rsidRDefault="009B6A83" w:rsidP="008B4CAB">
            <w:pPr>
              <w:rPr>
                <w:rFonts w:ascii="Times New Roman" w:eastAsia="Times New Roman" w:hAnsi="Times New Roman" w:cs="Times New Roman"/>
                <w:color w:val="000000"/>
                <w:sz w:val="20"/>
                <w:szCs w:val="20"/>
                <w:lang w:val="ro-RO"/>
              </w:rPr>
            </w:pPr>
          </w:p>
        </w:tc>
        <w:tc>
          <w:tcPr>
            <w:tcW w:w="939" w:type="dxa"/>
            <w:noWrap/>
            <w:hideMark/>
          </w:tcPr>
          <w:p w14:paraId="57086B5E"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Aprobat </w:t>
            </w:r>
          </w:p>
        </w:tc>
        <w:tc>
          <w:tcPr>
            <w:tcW w:w="972" w:type="dxa"/>
            <w:noWrap/>
            <w:hideMark/>
          </w:tcPr>
          <w:p w14:paraId="790BD9D0"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Executat</w:t>
            </w:r>
          </w:p>
        </w:tc>
        <w:tc>
          <w:tcPr>
            <w:tcW w:w="939" w:type="dxa"/>
            <w:noWrap/>
            <w:hideMark/>
          </w:tcPr>
          <w:p w14:paraId="56AFEEDB"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Aprobat </w:t>
            </w:r>
          </w:p>
        </w:tc>
        <w:tc>
          <w:tcPr>
            <w:tcW w:w="972" w:type="dxa"/>
            <w:noWrap/>
            <w:hideMark/>
          </w:tcPr>
          <w:p w14:paraId="366B2FC9"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Executat</w:t>
            </w:r>
          </w:p>
        </w:tc>
        <w:tc>
          <w:tcPr>
            <w:tcW w:w="939" w:type="dxa"/>
            <w:noWrap/>
            <w:hideMark/>
          </w:tcPr>
          <w:p w14:paraId="4914FEE5"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Aprobat </w:t>
            </w:r>
          </w:p>
        </w:tc>
        <w:tc>
          <w:tcPr>
            <w:tcW w:w="972" w:type="dxa"/>
            <w:noWrap/>
            <w:hideMark/>
          </w:tcPr>
          <w:p w14:paraId="45837EF8"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Executat</w:t>
            </w:r>
          </w:p>
        </w:tc>
        <w:tc>
          <w:tcPr>
            <w:tcW w:w="939" w:type="dxa"/>
            <w:noWrap/>
            <w:hideMark/>
          </w:tcPr>
          <w:p w14:paraId="60AAB986"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Aprobat </w:t>
            </w:r>
          </w:p>
        </w:tc>
        <w:tc>
          <w:tcPr>
            <w:tcW w:w="972" w:type="dxa"/>
            <w:noWrap/>
            <w:hideMark/>
          </w:tcPr>
          <w:p w14:paraId="109C23D2"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Executat</w:t>
            </w:r>
          </w:p>
        </w:tc>
        <w:tc>
          <w:tcPr>
            <w:tcW w:w="724" w:type="dxa"/>
          </w:tcPr>
          <w:p w14:paraId="5116F678" w14:textId="77777777" w:rsidR="009B6A83" w:rsidRPr="00650D66" w:rsidRDefault="009B6A83" w:rsidP="008B4CA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Executat</w:t>
            </w:r>
          </w:p>
        </w:tc>
      </w:tr>
      <w:tr w:rsidR="009B6A83" w:rsidRPr="00650D66" w14:paraId="2555F87E" w14:textId="77777777" w:rsidTr="00973711">
        <w:trPr>
          <w:trHeight w:val="466"/>
        </w:trPr>
        <w:tc>
          <w:tcPr>
            <w:cnfStyle w:val="001000000000" w:firstRow="0" w:lastRow="0" w:firstColumn="1" w:lastColumn="0" w:oddVBand="0" w:evenVBand="0" w:oddHBand="0" w:evenHBand="0" w:firstRowFirstColumn="0" w:firstRowLastColumn="0" w:lastRowFirstColumn="0" w:lastRowLastColumn="0"/>
            <w:tcW w:w="1980" w:type="dxa"/>
            <w:hideMark/>
          </w:tcPr>
          <w:p w14:paraId="34CA1603" w14:textId="77777777" w:rsidR="009B6A83" w:rsidRPr="00650D66" w:rsidRDefault="009B6A83" w:rsidP="008B4CAB">
            <w:pPr>
              <w:rPr>
                <w:rFonts w:ascii="Times New Roman" w:eastAsia="Times New Roman" w:hAnsi="Times New Roman" w:cs="Times New Roman"/>
                <w:b w:val="0"/>
                <w:color w:val="000000"/>
                <w:sz w:val="20"/>
                <w:szCs w:val="20"/>
                <w:lang w:val="ro-RO"/>
              </w:rPr>
            </w:pPr>
            <w:r w:rsidRPr="00650D66">
              <w:rPr>
                <w:rFonts w:ascii="Times New Roman" w:eastAsia="Times New Roman" w:hAnsi="Times New Roman" w:cs="Times New Roman"/>
                <w:b w:val="0"/>
                <w:color w:val="000000"/>
                <w:sz w:val="20"/>
                <w:szCs w:val="20"/>
                <w:lang w:val="ro-RO"/>
              </w:rPr>
              <w:t>Cheltuieli privind serviciile acordate BNM</w:t>
            </w:r>
          </w:p>
        </w:tc>
        <w:tc>
          <w:tcPr>
            <w:tcW w:w="939" w:type="dxa"/>
            <w:noWrap/>
            <w:vAlign w:val="center"/>
            <w:hideMark/>
          </w:tcPr>
          <w:p w14:paraId="47BB2EC1"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3,80</w:t>
            </w:r>
          </w:p>
        </w:tc>
        <w:tc>
          <w:tcPr>
            <w:tcW w:w="972" w:type="dxa"/>
            <w:noWrap/>
            <w:vAlign w:val="center"/>
            <w:hideMark/>
          </w:tcPr>
          <w:p w14:paraId="72FD8EC2"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1,06</w:t>
            </w:r>
          </w:p>
        </w:tc>
        <w:tc>
          <w:tcPr>
            <w:tcW w:w="939" w:type="dxa"/>
            <w:noWrap/>
            <w:vAlign w:val="center"/>
            <w:hideMark/>
          </w:tcPr>
          <w:p w14:paraId="045A90DB"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4,92</w:t>
            </w:r>
          </w:p>
        </w:tc>
        <w:tc>
          <w:tcPr>
            <w:tcW w:w="972" w:type="dxa"/>
            <w:noWrap/>
            <w:vAlign w:val="center"/>
            <w:hideMark/>
          </w:tcPr>
          <w:p w14:paraId="2173D616"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1,34</w:t>
            </w:r>
          </w:p>
        </w:tc>
        <w:tc>
          <w:tcPr>
            <w:tcW w:w="939" w:type="dxa"/>
            <w:noWrap/>
            <w:vAlign w:val="center"/>
            <w:hideMark/>
          </w:tcPr>
          <w:p w14:paraId="73E8CA21"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9,58</w:t>
            </w:r>
          </w:p>
        </w:tc>
        <w:tc>
          <w:tcPr>
            <w:tcW w:w="972" w:type="dxa"/>
            <w:noWrap/>
            <w:vAlign w:val="center"/>
            <w:hideMark/>
          </w:tcPr>
          <w:p w14:paraId="449F4069"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1,28</w:t>
            </w:r>
          </w:p>
        </w:tc>
        <w:tc>
          <w:tcPr>
            <w:tcW w:w="939" w:type="dxa"/>
            <w:noWrap/>
            <w:vAlign w:val="center"/>
            <w:hideMark/>
          </w:tcPr>
          <w:p w14:paraId="2C76CFB1"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10,54</w:t>
            </w:r>
          </w:p>
        </w:tc>
        <w:tc>
          <w:tcPr>
            <w:tcW w:w="972" w:type="dxa"/>
            <w:noWrap/>
            <w:vAlign w:val="center"/>
            <w:hideMark/>
          </w:tcPr>
          <w:p w14:paraId="650A8115"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4,14</w:t>
            </w:r>
          </w:p>
        </w:tc>
        <w:tc>
          <w:tcPr>
            <w:tcW w:w="724" w:type="dxa"/>
            <w:vAlign w:val="center"/>
          </w:tcPr>
          <w:p w14:paraId="5F06DCEA" w14:textId="77777777" w:rsidR="009B6A83" w:rsidRPr="00D528C1" w:rsidRDefault="00615DF5"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D528C1">
              <w:rPr>
                <w:rFonts w:ascii="Times New Roman" w:eastAsia="Times New Roman" w:hAnsi="Times New Roman" w:cs="Times New Roman"/>
                <w:color w:val="000000"/>
                <w:sz w:val="20"/>
                <w:szCs w:val="20"/>
                <w:lang w:val="ro-RO"/>
              </w:rPr>
              <w:t>7,82</w:t>
            </w:r>
          </w:p>
        </w:tc>
      </w:tr>
      <w:tr w:rsidR="009B6A83" w:rsidRPr="00650D66" w14:paraId="259BEB43" w14:textId="77777777" w:rsidTr="00973711">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E2ABA6F" w14:textId="77777777" w:rsidR="009B6A83" w:rsidRPr="00650D66" w:rsidRDefault="009B6A83" w:rsidP="008B4CAB">
            <w:pPr>
              <w:rPr>
                <w:rFonts w:ascii="Times New Roman" w:eastAsia="Times New Roman" w:hAnsi="Times New Roman" w:cs="Times New Roman"/>
                <w:b w:val="0"/>
                <w:color w:val="000000"/>
                <w:sz w:val="20"/>
                <w:szCs w:val="20"/>
                <w:lang w:val="ro-RO"/>
              </w:rPr>
            </w:pPr>
            <w:r w:rsidRPr="00650D66">
              <w:rPr>
                <w:rFonts w:ascii="Times New Roman" w:eastAsia="Times New Roman" w:hAnsi="Times New Roman" w:cs="Times New Roman"/>
                <w:b w:val="0"/>
                <w:color w:val="000000"/>
                <w:sz w:val="20"/>
                <w:szCs w:val="20"/>
                <w:lang w:val="ro-RO"/>
              </w:rPr>
              <w:t>Cheltuieli cu personalul</w:t>
            </w:r>
          </w:p>
        </w:tc>
        <w:tc>
          <w:tcPr>
            <w:tcW w:w="939" w:type="dxa"/>
            <w:noWrap/>
            <w:vAlign w:val="center"/>
            <w:hideMark/>
          </w:tcPr>
          <w:p w14:paraId="783F2B28"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132,51</w:t>
            </w:r>
          </w:p>
        </w:tc>
        <w:tc>
          <w:tcPr>
            <w:tcW w:w="972" w:type="dxa"/>
            <w:noWrap/>
            <w:vAlign w:val="center"/>
            <w:hideMark/>
          </w:tcPr>
          <w:p w14:paraId="2A67A108"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129,85</w:t>
            </w:r>
          </w:p>
        </w:tc>
        <w:tc>
          <w:tcPr>
            <w:tcW w:w="939" w:type="dxa"/>
            <w:noWrap/>
            <w:vAlign w:val="center"/>
            <w:hideMark/>
          </w:tcPr>
          <w:p w14:paraId="6499815A"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134,63</w:t>
            </w:r>
          </w:p>
        </w:tc>
        <w:tc>
          <w:tcPr>
            <w:tcW w:w="972" w:type="dxa"/>
            <w:noWrap/>
            <w:vAlign w:val="center"/>
            <w:hideMark/>
          </w:tcPr>
          <w:p w14:paraId="7004448A"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121,88</w:t>
            </w:r>
          </w:p>
        </w:tc>
        <w:tc>
          <w:tcPr>
            <w:tcW w:w="939" w:type="dxa"/>
            <w:noWrap/>
            <w:vAlign w:val="center"/>
            <w:hideMark/>
          </w:tcPr>
          <w:p w14:paraId="6EC66315"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142,28</w:t>
            </w:r>
          </w:p>
        </w:tc>
        <w:tc>
          <w:tcPr>
            <w:tcW w:w="972" w:type="dxa"/>
            <w:noWrap/>
            <w:vAlign w:val="center"/>
            <w:hideMark/>
          </w:tcPr>
          <w:p w14:paraId="4BD40DB2"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127,75</w:t>
            </w:r>
          </w:p>
        </w:tc>
        <w:tc>
          <w:tcPr>
            <w:tcW w:w="939" w:type="dxa"/>
            <w:noWrap/>
            <w:vAlign w:val="center"/>
            <w:hideMark/>
          </w:tcPr>
          <w:p w14:paraId="211E4340"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203,88</w:t>
            </w:r>
          </w:p>
        </w:tc>
        <w:tc>
          <w:tcPr>
            <w:tcW w:w="972" w:type="dxa"/>
            <w:noWrap/>
            <w:vAlign w:val="center"/>
            <w:hideMark/>
          </w:tcPr>
          <w:p w14:paraId="2106C312"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173,56</w:t>
            </w:r>
          </w:p>
        </w:tc>
        <w:tc>
          <w:tcPr>
            <w:tcW w:w="724" w:type="dxa"/>
            <w:vAlign w:val="center"/>
          </w:tcPr>
          <w:p w14:paraId="1B7654B2" w14:textId="77777777" w:rsidR="009B6A83" w:rsidRPr="00D528C1" w:rsidRDefault="00615DF5"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D528C1">
              <w:rPr>
                <w:rFonts w:ascii="Times New Roman" w:eastAsia="Times New Roman" w:hAnsi="Times New Roman" w:cs="Times New Roman"/>
                <w:color w:val="000000"/>
                <w:sz w:val="20"/>
                <w:szCs w:val="20"/>
                <w:lang w:val="ro-RO"/>
              </w:rPr>
              <w:t>553,04</w:t>
            </w:r>
          </w:p>
        </w:tc>
      </w:tr>
      <w:tr w:rsidR="009B6A83" w:rsidRPr="00650D66" w14:paraId="7A566899" w14:textId="77777777" w:rsidTr="00973711">
        <w:trPr>
          <w:trHeight w:val="552"/>
        </w:trPr>
        <w:tc>
          <w:tcPr>
            <w:cnfStyle w:val="001000000000" w:firstRow="0" w:lastRow="0" w:firstColumn="1" w:lastColumn="0" w:oddVBand="0" w:evenVBand="0" w:oddHBand="0" w:evenHBand="0" w:firstRowFirstColumn="0" w:firstRowLastColumn="0" w:lastRowFirstColumn="0" w:lastRowLastColumn="0"/>
            <w:tcW w:w="1980" w:type="dxa"/>
            <w:hideMark/>
          </w:tcPr>
          <w:p w14:paraId="699D1E76" w14:textId="77777777" w:rsidR="009B6A83" w:rsidRPr="00650D66" w:rsidRDefault="009B6A83" w:rsidP="008B4CAB">
            <w:pPr>
              <w:rPr>
                <w:rFonts w:ascii="Times New Roman" w:eastAsia="Times New Roman" w:hAnsi="Times New Roman" w:cs="Times New Roman"/>
                <w:b w:val="0"/>
                <w:color w:val="000000"/>
                <w:sz w:val="20"/>
                <w:szCs w:val="20"/>
                <w:lang w:val="ro-RO"/>
              </w:rPr>
            </w:pPr>
            <w:r w:rsidRPr="00650D66">
              <w:rPr>
                <w:rFonts w:ascii="Times New Roman" w:eastAsia="Times New Roman" w:hAnsi="Times New Roman" w:cs="Times New Roman"/>
                <w:b w:val="0"/>
                <w:color w:val="000000"/>
                <w:sz w:val="20"/>
                <w:szCs w:val="20"/>
                <w:lang w:val="ro-RO"/>
              </w:rPr>
              <w:t>Cheltuieli privind asigurările obligatorii și facultative</w:t>
            </w:r>
          </w:p>
        </w:tc>
        <w:tc>
          <w:tcPr>
            <w:tcW w:w="939" w:type="dxa"/>
            <w:noWrap/>
            <w:vAlign w:val="center"/>
            <w:hideMark/>
          </w:tcPr>
          <w:p w14:paraId="4BA68CC1"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34,90</w:t>
            </w:r>
          </w:p>
        </w:tc>
        <w:tc>
          <w:tcPr>
            <w:tcW w:w="972" w:type="dxa"/>
            <w:noWrap/>
            <w:vAlign w:val="center"/>
            <w:hideMark/>
          </w:tcPr>
          <w:p w14:paraId="4F729391"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34,29</w:t>
            </w:r>
          </w:p>
        </w:tc>
        <w:tc>
          <w:tcPr>
            <w:tcW w:w="939" w:type="dxa"/>
            <w:noWrap/>
            <w:vAlign w:val="center"/>
            <w:hideMark/>
          </w:tcPr>
          <w:p w14:paraId="7993F824"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35,20</w:t>
            </w:r>
          </w:p>
        </w:tc>
        <w:tc>
          <w:tcPr>
            <w:tcW w:w="972" w:type="dxa"/>
            <w:noWrap/>
            <w:vAlign w:val="center"/>
            <w:hideMark/>
          </w:tcPr>
          <w:p w14:paraId="3CA36E72"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33,43</w:t>
            </w:r>
          </w:p>
        </w:tc>
        <w:tc>
          <w:tcPr>
            <w:tcW w:w="939" w:type="dxa"/>
            <w:noWrap/>
            <w:vAlign w:val="center"/>
            <w:hideMark/>
          </w:tcPr>
          <w:p w14:paraId="64D0DE82"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39,81</w:t>
            </w:r>
          </w:p>
        </w:tc>
        <w:tc>
          <w:tcPr>
            <w:tcW w:w="972" w:type="dxa"/>
            <w:noWrap/>
            <w:vAlign w:val="center"/>
            <w:hideMark/>
          </w:tcPr>
          <w:p w14:paraId="3BF50BED"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36,84</w:t>
            </w:r>
          </w:p>
        </w:tc>
        <w:tc>
          <w:tcPr>
            <w:tcW w:w="939" w:type="dxa"/>
            <w:noWrap/>
            <w:vAlign w:val="center"/>
            <w:hideMark/>
          </w:tcPr>
          <w:p w14:paraId="42D74FC0"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57,34</w:t>
            </w:r>
          </w:p>
        </w:tc>
        <w:tc>
          <w:tcPr>
            <w:tcW w:w="972" w:type="dxa"/>
            <w:noWrap/>
            <w:vAlign w:val="center"/>
            <w:hideMark/>
          </w:tcPr>
          <w:p w14:paraId="591B4B9F"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49,63</w:t>
            </w:r>
          </w:p>
        </w:tc>
        <w:tc>
          <w:tcPr>
            <w:tcW w:w="724" w:type="dxa"/>
            <w:vAlign w:val="center"/>
          </w:tcPr>
          <w:p w14:paraId="0730E88F" w14:textId="77777777" w:rsidR="009B6A83" w:rsidRPr="00D528C1" w:rsidRDefault="00615DF5"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D528C1">
              <w:rPr>
                <w:rFonts w:ascii="Times New Roman" w:eastAsia="Times New Roman" w:hAnsi="Times New Roman" w:cs="Times New Roman"/>
                <w:color w:val="000000"/>
                <w:sz w:val="20"/>
                <w:szCs w:val="20"/>
                <w:lang w:val="ro-RO"/>
              </w:rPr>
              <w:t>154,19</w:t>
            </w:r>
          </w:p>
        </w:tc>
      </w:tr>
      <w:tr w:rsidR="009B6A83" w:rsidRPr="00650D66" w14:paraId="1354E518" w14:textId="77777777" w:rsidTr="00973711">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FF7ADB1" w14:textId="77777777" w:rsidR="009B6A83" w:rsidRPr="00650D66" w:rsidRDefault="009B6A83" w:rsidP="008B4CAB">
            <w:pPr>
              <w:rPr>
                <w:rFonts w:ascii="Times New Roman" w:eastAsia="Times New Roman" w:hAnsi="Times New Roman" w:cs="Times New Roman"/>
                <w:b w:val="0"/>
                <w:color w:val="000000"/>
                <w:sz w:val="20"/>
                <w:szCs w:val="20"/>
                <w:lang w:val="ro-RO"/>
              </w:rPr>
            </w:pPr>
            <w:r w:rsidRPr="00650D66">
              <w:rPr>
                <w:rFonts w:ascii="Times New Roman" w:eastAsia="Times New Roman" w:hAnsi="Times New Roman" w:cs="Times New Roman"/>
                <w:b w:val="0"/>
                <w:color w:val="000000"/>
                <w:sz w:val="20"/>
                <w:szCs w:val="20"/>
                <w:lang w:val="ro-RO"/>
              </w:rPr>
              <w:t>Cheltuieli generale</w:t>
            </w:r>
          </w:p>
        </w:tc>
        <w:tc>
          <w:tcPr>
            <w:tcW w:w="939" w:type="dxa"/>
            <w:noWrap/>
            <w:vAlign w:val="center"/>
            <w:hideMark/>
          </w:tcPr>
          <w:p w14:paraId="3BCF3FBC"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20,28</w:t>
            </w:r>
          </w:p>
        </w:tc>
        <w:tc>
          <w:tcPr>
            <w:tcW w:w="972" w:type="dxa"/>
            <w:noWrap/>
            <w:vAlign w:val="center"/>
            <w:hideMark/>
          </w:tcPr>
          <w:p w14:paraId="18CCE05F"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14,97</w:t>
            </w:r>
          </w:p>
        </w:tc>
        <w:tc>
          <w:tcPr>
            <w:tcW w:w="939" w:type="dxa"/>
            <w:noWrap/>
            <w:vAlign w:val="center"/>
            <w:hideMark/>
          </w:tcPr>
          <w:p w14:paraId="06C86486"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22,79</w:t>
            </w:r>
          </w:p>
        </w:tc>
        <w:tc>
          <w:tcPr>
            <w:tcW w:w="972" w:type="dxa"/>
            <w:noWrap/>
            <w:vAlign w:val="center"/>
            <w:hideMark/>
          </w:tcPr>
          <w:p w14:paraId="50C50B25"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16,06</w:t>
            </w:r>
          </w:p>
        </w:tc>
        <w:tc>
          <w:tcPr>
            <w:tcW w:w="939" w:type="dxa"/>
            <w:noWrap/>
            <w:vAlign w:val="center"/>
            <w:hideMark/>
          </w:tcPr>
          <w:p w14:paraId="32497990"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21,16</w:t>
            </w:r>
          </w:p>
        </w:tc>
        <w:tc>
          <w:tcPr>
            <w:tcW w:w="972" w:type="dxa"/>
            <w:noWrap/>
            <w:vAlign w:val="center"/>
            <w:hideMark/>
          </w:tcPr>
          <w:p w14:paraId="47C94B19"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15,99</w:t>
            </w:r>
          </w:p>
        </w:tc>
        <w:tc>
          <w:tcPr>
            <w:tcW w:w="939" w:type="dxa"/>
            <w:noWrap/>
            <w:vAlign w:val="center"/>
            <w:hideMark/>
          </w:tcPr>
          <w:p w14:paraId="1052EA5B"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22,69</w:t>
            </w:r>
          </w:p>
        </w:tc>
        <w:tc>
          <w:tcPr>
            <w:tcW w:w="972" w:type="dxa"/>
            <w:noWrap/>
            <w:vAlign w:val="center"/>
            <w:hideMark/>
          </w:tcPr>
          <w:p w14:paraId="57F56A97"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18,03</w:t>
            </w:r>
          </w:p>
        </w:tc>
        <w:tc>
          <w:tcPr>
            <w:tcW w:w="724" w:type="dxa"/>
            <w:vAlign w:val="center"/>
          </w:tcPr>
          <w:p w14:paraId="7D071245" w14:textId="77777777" w:rsidR="009B6A83" w:rsidRPr="00D528C1" w:rsidRDefault="00615DF5"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D528C1">
              <w:rPr>
                <w:rFonts w:ascii="Times New Roman" w:eastAsia="Times New Roman" w:hAnsi="Times New Roman" w:cs="Times New Roman"/>
                <w:color w:val="000000"/>
                <w:sz w:val="20"/>
                <w:szCs w:val="20"/>
                <w:lang w:val="ro-RO"/>
              </w:rPr>
              <w:t>65,05</w:t>
            </w:r>
          </w:p>
        </w:tc>
      </w:tr>
      <w:tr w:rsidR="009B6A83" w:rsidRPr="00650D66" w14:paraId="37E7D684" w14:textId="77777777" w:rsidTr="00973711">
        <w:trPr>
          <w:trHeight w:val="390"/>
        </w:trPr>
        <w:tc>
          <w:tcPr>
            <w:cnfStyle w:val="001000000000" w:firstRow="0" w:lastRow="0" w:firstColumn="1" w:lastColumn="0" w:oddVBand="0" w:evenVBand="0" w:oddHBand="0" w:evenHBand="0" w:firstRowFirstColumn="0" w:firstRowLastColumn="0" w:lastRowFirstColumn="0" w:lastRowLastColumn="0"/>
            <w:tcW w:w="1980" w:type="dxa"/>
            <w:hideMark/>
          </w:tcPr>
          <w:p w14:paraId="3AE57F4B" w14:textId="77777777" w:rsidR="009B6A83" w:rsidRPr="00650D66" w:rsidRDefault="009B6A83" w:rsidP="008B4CAB">
            <w:pPr>
              <w:rPr>
                <w:rFonts w:ascii="Times New Roman" w:eastAsia="Times New Roman" w:hAnsi="Times New Roman" w:cs="Times New Roman"/>
                <w:b w:val="0"/>
                <w:color w:val="000000"/>
                <w:sz w:val="20"/>
                <w:szCs w:val="20"/>
                <w:lang w:val="ro-RO"/>
              </w:rPr>
            </w:pPr>
            <w:r w:rsidRPr="00650D66">
              <w:rPr>
                <w:rFonts w:ascii="Times New Roman" w:eastAsia="Times New Roman" w:hAnsi="Times New Roman" w:cs="Times New Roman"/>
                <w:b w:val="0"/>
                <w:color w:val="000000"/>
                <w:sz w:val="20"/>
                <w:szCs w:val="20"/>
                <w:lang w:val="ro-RO"/>
              </w:rPr>
              <w:t>Cheltuieli de întreținere și reparații</w:t>
            </w:r>
          </w:p>
        </w:tc>
        <w:tc>
          <w:tcPr>
            <w:tcW w:w="939" w:type="dxa"/>
            <w:noWrap/>
            <w:vAlign w:val="center"/>
            <w:hideMark/>
          </w:tcPr>
          <w:p w14:paraId="11513538"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19,65</w:t>
            </w:r>
          </w:p>
        </w:tc>
        <w:tc>
          <w:tcPr>
            <w:tcW w:w="972" w:type="dxa"/>
            <w:noWrap/>
            <w:vAlign w:val="center"/>
            <w:hideMark/>
          </w:tcPr>
          <w:p w14:paraId="73735811"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8,42</w:t>
            </w:r>
          </w:p>
        </w:tc>
        <w:tc>
          <w:tcPr>
            <w:tcW w:w="939" w:type="dxa"/>
            <w:noWrap/>
            <w:vAlign w:val="center"/>
            <w:hideMark/>
          </w:tcPr>
          <w:p w14:paraId="2B068341"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24,31</w:t>
            </w:r>
          </w:p>
        </w:tc>
        <w:tc>
          <w:tcPr>
            <w:tcW w:w="972" w:type="dxa"/>
            <w:noWrap/>
            <w:vAlign w:val="center"/>
            <w:hideMark/>
          </w:tcPr>
          <w:p w14:paraId="33E630DA"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9,17</w:t>
            </w:r>
          </w:p>
        </w:tc>
        <w:tc>
          <w:tcPr>
            <w:tcW w:w="939" w:type="dxa"/>
            <w:noWrap/>
            <w:vAlign w:val="center"/>
            <w:hideMark/>
          </w:tcPr>
          <w:p w14:paraId="20ECE5AD"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25,38</w:t>
            </w:r>
          </w:p>
        </w:tc>
        <w:tc>
          <w:tcPr>
            <w:tcW w:w="972" w:type="dxa"/>
            <w:noWrap/>
            <w:vAlign w:val="center"/>
            <w:hideMark/>
          </w:tcPr>
          <w:p w14:paraId="3B33E674"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10,50</w:t>
            </w:r>
          </w:p>
        </w:tc>
        <w:tc>
          <w:tcPr>
            <w:tcW w:w="939" w:type="dxa"/>
            <w:noWrap/>
            <w:vAlign w:val="center"/>
            <w:hideMark/>
          </w:tcPr>
          <w:p w14:paraId="511CCA5B"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27,38</w:t>
            </w:r>
          </w:p>
        </w:tc>
        <w:tc>
          <w:tcPr>
            <w:tcW w:w="972" w:type="dxa"/>
            <w:noWrap/>
            <w:vAlign w:val="center"/>
            <w:hideMark/>
          </w:tcPr>
          <w:p w14:paraId="588BD335"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18,84</w:t>
            </w:r>
          </w:p>
        </w:tc>
        <w:tc>
          <w:tcPr>
            <w:tcW w:w="724" w:type="dxa"/>
            <w:vAlign w:val="center"/>
          </w:tcPr>
          <w:p w14:paraId="07328368" w14:textId="77777777" w:rsidR="009B6A83" w:rsidRPr="00D528C1" w:rsidRDefault="00615DF5"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D528C1">
              <w:rPr>
                <w:rFonts w:ascii="Times New Roman" w:eastAsia="Times New Roman" w:hAnsi="Times New Roman" w:cs="Times New Roman"/>
                <w:color w:val="000000"/>
                <w:sz w:val="20"/>
                <w:szCs w:val="20"/>
                <w:lang w:val="ro-RO"/>
              </w:rPr>
              <w:t>46,93</w:t>
            </w:r>
          </w:p>
        </w:tc>
      </w:tr>
      <w:tr w:rsidR="009B6A83" w:rsidRPr="00650D66" w14:paraId="5CFF37B8" w14:textId="77777777" w:rsidTr="00973711">
        <w:trPr>
          <w:trHeight w:val="288"/>
        </w:trPr>
        <w:tc>
          <w:tcPr>
            <w:cnfStyle w:val="001000000000" w:firstRow="0" w:lastRow="0" w:firstColumn="1" w:lastColumn="0" w:oddVBand="0" w:evenVBand="0" w:oddHBand="0" w:evenHBand="0" w:firstRowFirstColumn="0" w:firstRowLastColumn="0" w:lastRowFirstColumn="0" w:lastRowLastColumn="0"/>
            <w:tcW w:w="1980" w:type="dxa"/>
            <w:hideMark/>
          </w:tcPr>
          <w:p w14:paraId="541D6676" w14:textId="77777777" w:rsidR="009B6A83" w:rsidRPr="00650D66" w:rsidRDefault="009B6A83" w:rsidP="008B4CAB">
            <w:pPr>
              <w:rPr>
                <w:rFonts w:ascii="Times New Roman" w:eastAsia="Times New Roman" w:hAnsi="Times New Roman" w:cs="Times New Roman"/>
                <w:b w:val="0"/>
                <w:color w:val="000000"/>
                <w:sz w:val="20"/>
                <w:szCs w:val="20"/>
                <w:lang w:val="ro-RO"/>
              </w:rPr>
            </w:pPr>
            <w:r w:rsidRPr="00650D66">
              <w:rPr>
                <w:rFonts w:ascii="Times New Roman" w:eastAsia="Times New Roman" w:hAnsi="Times New Roman" w:cs="Times New Roman"/>
                <w:b w:val="0"/>
                <w:color w:val="000000"/>
                <w:sz w:val="20"/>
                <w:szCs w:val="20"/>
                <w:lang w:val="ro-RO"/>
              </w:rPr>
              <w:t>Cheltuieli privind amortizarea</w:t>
            </w:r>
          </w:p>
        </w:tc>
        <w:tc>
          <w:tcPr>
            <w:tcW w:w="939" w:type="dxa"/>
            <w:noWrap/>
            <w:vAlign w:val="center"/>
            <w:hideMark/>
          </w:tcPr>
          <w:p w14:paraId="06F094E9"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31,67</w:t>
            </w:r>
          </w:p>
        </w:tc>
        <w:tc>
          <w:tcPr>
            <w:tcW w:w="972" w:type="dxa"/>
            <w:noWrap/>
            <w:vAlign w:val="center"/>
            <w:hideMark/>
          </w:tcPr>
          <w:p w14:paraId="568D7287"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30,08</w:t>
            </w:r>
          </w:p>
        </w:tc>
        <w:tc>
          <w:tcPr>
            <w:tcW w:w="939" w:type="dxa"/>
            <w:noWrap/>
            <w:vAlign w:val="center"/>
            <w:hideMark/>
          </w:tcPr>
          <w:p w14:paraId="0B6F949D"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32,81</w:t>
            </w:r>
          </w:p>
        </w:tc>
        <w:tc>
          <w:tcPr>
            <w:tcW w:w="972" w:type="dxa"/>
            <w:noWrap/>
            <w:vAlign w:val="center"/>
            <w:hideMark/>
          </w:tcPr>
          <w:p w14:paraId="52A51045"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29,56</w:t>
            </w:r>
          </w:p>
        </w:tc>
        <w:tc>
          <w:tcPr>
            <w:tcW w:w="939" w:type="dxa"/>
            <w:noWrap/>
            <w:vAlign w:val="center"/>
            <w:hideMark/>
          </w:tcPr>
          <w:p w14:paraId="216DFA9D"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33,47</w:t>
            </w:r>
          </w:p>
        </w:tc>
        <w:tc>
          <w:tcPr>
            <w:tcW w:w="972" w:type="dxa"/>
            <w:noWrap/>
            <w:vAlign w:val="center"/>
            <w:hideMark/>
          </w:tcPr>
          <w:p w14:paraId="133420D2"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26,50</w:t>
            </w:r>
          </w:p>
        </w:tc>
        <w:tc>
          <w:tcPr>
            <w:tcW w:w="939" w:type="dxa"/>
            <w:noWrap/>
            <w:vAlign w:val="center"/>
            <w:hideMark/>
          </w:tcPr>
          <w:p w14:paraId="51DBCC37"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34,44</w:t>
            </w:r>
          </w:p>
        </w:tc>
        <w:tc>
          <w:tcPr>
            <w:tcW w:w="972" w:type="dxa"/>
            <w:noWrap/>
            <w:vAlign w:val="center"/>
            <w:hideMark/>
          </w:tcPr>
          <w:p w14:paraId="78362F19"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27,99</w:t>
            </w:r>
          </w:p>
        </w:tc>
        <w:tc>
          <w:tcPr>
            <w:tcW w:w="724" w:type="dxa"/>
            <w:vAlign w:val="center"/>
          </w:tcPr>
          <w:p w14:paraId="51B9B91C" w14:textId="77777777" w:rsidR="009B6A83" w:rsidRPr="00D528C1" w:rsidRDefault="00615DF5"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D528C1">
              <w:rPr>
                <w:rFonts w:ascii="Times New Roman" w:eastAsia="Times New Roman" w:hAnsi="Times New Roman" w:cs="Times New Roman"/>
                <w:color w:val="000000"/>
                <w:sz w:val="20"/>
                <w:szCs w:val="20"/>
                <w:lang w:val="ro-RO"/>
              </w:rPr>
              <w:t>114,13</w:t>
            </w:r>
          </w:p>
        </w:tc>
      </w:tr>
      <w:tr w:rsidR="009B6A83" w:rsidRPr="00650D66" w14:paraId="69B26441" w14:textId="77777777" w:rsidTr="00973711">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60971CC" w14:textId="77777777" w:rsidR="009B6A83" w:rsidRPr="00650D66" w:rsidRDefault="009B6A83" w:rsidP="008B4CAB">
            <w:pPr>
              <w:rPr>
                <w:rFonts w:ascii="Times New Roman" w:eastAsia="Times New Roman" w:hAnsi="Times New Roman" w:cs="Times New Roman"/>
                <w:b w:val="0"/>
                <w:color w:val="000000"/>
                <w:sz w:val="20"/>
                <w:szCs w:val="20"/>
                <w:lang w:val="ro-RO"/>
              </w:rPr>
            </w:pPr>
            <w:r w:rsidRPr="00650D66">
              <w:rPr>
                <w:rFonts w:ascii="Times New Roman" w:eastAsia="Times New Roman" w:hAnsi="Times New Roman" w:cs="Times New Roman"/>
                <w:b w:val="0"/>
                <w:color w:val="000000"/>
                <w:sz w:val="20"/>
                <w:szCs w:val="20"/>
                <w:lang w:val="ro-RO"/>
              </w:rPr>
              <w:t>Alte cheltuieli</w:t>
            </w:r>
          </w:p>
        </w:tc>
        <w:tc>
          <w:tcPr>
            <w:tcW w:w="939" w:type="dxa"/>
            <w:noWrap/>
            <w:vAlign w:val="center"/>
            <w:hideMark/>
          </w:tcPr>
          <w:p w14:paraId="735F84C9"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2,28</w:t>
            </w:r>
          </w:p>
        </w:tc>
        <w:tc>
          <w:tcPr>
            <w:tcW w:w="972" w:type="dxa"/>
            <w:noWrap/>
            <w:vAlign w:val="center"/>
            <w:hideMark/>
          </w:tcPr>
          <w:p w14:paraId="3275FF84"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0,75</w:t>
            </w:r>
          </w:p>
        </w:tc>
        <w:tc>
          <w:tcPr>
            <w:tcW w:w="939" w:type="dxa"/>
            <w:noWrap/>
            <w:vAlign w:val="center"/>
            <w:hideMark/>
          </w:tcPr>
          <w:p w14:paraId="73D84564"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2,11</w:t>
            </w:r>
          </w:p>
        </w:tc>
        <w:tc>
          <w:tcPr>
            <w:tcW w:w="972" w:type="dxa"/>
            <w:noWrap/>
            <w:vAlign w:val="center"/>
            <w:hideMark/>
          </w:tcPr>
          <w:p w14:paraId="4AEAF062"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0,84</w:t>
            </w:r>
          </w:p>
        </w:tc>
        <w:tc>
          <w:tcPr>
            <w:tcW w:w="939" w:type="dxa"/>
            <w:noWrap/>
            <w:vAlign w:val="center"/>
            <w:hideMark/>
          </w:tcPr>
          <w:p w14:paraId="3214BE89"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2,04</w:t>
            </w:r>
          </w:p>
        </w:tc>
        <w:tc>
          <w:tcPr>
            <w:tcW w:w="972" w:type="dxa"/>
            <w:noWrap/>
            <w:vAlign w:val="center"/>
            <w:hideMark/>
          </w:tcPr>
          <w:p w14:paraId="60DE6CED"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1,41</w:t>
            </w:r>
          </w:p>
        </w:tc>
        <w:tc>
          <w:tcPr>
            <w:tcW w:w="939" w:type="dxa"/>
            <w:noWrap/>
            <w:vAlign w:val="center"/>
            <w:hideMark/>
          </w:tcPr>
          <w:p w14:paraId="5005B429"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5,51</w:t>
            </w:r>
          </w:p>
        </w:tc>
        <w:tc>
          <w:tcPr>
            <w:tcW w:w="972" w:type="dxa"/>
            <w:noWrap/>
            <w:vAlign w:val="center"/>
            <w:hideMark/>
          </w:tcPr>
          <w:p w14:paraId="05DD7099"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1,22</w:t>
            </w:r>
          </w:p>
        </w:tc>
        <w:tc>
          <w:tcPr>
            <w:tcW w:w="724" w:type="dxa"/>
            <w:vAlign w:val="center"/>
          </w:tcPr>
          <w:p w14:paraId="1B35600C" w14:textId="77777777" w:rsidR="009B6A83" w:rsidRPr="00D528C1" w:rsidRDefault="00615DF5"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D528C1">
              <w:rPr>
                <w:rFonts w:ascii="Times New Roman" w:eastAsia="Times New Roman" w:hAnsi="Times New Roman" w:cs="Times New Roman"/>
                <w:color w:val="000000"/>
                <w:sz w:val="20"/>
                <w:szCs w:val="20"/>
                <w:lang w:val="ro-RO"/>
              </w:rPr>
              <w:t>4,21</w:t>
            </w:r>
          </w:p>
        </w:tc>
      </w:tr>
      <w:tr w:rsidR="009B6A83" w:rsidRPr="00650D66" w14:paraId="2B3EAD00" w14:textId="77777777" w:rsidTr="00973711">
        <w:trPr>
          <w:trHeight w:val="288"/>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BBCFEC8" w14:textId="77777777" w:rsidR="009B6A83" w:rsidRPr="00650D66" w:rsidRDefault="009B6A83" w:rsidP="008B4CAB">
            <w:pP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TOTAL cheltuieli</w:t>
            </w:r>
          </w:p>
        </w:tc>
        <w:tc>
          <w:tcPr>
            <w:tcW w:w="939" w:type="dxa"/>
            <w:noWrap/>
            <w:vAlign w:val="center"/>
            <w:hideMark/>
          </w:tcPr>
          <w:p w14:paraId="1C873173"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245,1</w:t>
            </w:r>
          </w:p>
        </w:tc>
        <w:tc>
          <w:tcPr>
            <w:tcW w:w="972" w:type="dxa"/>
            <w:noWrap/>
            <w:vAlign w:val="center"/>
            <w:hideMark/>
          </w:tcPr>
          <w:p w14:paraId="0980C6BF"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219,4</w:t>
            </w:r>
          </w:p>
        </w:tc>
        <w:tc>
          <w:tcPr>
            <w:tcW w:w="939" w:type="dxa"/>
            <w:noWrap/>
            <w:vAlign w:val="center"/>
            <w:hideMark/>
          </w:tcPr>
          <w:p w14:paraId="2C55492E"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256,8</w:t>
            </w:r>
          </w:p>
        </w:tc>
        <w:tc>
          <w:tcPr>
            <w:tcW w:w="972" w:type="dxa"/>
            <w:noWrap/>
            <w:vAlign w:val="center"/>
            <w:hideMark/>
          </w:tcPr>
          <w:p w14:paraId="5EE5419A"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212,3</w:t>
            </w:r>
          </w:p>
        </w:tc>
        <w:tc>
          <w:tcPr>
            <w:tcW w:w="939" w:type="dxa"/>
            <w:noWrap/>
            <w:vAlign w:val="center"/>
            <w:hideMark/>
          </w:tcPr>
          <w:p w14:paraId="1C128D42"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273,7</w:t>
            </w:r>
          </w:p>
        </w:tc>
        <w:tc>
          <w:tcPr>
            <w:tcW w:w="972" w:type="dxa"/>
            <w:noWrap/>
            <w:vAlign w:val="center"/>
            <w:hideMark/>
          </w:tcPr>
          <w:p w14:paraId="0EC1EE6D"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220,3</w:t>
            </w:r>
          </w:p>
        </w:tc>
        <w:tc>
          <w:tcPr>
            <w:tcW w:w="939" w:type="dxa"/>
            <w:noWrap/>
            <w:vAlign w:val="center"/>
            <w:hideMark/>
          </w:tcPr>
          <w:p w14:paraId="40E49015"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361,8</w:t>
            </w:r>
          </w:p>
        </w:tc>
        <w:tc>
          <w:tcPr>
            <w:tcW w:w="972" w:type="dxa"/>
            <w:noWrap/>
            <w:vAlign w:val="center"/>
            <w:hideMark/>
          </w:tcPr>
          <w:p w14:paraId="1B785038" w14:textId="77777777" w:rsidR="009B6A83" w:rsidRPr="00650D66" w:rsidRDefault="009B6A83"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293,4</w:t>
            </w:r>
          </w:p>
        </w:tc>
        <w:tc>
          <w:tcPr>
            <w:tcW w:w="724" w:type="dxa"/>
            <w:vAlign w:val="center"/>
          </w:tcPr>
          <w:p w14:paraId="71AA3EF8" w14:textId="77777777" w:rsidR="009B6A83" w:rsidRPr="00D528C1" w:rsidRDefault="00615DF5" w:rsidP="009737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val="ro-RO"/>
              </w:rPr>
            </w:pPr>
            <w:r w:rsidRPr="00D528C1">
              <w:rPr>
                <w:rFonts w:ascii="Times New Roman" w:eastAsia="Times New Roman" w:hAnsi="Times New Roman" w:cs="Times New Roman"/>
                <w:b/>
                <w:bCs/>
                <w:color w:val="000000"/>
                <w:sz w:val="20"/>
                <w:szCs w:val="20"/>
                <w:lang w:val="ro-RO"/>
              </w:rPr>
              <w:t>945,4</w:t>
            </w:r>
          </w:p>
        </w:tc>
      </w:tr>
      <w:tr w:rsidR="009B6A83" w:rsidRPr="00650D66" w14:paraId="24DF1F2E" w14:textId="77777777" w:rsidTr="00615DF5">
        <w:trPr>
          <w:trHeight w:val="288"/>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noWrap/>
            <w:hideMark/>
          </w:tcPr>
          <w:p w14:paraId="1E7FAB0D" w14:textId="77777777" w:rsidR="009B6A83" w:rsidRPr="00650D66" w:rsidRDefault="009B6A83" w:rsidP="008B4CAB">
            <w:pPr>
              <w:rPr>
                <w:rFonts w:ascii="Times New Roman" w:eastAsia="Times New Roman" w:hAnsi="Times New Roman" w:cs="Times New Roman"/>
                <w:i/>
                <w:color w:val="000000"/>
                <w:sz w:val="20"/>
                <w:szCs w:val="20"/>
                <w:lang w:val="ro-RO"/>
              </w:rPr>
            </w:pPr>
            <w:r w:rsidRPr="00650D66">
              <w:rPr>
                <w:rFonts w:ascii="Times New Roman" w:eastAsia="Times New Roman" w:hAnsi="Times New Roman" w:cs="Times New Roman"/>
                <w:i/>
                <w:color w:val="000000"/>
                <w:sz w:val="20"/>
                <w:szCs w:val="20"/>
                <w:lang w:val="ro-RO"/>
              </w:rPr>
              <w:t xml:space="preserve">Nivelul de executare </w:t>
            </w:r>
          </w:p>
        </w:tc>
        <w:tc>
          <w:tcPr>
            <w:tcW w:w="1911" w:type="dxa"/>
            <w:gridSpan w:val="2"/>
            <w:shd w:val="clear" w:color="auto" w:fill="F2F2F2" w:themeFill="background1" w:themeFillShade="F2"/>
            <w:noWrap/>
            <w:hideMark/>
          </w:tcPr>
          <w:p w14:paraId="22D1C13B" w14:textId="77777777" w:rsidR="009B6A83" w:rsidRPr="00650D66" w:rsidRDefault="009B6A83" w:rsidP="008B4C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o-RO"/>
              </w:rPr>
            </w:pPr>
            <w:r w:rsidRPr="00650D66">
              <w:rPr>
                <w:rFonts w:ascii="Times New Roman" w:eastAsia="Times New Roman" w:hAnsi="Times New Roman" w:cs="Times New Roman"/>
                <w:b/>
                <w:bCs/>
                <w:i/>
                <w:color w:val="000000"/>
                <w:sz w:val="20"/>
                <w:szCs w:val="20"/>
                <w:lang w:val="ro-RO"/>
              </w:rPr>
              <w:t>89,5%</w:t>
            </w:r>
          </w:p>
        </w:tc>
        <w:tc>
          <w:tcPr>
            <w:tcW w:w="1911" w:type="dxa"/>
            <w:gridSpan w:val="2"/>
            <w:shd w:val="clear" w:color="auto" w:fill="F2F2F2" w:themeFill="background1" w:themeFillShade="F2"/>
            <w:noWrap/>
            <w:hideMark/>
          </w:tcPr>
          <w:p w14:paraId="63EEAE0D" w14:textId="77777777" w:rsidR="009B6A83" w:rsidRPr="00650D66" w:rsidRDefault="009B6A83" w:rsidP="008B4C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o-RO"/>
              </w:rPr>
            </w:pPr>
            <w:r w:rsidRPr="00650D66">
              <w:rPr>
                <w:rFonts w:ascii="Times New Roman" w:eastAsia="Times New Roman" w:hAnsi="Times New Roman" w:cs="Times New Roman"/>
                <w:b/>
                <w:bCs/>
                <w:i/>
                <w:color w:val="000000"/>
                <w:sz w:val="20"/>
                <w:szCs w:val="20"/>
                <w:lang w:val="ro-RO"/>
              </w:rPr>
              <w:t>82,7%</w:t>
            </w:r>
          </w:p>
        </w:tc>
        <w:tc>
          <w:tcPr>
            <w:tcW w:w="1911" w:type="dxa"/>
            <w:gridSpan w:val="2"/>
            <w:shd w:val="clear" w:color="auto" w:fill="F2F2F2" w:themeFill="background1" w:themeFillShade="F2"/>
            <w:noWrap/>
            <w:hideMark/>
          </w:tcPr>
          <w:p w14:paraId="56981CB6" w14:textId="77777777" w:rsidR="009B6A83" w:rsidRPr="00650D66" w:rsidRDefault="009B6A83" w:rsidP="008B4C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o-RO"/>
              </w:rPr>
            </w:pPr>
            <w:r w:rsidRPr="00650D66">
              <w:rPr>
                <w:rFonts w:ascii="Times New Roman" w:eastAsia="Times New Roman" w:hAnsi="Times New Roman" w:cs="Times New Roman"/>
                <w:b/>
                <w:bCs/>
                <w:i/>
                <w:color w:val="000000"/>
                <w:sz w:val="20"/>
                <w:szCs w:val="20"/>
                <w:lang w:val="ro-RO"/>
              </w:rPr>
              <w:t>80,5%</w:t>
            </w:r>
          </w:p>
        </w:tc>
        <w:tc>
          <w:tcPr>
            <w:tcW w:w="1911" w:type="dxa"/>
            <w:gridSpan w:val="2"/>
            <w:shd w:val="clear" w:color="auto" w:fill="F2F2F2" w:themeFill="background1" w:themeFillShade="F2"/>
            <w:noWrap/>
            <w:hideMark/>
          </w:tcPr>
          <w:p w14:paraId="249252DA" w14:textId="77777777" w:rsidR="009B6A83" w:rsidRPr="00650D66" w:rsidRDefault="009B6A83" w:rsidP="008B4C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o-RO"/>
              </w:rPr>
            </w:pPr>
            <w:r w:rsidRPr="00650D66">
              <w:rPr>
                <w:rFonts w:ascii="Times New Roman" w:eastAsia="Times New Roman" w:hAnsi="Times New Roman" w:cs="Times New Roman"/>
                <w:b/>
                <w:bCs/>
                <w:i/>
                <w:color w:val="000000"/>
                <w:sz w:val="20"/>
                <w:szCs w:val="20"/>
                <w:lang w:val="ro-RO"/>
              </w:rPr>
              <w:t>81,1%</w:t>
            </w:r>
          </w:p>
        </w:tc>
        <w:tc>
          <w:tcPr>
            <w:tcW w:w="724" w:type="dxa"/>
            <w:shd w:val="clear" w:color="auto" w:fill="F2F2F2" w:themeFill="background1" w:themeFillShade="F2"/>
          </w:tcPr>
          <w:p w14:paraId="1C813BC8" w14:textId="77777777" w:rsidR="009B6A83" w:rsidRPr="00650D66" w:rsidRDefault="00495C61" w:rsidP="008B4C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color w:val="000000"/>
                <w:sz w:val="20"/>
                <w:szCs w:val="20"/>
                <w:lang w:val="ro-RO"/>
              </w:rPr>
            </w:pPr>
            <w:r>
              <w:rPr>
                <w:rFonts w:ascii="Times New Roman" w:eastAsia="Times New Roman" w:hAnsi="Times New Roman" w:cs="Times New Roman"/>
                <w:b/>
                <w:bCs/>
                <w:i/>
                <w:color w:val="000000"/>
                <w:sz w:val="20"/>
                <w:szCs w:val="20"/>
                <w:lang w:val="ro-RO"/>
              </w:rPr>
              <w:t>83,1%</w:t>
            </w:r>
          </w:p>
        </w:tc>
      </w:tr>
    </w:tbl>
    <w:p w14:paraId="1EBBF20B" w14:textId="77777777" w:rsidR="001E4137" w:rsidRPr="00650D66" w:rsidRDefault="0097180C" w:rsidP="00A51F07">
      <w:pPr>
        <w:spacing w:after="0"/>
        <w:jc w:val="both"/>
        <w:rPr>
          <w:rFonts w:ascii="Times New Roman" w:hAnsi="Times New Roman" w:cs="Times New Roman"/>
          <w:i/>
          <w:sz w:val="20"/>
          <w:szCs w:val="20"/>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b/>
          <w:sz w:val="20"/>
          <w:szCs w:val="20"/>
          <w:lang w:val="ro-RO"/>
        </w:rPr>
        <w:t xml:space="preserve"> </w:t>
      </w:r>
      <w:r w:rsidRPr="00650D66">
        <w:rPr>
          <w:rFonts w:ascii="Times New Roman" w:hAnsi="Times New Roman" w:cs="Times New Roman"/>
          <w:i/>
          <w:sz w:val="20"/>
          <w:szCs w:val="20"/>
          <w:lang w:val="ro-RO"/>
        </w:rPr>
        <w:t xml:space="preserve">Date </w:t>
      </w:r>
      <w:r w:rsidR="00431BB2" w:rsidRPr="00650D66">
        <w:rPr>
          <w:rFonts w:ascii="Times New Roman" w:hAnsi="Times New Roman" w:cs="Times New Roman"/>
          <w:i/>
          <w:sz w:val="20"/>
          <w:szCs w:val="20"/>
          <w:lang w:val="ro-RO"/>
        </w:rPr>
        <w:t>generalizate</w:t>
      </w:r>
      <w:r w:rsidRPr="00650D66">
        <w:rPr>
          <w:rFonts w:ascii="Times New Roman" w:hAnsi="Times New Roman" w:cs="Times New Roman"/>
          <w:i/>
          <w:sz w:val="20"/>
          <w:szCs w:val="20"/>
          <w:lang w:val="ro-RO"/>
        </w:rPr>
        <w:t xml:space="preserve"> de către echipa de audit în baza rapoartelor privind executarea devizelor de cheltuieli</w:t>
      </w:r>
      <w:r w:rsidR="00A46889" w:rsidRPr="00650D66">
        <w:rPr>
          <w:rFonts w:ascii="Times New Roman" w:hAnsi="Times New Roman" w:cs="Times New Roman"/>
          <w:i/>
          <w:sz w:val="20"/>
          <w:szCs w:val="20"/>
          <w:lang w:val="ro-RO"/>
        </w:rPr>
        <w:t xml:space="preserve"> și alocațiilor pentru investiții</w:t>
      </w:r>
      <w:r w:rsidRPr="00650D66">
        <w:rPr>
          <w:rFonts w:ascii="Times New Roman" w:hAnsi="Times New Roman" w:cs="Times New Roman"/>
          <w:i/>
          <w:sz w:val="20"/>
          <w:szCs w:val="20"/>
          <w:lang w:val="ro-RO"/>
        </w:rPr>
        <w:t xml:space="preserve"> pe anii 2019-2022.</w:t>
      </w:r>
    </w:p>
    <w:p w14:paraId="2B414AAB" w14:textId="77777777" w:rsidR="00A51F07" w:rsidRPr="00650D66" w:rsidRDefault="00A51F07" w:rsidP="00A51F07">
      <w:pPr>
        <w:spacing w:after="0"/>
        <w:jc w:val="both"/>
        <w:rPr>
          <w:rFonts w:ascii="Times New Roman" w:hAnsi="Times New Roman" w:cs="Times New Roman"/>
          <w:b/>
          <w:sz w:val="20"/>
          <w:szCs w:val="20"/>
          <w:lang w:val="ro-RO"/>
        </w:rPr>
      </w:pPr>
    </w:p>
    <w:p w14:paraId="02DA3E38" w14:textId="421BF8D7" w:rsidR="00FD5B4A" w:rsidRPr="00650D66" w:rsidRDefault="00856FAA" w:rsidP="00497E6C">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Datele din tabel relevă că majoritatea articolelor de cheltuieli au fost </w:t>
      </w:r>
      <w:r w:rsidR="00533BE3">
        <w:rPr>
          <w:rFonts w:ascii="Times New Roman" w:hAnsi="Times New Roman" w:cs="Times New Roman"/>
          <w:sz w:val="24"/>
          <w:szCs w:val="24"/>
          <w:lang w:val="ro-RO"/>
        </w:rPr>
        <w:t>sporite</w:t>
      </w:r>
      <w:r w:rsidRPr="00650D66">
        <w:rPr>
          <w:rFonts w:ascii="Times New Roman" w:hAnsi="Times New Roman" w:cs="Times New Roman"/>
          <w:sz w:val="24"/>
          <w:szCs w:val="24"/>
          <w:lang w:val="ro-RO"/>
        </w:rPr>
        <w:t>.</w:t>
      </w:r>
      <w:r w:rsidR="00D30777" w:rsidRPr="00650D66">
        <w:rPr>
          <w:rFonts w:ascii="Times New Roman" w:hAnsi="Times New Roman" w:cs="Times New Roman"/>
          <w:sz w:val="24"/>
          <w:szCs w:val="24"/>
          <w:lang w:val="ro-RO"/>
        </w:rPr>
        <w:t xml:space="preserve"> Astfel, </w:t>
      </w:r>
      <w:r w:rsidR="004C6762" w:rsidRPr="00650D66">
        <w:rPr>
          <w:rFonts w:ascii="Times New Roman" w:hAnsi="Times New Roman" w:cs="Times New Roman"/>
          <w:sz w:val="24"/>
          <w:szCs w:val="24"/>
          <w:lang w:val="ro-RO"/>
        </w:rPr>
        <w:t xml:space="preserve">cele mai semnificative creșteri </w:t>
      </w:r>
      <w:r w:rsidR="00D30777" w:rsidRPr="00650D66">
        <w:rPr>
          <w:rFonts w:ascii="Times New Roman" w:hAnsi="Times New Roman" w:cs="Times New Roman"/>
          <w:sz w:val="24"/>
          <w:szCs w:val="24"/>
          <w:lang w:val="ro-RO"/>
        </w:rPr>
        <w:t>la executarea cheltuielilor în anul 2022</w:t>
      </w:r>
      <w:r w:rsidR="00533BE3">
        <w:rPr>
          <w:rFonts w:ascii="Times New Roman" w:hAnsi="Times New Roman" w:cs="Times New Roman"/>
          <w:sz w:val="24"/>
          <w:szCs w:val="24"/>
          <w:lang w:val="ro-RO"/>
        </w:rPr>
        <w:t>,</w:t>
      </w:r>
      <w:r w:rsidR="00D30777" w:rsidRPr="00650D66">
        <w:rPr>
          <w:rFonts w:ascii="Times New Roman" w:hAnsi="Times New Roman" w:cs="Times New Roman"/>
          <w:sz w:val="24"/>
          <w:szCs w:val="24"/>
          <w:lang w:val="ro-RO"/>
        </w:rPr>
        <w:t xml:space="preserve"> față de anul 2019</w:t>
      </w:r>
      <w:r w:rsidR="00533BE3">
        <w:rPr>
          <w:rFonts w:ascii="Times New Roman" w:hAnsi="Times New Roman" w:cs="Times New Roman"/>
          <w:sz w:val="24"/>
          <w:szCs w:val="24"/>
          <w:lang w:val="ro-RO"/>
        </w:rPr>
        <w:t>,</w:t>
      </w:r>
      <w:r w:rsidR="00D30777" w:rsidRPr="00650D66">
        <w:rPr>
          <w:rFonts w:ascii="Times New Roman" w:hAnsi="Times New Roman" w:cs="Times New Roman"/>
          <w:sz w:val="24"/>
          <w:szCs w:val="24"/>
          <w:lang w:val="ro-RO"/>
        </w:rPr>
        <w:t xml:space="preserve"> </w:t>
      </w:r>
      <w:r w:rsidR="004C6762" w:rsidRPr="00650D66">
        <w:rPr>
          <w:rFonts w:ascii="Times New Roman" w:hAnsi="Times New Roman" w:cs="Times New Roman"/>
          <w:sz w:val="24"/>
          <w:szCs w:val="24"/>
          <w:lang w:val="ro-RO"/>
        </w:rPr>
        <w:t>se înregistrează</w:t>
      </w:r>
      <w:r w:rsidR="00603DEA" w:rsidRPr="00650D66">
        <w:rPr>
          <w:rFonts w:ascii="Times New Roman" w:hAnsi="Times New Roman" w:cs="Times New Roman"/>
          <w:sz w:val="24"/>
          <w:szCs w:val="24"/>
          <w:lang w:val="ro-RO"/>
        </w:rPr>
        <w:t xml:space="preserve"> la cheltuielile cu personalul </w:t>
      </w:r>
      <w:r w:rsidR="00533BE3">
        <w:rPr>
          <w:rFonts w:ascii="Times New Roman" w:hAnsi="Times New Roman" w:cs="Times New Roman"/>
          <w:sz w:val="24"/>
          <w:szCs w:val="24"/>
          <w:lang w:val="ro-RO"/>
        </w:rPr>
        <w:t>–</w:t>
      </w:r>
      <w:r w:rsidR="00603DEA" w:rsidRPr="00650D66">
        <w:rPr>
          <w:rFonts w:ascii="Times New Roman" w:hAnsi="Times New Roman" w:cs="Times New Roman"/>
          <w:sz w:val="24"/>
          <w:szCs w:val="24"/>
          <w:lang w:val="ro-RO"/>
        </w:rPr>
        <w:t xml:space="preserve"> </w:t>
      </w:r>
      <w:r w:rsidR="00533BE3">
        <w:rPr>
          <w:rFonts w:ascii="Times New Roman" w:hAnsi="Times New Roman" w:cs="Times New Roman"/>
          <w:sz w:val="24"/>
          <w:szCs w:val="24"/>
          <w:lang w:val="ro-RO"/>
        </w:rPr>
        <w:t xml:space="preserve">de </w:t>
      </w:r>
      <w:r w:rsidR="00603DEA" w:rsidRPr="00650D66">
        <w:rPr>
          <w:rFonts w:ascii="Times New Roman" w:hAnsi="Times New Roman" w:cs="Times New Roman"/>
          <w:sz w:val="24"/>
          <w:szCs w:val="24"/>
          <w:lang w:val="ro-RO"/>
        </w:rPr>
        <w:t>43,7 mil. lei, cheltuielile privind asigurările obligatorii și facultative</w:t>
      </w:r>
      <w:r w:rsidR="00884D85" w:rsidRPr="00650D66">
        <w:rPr>
          <w:rFonts w:ascii="Times New Roman" w:hAnsi="Times New Roman" w:cs="Times New Roman"/>
          <w:sz w:val="24"/>
          <w:szCs w:val="24"/>
          <w:lang w:val="ro-RO"/>
        </w:rPr>
        <w:t xml:space="preserve"> </w:t>
      </w:r>
      <w:r w:rsidR="00603DEA" w:rsidRPr="00650D66">
        <w:rPr>
          <w:rFonts w:ascii="Times New Roman" w:hAnsi="Times New Roman" w:cs="Times New Roman"/>
          <w:sz w:val="24"/>
          <w:szCs w:val="24"/>
          <w:lang w:val="ro-RO"/>
        </w:rPr>
        <w:t xml:space="preserve">– </w:t>
      </w:r>
      <w:r w:rsidR="00533BE3">
        <w:rPr>
          <w:rFonts w:ascii="Times New Roman" w:hAnsi="Times New Roman" w:cs="Times New Roman"/>
          <w:sz w:val="24"/>
          <w:szCs w:val="24"/>
          <w:lang w:val="ro-RO"/>
        </w:rPr>
        <w:t xml:space="preserve">de </w:t>
      </w:r>
      <w:r w:rsidR="00603DEA" w:rsidRPr="00650D66">
        <w:rPr>
          <w:rFonts w:ascii="Times New Roman" w:hAnsi="Times New Roman" w:cs="Times New Roman"/>
          <w:sz w:val="24"/>
          <w:szCs w:val="24"/>
          <w:lang w:val="ro-RO"/>
        </w:rPr>
        <w:t>15,3 mil. lei</w:t>
      </w:r>
      <w:r w:rsidR="00533BE3">
        <w:rPr>
          <w:rFonts w:ascii="Times New Roman" w:hAnsi="Times New Roman" w:cs="Times New Roman"/>
          <w:sz w:val="24"/>
          <w:szCs w:val="24"/>
          <w:lang w:val="ro-RO"/>
        </w:rPr>
        <w:t>,</w:t>
      </w:r>
      <w:r w:rsidR="00603DEA" w:rsidRPr="00650D66">
        <w:rPr>
          <w:rFonts w:ascii="Times New Roman" w:hAnsi="Times New Roman" w:cs="Times New Roman"/>
          <w:sz w:val="24"/>
          <w:szCs w:val="24"/>
          <w:lang w:val="ro-RO"/>
        </w:rPr>
        <w:t xml:space="preserve"> și cheltuielile de întreținere și reparații – </w:t>
      </w:r>
      <w:r w:rsidR="00533BE3">
        <w:rPr>
          <w:rFonts w:ascii="Times New Roman" w:hAnsi="Times New Roman" w:cs="Times New Roman"/>
          <w:sz w:val="24"/>
          <w:szCs w:val="24"/>
          <w:lang w:val="ro-RO"/>
        </w:rPr>
        <w:t xml:space="preserve">de </w:t>
      </w:r>
      <w:r w:rsidR="00603DEA" w:rsidRPr="00650D66">
        <w:rPr>
          <w:rFonts w:ascii="Times New Roman" w:hAnsi="Times New Roman" w:cs="Times New Roman"/>
          <w:sz w:val="24"/>
          <w:szCs w:val="24"/>
          <w:lang w:val="ro-RO"/>
        </w:rPr>
        <w:t>10,4 mil. lei.</w:t>
      </w:r>
      <w:r w:rsidR="005D1438" w:rsidRPr="00650D66">
        <w:rPr>
          <w:rFonts w:ascii="Times New Roman" w:hAnsi="Times New Roman" w:cs="Times New Roman"/>
          <w:sz w:val="24"/>
          <w:szCs w:val="24"/>
          <w:lang w:val="ro-RO"/>
        </w:rPr>
        <w:t xml:space="preserve"> Majorările cheltuielilor au fost determinate de </w:t>
      </w:r>
      <w:r w:rsidR="00395726" w:rsidRPr="00650D66">
        <w:rPr>
          <w:rFonts w:ascii="Times New Roman" w:hAnsi="Times New Roman" w:cs="Times New Roman"/>
          <w:sz w:val="24"/>
          <w:szCs w:val="24"/>
          <w:lang w:val="ro-RO"/>
        </w:rPr>
        <w:t xml:space="preserve">cheltuielile executate pentru </w:t>
      </w:r>
      <w:r w:rsidR="00FE118E" w:rsidRPr="00650D66">
        <w:rPr>
          <w:rFonts w:ascii="Times New Roman" w:eastAsia="Times New Roman" w:hAnsi="Times New Roman" w:cs="Times New Roman"/>
          <w:sz w:val="24"/>
          <w:szCs w:val="24"/>
          <w:lang w:val="ro-RO"/>
        </w:rPr>
        <w:t>actualizarea sistemului de salarizare a angajaților BNM</w:t>
      </w:r>
      <w:r w:rsidR="00FE118E" w:rsidRPr="00650D66">
        <w:rPr>
          <w:rFonts w:ascii="Times New Roman" w:hAnsi="Times New Roman" w:cs="Times New Roman"/>
          <w:sz w:val="24"/>
          <w:szCs w:val="24"/>
          <w:lang w:val="ro-RO"/>
        </w:rPr>
        <w:t>/grilelor de salarizare</w:t>
      </w:r>
      <w:r w:rsidR="0068274B" w:rsidRPr="00650D66">
        <w:rPr>
          <w:rFonts w:ascii="Times New Roman" w:hAnsi="Times New Roman" w:cs="Times New Roman"/>
          <w:sz w:val="24"/>
          <w:szCs w:val="24"/>
          <w:lang w:val="ro-RO"/>
        </w:rPr>
        <w:t>,</w:t>
      </w:r>
      <w:r w:rsidR="00722F91" w:rsidRPr="00650D66">
        <w:rPr>
          <w:rFonts w:ascii="Times New Roman" w:hAnsi="Times New Roman" w:cs="Times New Roman"/>
          <w:sz w:val="24"/>
          <w:szCs w:val="24"/>
          <w:lang w:val="ro-RO"/>
        </w:rPr>
        <w:t xml:space="preserve"> contribuțiilor asigurărilor sociale, cheltuielilor de încălzire și</w:t>
      </w:r>
      <w:r w:rsidR="0068274B" w:rsidRPr="00650D66">
        <w:rPr>
          <w:rFonts w:ascii="Times New Roman" w:hAnsi="Times New Roman" w:cs="Times New Roman"/>
          <w:sz w:val="24"/>
          <w:szCs w:val="24"/>
          <w:lang w:val="ro-RO"/>
        </w:rPr>
        <w:t xml:space="preserve"> reparația clădirii BNM</w:t>
      </w:r>
      <w:r w:rsidR="00722F91" w:rsidRPr="00650D66">
        <w:rPr>
          <w:rFonts w:ascii="Times New Roman" w:hAnsi="Times New Roman" w:cs="Times New Roman"/>
          <w:sz w:val="24"/>
          <w:szCs w:val="24"/>
          <w:lang w:val="ro-RO"/>
        </w:rPr>
        <w:t xml:space="preserve"> și construcțiilor </w:t>
      </w:r>
      <w:r w:rsidR="00C552C2" w:rsidRPr="00650D66">
        <w:rPr>
          <w:rFonts w:ascii="Times New Roman" w:hAnsi="Times New Roman" w:cs="Times New Roman"/>
          <w:sz w:val="24"/>
          <w:szCs w:val="24"/>
          <w:lang w:val="ro-RO"/>
        </w:rPr>
        <w:t>auxiliare</w:t>
      </w:r>
      <w:r w:rsidR="0068274B" w:rsidRPr="00650D66">
        <w:rPr>
          <w:rFonts w:ascii="Times New Roman" w:hAnsi="Times New Roman" w:cs="Times New Roman"/>
          <w:sz w:val="24"/>
          <w:szCs w:val="24"/>
          <w:lang w:val="ro-RO"/>
        </w:rPr>
        <w:t xml:space="preserve"> în anul 2022.</w:t>
      </w:r>
      <w:r w:rsidR="00497E6C" w:rsidRPr="00650D66">
        <w:rPr>
          <w:rFonts w:ascii="Times New Roman" w:hAnsi="Times New Roman" w:cs="Times New Roman"/>
          <w:sz w:val="24"/>
          <w:szCs w:val="24"/>
          <w:lang w:val="ro-RO"/>
        </w:rPr>
        <w:t xml:space="preserve"> </w:t>
      </w:r>
    </w:p>
    <w:p w14:paraId="09919163" w14:textId="462632A3" w:rsidR="001D2BB4" w:rsidRDefault="0089040F" w:rsidP="004A5F7E">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Auditul menționează că, </w:t>
      </w:r>
      <w:r w:rsidR="0024725D" w:rsidRPr="00650D66">
        <w:rPr>
          <w:rFonts w:ascii="Times New Roman" w:hAnsi="Times New Roman" w:cs="Times New Roman"/>
          <w:sz w:val="24"/>
          <w:szCs w:val="24"/>
          <w:lang w:val="ro-RO"/>
        </w:rPr>
        <w:t xml:space="preserve">cheltuielile aprobate </w:t>
      </w:r>
      <w:r w:rsidR="00353946" w:rsidRPr="00650D66">
        <w:rPr>
          <w:rFonts w:ascii="Times New Roman" w:hAnsi="Times New Roman" w:cs="Times New Roman"/>
          <w:sz w:val="24"/>
          <w:szCs w:val="24"/>
          <w:lang w:val="ro-RO"/>
        </w:rPr>
        <w:t xml:space="preserve">inițial </w:t>
      </w:r>
      <w:r w:rsidR="0024725D" w:rsidRPr="00650D66">
        <w:rPr>
          <w:rFonts w:ascii="Times New Roman" w:hAnsi="Times New Roman" w:cs="Times New Roman"/>
          <w:sz w:val="24"/>
          <w:szCs w:val="24"/>
          <w:lang w:val="ro-RO"/>
        </w:rPr>
        <w:t xml:space="preserve">au fost rectificate </w:t>
      </w:r>
      <w:r w:rsidR="00533BE3" w:rsidRPr="00650D66">
        <w:rPr>
          <w:rFonts w:ascii="Times New Roman" w:hAnsi="Times New Roman" w:cs="Times New Roman"/>
          <w:sz w:val="24"/>
          <w:szCs w:val="24"/>
          <w:lang w:val="ro-RO"/>
        </w:rPr>
        <w:t xml:space="preserve">pe parcursul anului </w:t>
      </w:r>
      <w:r w:rsidR="00EA05B9" w:rsidRPr="00650D66">
        <w:rPr>
          <w:rFonts w:ascii="Times New Roman" w:hAnsi="Times New Roman" w:cs="Times New Roman"/>
          <w:sz w:val="24"/>
          <w:szCs w:val="24"/>
          <w:lang w:val="ro-RO"/>
        </w:rPr>
        <w:t xml:space="preserve">doar </w:t>
      </w:r>
      <w:r w:rsidR="00353946" w:rsidRPr="00650D66">
        <w:rPr>
          <w:rFonts w:ascii="Times New Roman" w:hAnsi="Times New Roman" w:cs="Times New Roman"/>
          <w:sz w:val="24"/>
          <w:szCs w:val="24"/>
          <w:lang w:val="ro-RO"/>
        </w:rPr>
        <w:t>între categorii</w:t>
      </w:r>
      <w:r w:rsidR="00533BE3">
        <w:rPr>
          <w:rFonts w:ascii="Times New Roman" w:hAnsi="Times New Roman" w:cs="Times New Roman"/>
          <w:sz w:val="24"/>
          <w:szCs w:val="24"/>
          <w:lang w:val="ro-RO"/>
        </w:rPr>
        <w:t>le</w:t>
      </w:r>
      <w:r w:rsidR="0024725D" w:rsidRPr="00650D66">
        <w:rPr>
          <w:rFonts w:ascii="Times New Roman" w:hAnsi="Times New Roman" w:cs="Times New Roman"/>
          <w:sz w:val="24"/>
          <w:szCs w:val="24"/>
          <w:lang w:val="ro-RO"/>
        </w:rPr>
        <w:t xml:space="preserve"> de cheltuieli</w:t>
      </w:r>
      <w:r w:rsidR="00533BE3">
        <w:rPr>
          <w:rFonts w:ascii="Times New Roman" w:hAnsi="Times New Roman" w:cs="Times New Roman"/>
          <w:sz w:val="24"/>
          <w:szCs w:val="24"/>
          <w:lang w:val="ro-RO"/>
        </w:rPr>
        <w:t>,</w:t>
      </w:r>
      <w:r w:rsidR="0024725D" w:rsidRPr="00650D66">
        <w:rPr>
          <w:rFonts w:ascii="Times New Roman" w:hAnsi="Times New Roman" w:cs="Times New Roman"/>
          <w:sz w:val="24"/>
          <w:szCs w:val="24"/>
          <w:lang w:val="ro-RO"/>
        </w:rPr>
        <w:t xml:space="preserve"> dar nu a fost influențată suma totală aprobată inițial.</w:t>
      </w:r>
      <w:r w:rsidR="00A005E6" w:rsidRPr="00650D66">
        <w:rPr>
          <w:rFonts w:ascii="Times New Roman" w:hAnsi="Times New Roman" w:cs="Times New Roman"/>
          <w:sz w:val="24"/>
          <w:szCs w:val="24"/>
          <w:lang w:val="ro-RO"/>
        </w:rPr>
        <w:t xml:space="preserve"> </w:t>
      </w:r>
      <w:r w:rsidR="003D6171" w:rsidRPr="00650D66">
        <w:rPr>
          <w:rFonts w:ascii="Times New Roman" w:hAnsi="Times New Roman" w:cs="Times New Roman"/>
          <w:sz w:val="24"/>
          <w:szCs w:val="24"/>
          <w:lang w:val="ro-RO"/>
        </w:rPr>
        <w:t>Totodată, m</w:t>
      </w:r>
      <w:r w:rsidR="00A005E6" w:rsidRPr="00650D66">
        <w:rPr>
          <w:rFonts w:ascii="Times New Roman" w:hAnsi="Times New Roman" w:cs="Times New Roman"/>
          <w:sz w:val="24"/>
          <w:szCs w:val="24"/>
          <w:lang w:val="ro-RO"/>
        </w:rPr>
        <w:t>odificarea sumelor la ni</w:t>
      </w:r>
      <w:r w:rsidR="00D17E73" w:rsidRPr="00650D66">
        <w:rPr>
          <w:rFonts w:ascii="Times New Roman" w:hAnsi="Times New Roman" w:cs="Times New Roman"/>
          <w:sz w:val="24"/>
          <w:szCs w:val="24"/>
          <w:lang w:val="ro-RO"/>
        </w:rPr>
        <w:t>vel de articol s-a efectuat</w:t>
      </w:r>
      <w:r w:rsidR="00A005E6" w:rsidRPr="00650D66">
        <w:rPr>
          <w:rFonts w:ascii="Times New Roman" w:hAnsi="Times New Roman" w:cs="Times New Roman"/>
          <w:sz w:val="24"/>
          <w:szCs w:val="24"/>
          <w:lang w:val="ro-RO"/>
        </w:rPr>
        <w:t xml:space="preserve"> prin decizia Consiliului de supraveghere.</w:t>
      </w:r>
    </w:p>
    <w:p w14:paraId="3083286F" w14:textId="42716B96" w:rsidR="00CA3736" w:rsidRPr="001D2BB4" w:rsidRDefault="00CA3736" w:rsidP="004A5F7E">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i/>
          <w:sz w:val="24"/>
          <w:szCs w:val="24"/>
          <w:lang w:val="ro-RO"/>
        </w:rPr>
        <w:t xml:space="preserve">În scopul achiziționării și modernizării fondului de imobilizări corporale și necorporale ale BNM, precum și </w:t>
      </w:r>
      <w:r w:rsidR="00107057">
        <w:rPr>
          <w:rFonts w:ascii="Times New Roman" w:hAnsi="Times New Roman" w:cs="Times New Roman"/>
          <w:i/>
          <w:sz w:val="24"/>
          <w:szCs w:val="24"/>
          <w:lang w:val="ro-RO"/>
        </w:rPr>
        <w:t>pe</w:t>
      </w:r>
      <w:r w:rsidRPr="00650D66">
        <w:rPr>
          <w:rFonts w:ascii="Times New Roman" w:hAnsi="Times New Roman" w:cs="Times New Roman"/>
          <w:i/>
          <w:sz w:val="24"/>
          <w:szCs w:val="24"/>
          <w:lang w:val="ro-RO"/>
        </w:rPr>
        <w:t xml:space="preserve">ntru asigurarea achiziționării unor lucrări și servicii, au fost aprobate </w:t>
      </w:r>
      <w:r w:rsidR="00632081" w:rsidRPr="00650D66">
        <w:rPr>
          <w:rFonts w:ascii="Times New Roman" w:hAnsi="Times New Roman" w:cs="Times New Roman"/>
          <w:i/>
          <w:sz w:val="24"/>
          <w:szCs w:val="24"/>
          <w:lang w:val="ro-RO"/>
        </w:rPr>
        <w:t>alocații pentru investiții, după cum urmează</w:t>
      </w:r>
      <w:r w:rsidRPr="00650D66">
        <w:rPr>
          <w:rFonts w:ascii="Times New Roman" w:hAnsi="Times New Roman" w:cs="Times New Roman"/>
          <w:i/>
          <w:sz w:val="24"/>
          <w:szCs w:val="24"/>
          <w:lang w:val="ro-RO"/>
        </w:rPr>
        <w:t>:</w:t>
      </w:r>
    </w:p>
    <w:p w14:paraId="32B2EDE7" w14:textId="77777777" w:rsidR="00CA3736" w:rsidRPr="00650D66" w:rsidRDefault="00CA3736" w:rsidP="004A5F7E">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anii 2019-</w:t>
      </w:r>
      <w:r w:rsidR="00942FAA" w:rsidRPr="00650D66">
        <w:rPr>
          <w:rFonts w:ascii="Times New Roman" w:hAnsi="Times New Roman" w:cs="Times New Roman"/>
          <w:sz w:val="24"/>
          <w:szCs w:val="24"/>
          <w:lang w:val="ro-RO"/>
        </w:rPr>
        <w:t>2021</w:t>
      </w:r>
      <w:r w:rsidR="00107057">
        <w:rPr>
          <w:rFonts w:ascii="Times New Roman" w:hAnsi="Times New Roman" w:cs="Times New Roman"/>
          <w:sz w:val="24"/>
          <w:szCs w:val="24"/>
          <w:lang w:val="ro-RO"/>
        </w:rPr>
        <w:t>,</w:t>
      </w:r>
      <w:r w:rsidR="00942FAA" w:rsidRPr="00650D66">
        <w:rPr>
          <w:rFonts w:ascii="Times New Roman" w:hAnsi="Times New Roman" w:cs="Times New Roman"/>
          <w:sz w:val="24"/>
          <w:szCs w:val="24"/>
          <w:lang w:val="ro-RO"/>
        </w:rPr>
        <w:t xml:space="preserve"> în sumă de 174,4 mil. lei,</w:t>
      </w:r>
      <w:r w:rsidR="00385E22"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pentru a fi achitate în anul 2019 – 23,2 mil. lei</w:t>
      </w:r>
      <w:r w:rsidR="00107057">
        <w:rPr>
          <w:rFonts w:ascii="Times New Roman" w:hAnsi="Times New Roman" w:cs="Times New Roman"/>
          <w:sz w:val="24"/>
          <w:szCs w:val="24"/>
          <w:lang w:val="ro-RO"/>
        </w:rPr>
        <w:t>,</w:t>
      </w:r>
      <w:r w:rsidR="00385E22" w:rsidRPr="00650D66">
        <w:rPr>
          <w:rFonts w:ascii="Times New Roman" w:hAnsi="Times New Roman" w:cs="Times New Roman"/>
          <w:sz w:val="24"/>
          <w:szCs w:val="24"/>
          <w:lang w:val="ro-RO"/>
        </w:rPr>
        <w:t xml:space="preserve"> din care au fost valorificate mijloace bănești în sumă de </w:t>
      </w:r>
      <w:r w:rsidR="00121890" w:rsidRPr="00650D66">
        <w:rPr>
          <w:rFonts w:ascii="Times New Roman" w:hAnsi="Times New Roman" w:cs="Times New Roman"/>
          <w:sz w:val="24"/>
          <w:szCs w:val="24"/>
          <w:lang w:val="ro-RO"/>
        </w:rPr>
        <w:t>13,8 mil. lei</w:t>
      </w:r>
      <w:r w:rsidR="00107057">
        <w:rPr>
          <w:rFonts w:ascii="Times New Roman" w:hAnsi="Times New Roman" w:cs="Times New Roman"/>
          <w:sz w:val="24"/>
          <w:szCs w:val="24"/>
          <w:lang w:val="ro-RO"/>
        </w:rPr>
        <w:t>,</w:t>
      </w:r>
      <w:r w:rsidR="00121890" w:rsidRPr="00650D66">
        <w:rPr>
          <w:rFonts w:ascii="Times New Roman" w:hAnsi="Times New Roman" w:cs="Times New Roman"/>
          <w:sz w:val="24"/>
          <w:szCs w:val="24"/>
          <w:lang w:val="ro-RO"/>
        </w:rPr>
        <w:t xml:space="preserve"> sau 59,5%;</w:t>
      </w:r>
    </w:p>
    <w:p w14:paraId="155D7B5E" w14:textId="77777777" w:rsidR="00CA3736" w:rsidRPr="00650D66" w:rsidRDefault="00CA3736" w:rsidP="00CA3736">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anii 2020-2021</w:t>
      </w:r>
      <w:r w:rsidR="0010705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în sumă de 160,8 mil. lei, pentru a fi achitate în anul 2020 – 46,5 mil. lei</w:t>
      </w:r>
      <w:r w:rsidR="00107057">
        <w:rPr>
          <w:rFonts w:ascii="Times New Roman" w:hAnsi="Times New Roman" w:cs="Times New Roman"/>
          <w:sz w:val="24"/>
          <w:szCs w:val="24"/>
          <w:lang w:val="ro-RO"/>
        </w:rPr>
        <w:t>,</w:t>
      </w:r>
      <w:r w:rsidR="00486B30" w:rsidRPr="00650D66">
        <w:rPr>
          <w:rFonts w:ascii="Times New Roman" w:hAnsi="Times New Roman" w:cs="Times New Roman"/>
          <w:sz w:val="24"/>
          <w:szCs w:val="24"/>
          <w:lang w:val="ro-RO"/>
        </w:rPr>
        <w:t xml:space="preserve"> din care au fost valorificate mijloace bănești în sumă de 11,8 mil. lei</w:t>
      </w:r>
      <w:r w:rsidR="00107057">
        <w:rPr>
          <w:rFonts w:ascii="Times New Roman" w:hAnsi="Times New Roman" w:cs="Times New Roman"/>
          <w:sz w:val="24"/>
          <w:szCs w:val="24"/>
          <w:lang w:val="ro-RO"/>
        </w:rPr>
        <w:t>,</w:t>
      </w:r>
      <w:r w:rsidR="00486B30" w:rsidRPr="00650D66">
        <w:rPr>
          <w:rFonts w:ascii="Times New Roman" w:hAnsi="Times New Roman" w:cs="Times New Roman"/>
          <w:sz w:val="24"/>
          <w:szCs w:val="24"/>
          <w:lang w:val="ro-RO"/>
        </w:rPr>
        <w:t xml:space="preserve"> sau 25,4%;</w:t>
      </w:r>
    </w:p>
    <w:p w14:paraId="3E528912" w14:textId="77777777" w:rsidR="00144F40" w:rsidRPr="00650D66" w:rsidRDefault="00144F40" w:rsidP="00CA3736">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anii 2021-</w:t>
      </w:r>
      <w:r w:rsidR="00942FAA" w:rsidRPr="00650D66">
        <w:rPr>
          <w:rFonts w:ascii="Times New Roman" w:hAnsi="Times New Roman" w:cs="Times New Roman"/>
          <w:sz w:val="24"/>
          <w:szCs w:val="24"/>
          <w:lang w:val="ro-RO"/>
        </w:rPr>
        <w:t>2022</w:t>
      </w:r>
      <w:r w:rsidR="00107057">
        <w:rPr>
          <w:rFonts w:ascii="Times New Roman" w:hAnsi="Times New Roman" w:cs="Times New Roman"/>
          <w:sz w:val="24"/>
          <w:szCs w:val="24"/>
          <w:lang w:val="ro-RO"/>
        </w:rPr>
        <w:t>,</w:t>
      </w:r>
      <w:r w:rsidR="00942FAA" w:rsidRPr="00650D66">
        <w:rPr>
          <w:rFonts w:ascii="Times New Roman" w:hAnsi="Times New Roman" w:cs="Times New Roman"/>
          <w:sz w:val="24"/>
          <w:szCs w:val="24"/>
          <w:lang w:val="ro-RO"/>
        </w:rPr>
        <w:t xml:space="preserve"> în sumă de 178,5 mil. lei,</w:t>
      </w:r>
      <w:r w:rsidR="00486B30"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pentru a fi achitate în anul 2021 – 76,9 mil. lei</w:t>
      </w:r>
      <w:r w:rsidR="00107057">
        <w:rPr>
          <w:rFonts w:ascii="Times New Roman" w:hAnsi="Times New Roman" w:cs="Times New Roman"/>
          <w:sz w:val="24"/>
          <w:szCs w:val="24"/>
          <w:lang w:val="ro-RO"/>
        </w:rPr>
        <w:t>,</w:t>
      </w:r>
      <w:r w:rsidR="00F3564D" w:rsidRPr="00650D66">
        <w:rPr>
          <w:rFonts w:ascii="Times New Roman" w:hAnsi="Times New Roman" w:cs="Times New Roman"/>
          <w:sz w:val="24"/>
          <w:szCs w:val="24"/>
          <w:lang w:val="ro-RO"/>
        </w:rPr>
        <w:t xml:space="preserve"> din care au fost valorificate mijloace bănești în sumă de 20,3 mil. lei</w:t>
      </w:r>
      <w:r w:rsidR="00107057">
        <w:rPr>
          <w:rFonts w:ascii="Times New Roman" w:hAnsi="Times New Roman" w:cs="Times New Roman"/>
          <w:sz w:val="24"/>
          <w:szCs w:val="24"/>
          <w:lang w:val="ro-RO"/>
        </w:rPr>
        <w:t>,</w:t>
      </w:r>
      <w:r w:rsidR="00F3564D" w:rsidRPr="00650D66">
        <w:rPr>
          <w:rFonts w:ascii="Times New Roman" w:hAnsi="Times New Roman" w:cs="Times New Roman"/>
          <w:sz w:val="24"/>
          <w:szCs w:val="24"/>
          <w:lang w:val="ro-RO"/>
        </w:rPr>
        <w:t xml:space="preserve"> sau 26,4%;</w:t>
      </w:r>
    </w:p>
    <w:p w14:paraId="7F615768" w14:textId="77777777" w:rsidR="002035D2" w:rsidRPr="00650D66" w:rsidRDefault="00144F40" w:rsidP="009E5EAA">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 </w:t>
      </w:r>
      <w:r w:rsidR="00A03E75" w:rsidRPr="00650D66">
        <w:rPr>
          <w:rFonts w:ascii="Times New Roman" w:hAnsi="Times New Roman" w:cs="Times New Roman"/>
          <w:sz w:val="24"/>
          <w:szCs w:val="24"/>
          <w:lang w:val="ro-RO"/>
        </w:rPr>
        <w:t>anii 2022-2027</w:t>
      </w:r>
      <w:r w:rsidR="00107057">
        <w:rPr>
          <w:rFonts w:ascii="Times New Roman" w:hAnsi="Times New Roman" w:cs="Times New Roman"/>
          <w:sz w:val="24"/>
          <w:szCs w:val="24"/>
          <w:lang w:val="ro-RO"/>
        </w:rPr>
        <w:t>,</w:t>
      </w:r>
      <w:r w:rsidR="00A03E75" w:rsidRPr="00650D66">
        <w:rPr>
          <w:rFonts w:ascii="Times New Roman" w:hAnsi="Times New Roman" w:cs="Times New Roman"/>
          <w:sz w:val="24"/>
          <w:szCs w:val="24"/>
          <w:lang w:val="ro-RO"/>
        </w:rPr>
        <w:t xml:space="preserve"> în sumă de 200,8 mil. lei,</w:t>
      </w:r>
      <w:r w:rsidR="00225DD5" w:rsidRPr="00650D66">
        <w:rPr>
          <w:rFonts w:ascii="Times New Roman" w:hAnsi="Times New Roman" w:cs="Times New Roman"/>
          <w:sz w:val="24"/>
          <w:szCs w:val="24"/>
          <w:lang w:val="ro-RO"/>
        </w:rPr>
        <w:t xml:space="preserve"> sau pe o perioadă de circa 6 ani,</w:t>
      </w:r>
      <w:r w:rsidR="00A03E75" w:rsidRPr="00650D66">
        <w:rPr>
          <w:rFonts w:ascii="Times New Roman" w:hAnsi="Times New Roman" w:cs="Times New Roman"/>
          <w:sz w:val="24"/>
          <w:szCs w:val="24"/>
          <w:lang w:val="ro-RO"/>
        </w:rPr>
        <w:t xml:space="preserve"> </w:t>
      </w:r>
      <w:r w:rsidR="00741114" w:rsidRPr="00650D66">
        <w:rPr>
          <w:rFonts w:ascii="Times New Roman" w:hAnsi="Times New Roman" w:cs="Times New Roman"/>
          <w:sz w:val="24"/>
          <w:szCs w:val="24"/>
          <w:lang w:val="ro-RO"/>
        </w:rPr>
        <w:t xml:space="preserve">iar </w:t>
      </w:r>
      <w:r w:rsidR="00A03E75" w:rsidRPr="00650D66">
        <w:rPr>
          <w:rFonts w:ascii="Times New Roman" w:hAnsi="Times New Roman" w:cs="Times New Roman"/>
          <w:sz w:val="24"/>
          <w:szCs w:val="24"/>
          <w:lang w:val="ro-RO"/>
        </w:rPr>
        <w:t>pentru a fi achitate în anul 2022 – 79,0 mil. lei</w:t>
      </w:r>
      <w:r w:rsidR="00107057">
        <w:rPr>
          <w:rFonts w:ascii="Times New Roman" w:hAnsi="Times New Roman" w:cs="Times New Roman"/>
          <w:sz w:val="24"/>
          <w:szCs w:val="24"/>
          <w:lang w:val="ro-RO"/>
        </w:rPr>
        <w:t>,</w:t>
      </w:r>
      <w:r w:rsidR="00A03E75" w:rsidRPr="00650D66">
        <w:rPr>
          <w:rFonts w:ascii="Times New Roman" w:hAnsi="Times New Roman" w:cs="Times New Roman"/>
          <w:sz w:val="24"/>
          <w:szCs w:val="24"/>
          <w:lang w:val="ro-RO"/>
        </w:rPr>
        <w:t xml:space="preserve"> din care au fost valorificate mijloace bănești în sumă de 32,3 mil. lei</w:t>
      </w:r>
      <w:r w:rsidR="00107057">
        <w:rPr>
          <w:rFonts w:ascii="Times New Roman" w:hAnsi="Times New Roman" w:cs="Times New Roman"/>
          <w:sz w:val="24"/>
          <w:szCs w:val="24"/>
          <w:lang w:val="ro-RO"/>
        </w:rPr>
        <w:t>,</w:t>
      </w:r>
      <w:r w:rsidR="00A03E75" w:rsidRPr="00650D66">
        <w:rPr>
          <w:rFonts w:ascii="Times New Roman" w:hAnsi="Times New Roman" w:cs="Times New Roman"/>
          <w:sz w:val="24"/>
          <w:szCs w:val="24"/>
          <w:lang w:val="ro-RO"/>
        </w:rPr>
        <w:t xml:space="preserve"> sau </w:t>
      </w:r>
      <w:r w:rsidR="009E5B46" w:rsidRPr="00650D66">
        <w:rPr>
          <w:rFonts w:ascii="Times New Roman" w:hAnsi="Times New Roman" w:cs="Times New Roman"/>
          <w:sz w:val="24"/>
          <w:szCs w:val="24"/>
          <w:lang w:val="ro-RO"/>
        </w:rPr>
        <w:t>40,9</w:t>
      </w:r>
      <w:r w:rsidR="00A03E75" w:rsidRPr="00650D66">
        <w:rPr>
          <w:rFonts w:ascii="Times New Roman" w:hAnsi="Times New Roman" w:cs="Times New Roman"/>
          <w:sz w:val="24"/>
          <w:szCs w:val="24"/>
          <w:lang w:val="ro-RO"/>
        </w:rPr>
        <w:t>%</w:t>
      </w:r>
      <w:r w:rsidR="003470A9" w:rsidRPr="00650D66">
        <w:rPr>
          <w:rFonts w:ascii="Times New Roman" w:hAnsi="Times New Roman" w:cs="Times New Roman"/>
          <w:sz w:val="24"/>
          <w:szCs w:val="24"/>
          <w:lang w:val="ro-RO"/>
        </w:rPr>
        <w:t xml:space="preserve">. </w:t>
      </w:r>
      <w:r w:rsidR="004A5F7E" w:rsidRPr="00650D66">
        <w:rPr>
          <w:rFonts w:ascii="Times New Roman" w:hAnsi="Times New Roman" w:cs="Times New Roman"/>
          <w:i/>
          <w:sz w:val="24"/>
          <w:szCs w:val="24"/>
          <w:lang w:val="ro-RO"/>
        </w:rPr>
        <w:t>Sinteza executării alocațiilor pentru investiții în perioada 2019-2022 se prezintă în Tabelul nr.2.</w:t>
      </w:r>
    </w:p>
    <w:p w14:paraId="0BFE976F" w14:textId="77777777" w:rsidR="003E0B34" w:rsidRDefault="003E0B34" w:rsidP="003E06A2">
      <w:pPr>
        <w:spacing w:after="0" w:line="276" w:lineRule="auto"/>
        <w:jc w:val="right"/>
        <w:rPr>
          <w:rFonts w:ascii="Times New Roman" w:hAnsi="Times New Roman" w:cs="Times New Roman"/>
          <w:i/>
          <w:sz w:val="24"/>
          <w:szCs w:val="24"/>
          <w:lang w:val="ro-RO"/>
        </w:rPr>
      </w:pPr>
    </w:p>
    <w:p w14:paraId="1488F67F" w14:textId="77777777" w:rsidR="003E0B34" w:rsidRDefault="003E0B34" w:rsidP="003E06A2">
      <w:pPr>
        <w:spacing w:after="0" w:line="276" w:lineRule="auto"/>
        <w:jc w:val="right"/>
        <w:rPr>
          <w:rFonts w:ascii="Times New Roman" w:hAnsi="Times New Roman" w:cs="Times New Roman"/>
          <w:i/>
          <w:sz w:val="24"/>
          <w:szCs w:val="24"/>
          <w:lang w:val="ro-RO"/>
        </w:rPr>
      </w:pPr>
    </w:p>
    <w:p w14:paraId="6B171AF4" w14:textId="77777777" w:rsidR="003E0B34" w:rsidRDefault="003E0B34" w:rsidP="003E06A2">
      <w:pPr>
        <w:spacing w:after="0" w:line="276" w:lineRule="auto"/>
        <w:jc w:val="right"/>
        <w:rPr>
          <w:rFonts w:ascii="Times New Roman" w:hAnsi="Times New Roman" w:cs="Times New Roman"/>
          <w:i/>
          <w:sz w:val="24"/>
          <w:szCs w:val="24"/>
          <w:lang w:val="ro-RO"/>
        </w:rPr>
      </w:pPr>
    </w:p>
    <w:p w14:paraId="0527CA93" w14:textId="79DCA865" w:rsidR="00590002" w:rsidRPr="00650D66" w:rsidRDefault="003E06A2" w:rsidP="003E0B34">
      <w:pPr>
        <w:spacing w:after="0" w:line="276" w:lineRule="auto"/>
        <w:jc w:val="right"/>
        <w:rPr>
          <w:rFonts w:ascii="Times New Roman" w:hAnsi="Times New Roman" w:cs="Times New Roman"/>
          <w:i/>
          <w:sz w:val="24"/>
          <w:szCs w:val="24"/>
          <w:lang w:val="ro-RO"/>
        </w:rPr>
      </w:pPr>
      <w:r w:rsidRPr="00650D66">
        <w:rPr>
          <w:rFonts w:ascii="Times New Roman" w:hAnsi="Times New Roman" w:cs="Times New Roman"/>
          <w:i/>
          <w:sz w:val="24"/>
          <w:szCs w:val="24"/>
          <w:lang w:val="ro-RO"/>
        </w:rPr>
        <w:lastRenderedPageBreak/>
        <w:t>Tabelul nr.2</w:t>
      </w:r>
    </w:p>
    <w:p w14:paraId="401DA228" w14:textId="548FCCD3" w:rsidR="00590002" w:rsidRDefault="003E06A2" w:rsidP="003E0B34">
      <w:pPr>
        <w:spacing w:after="0" w:line="276" w:lineRule="auto"/>
        <w:jc w:val="center"/>
        <w:rPr>
          <w:rFonts w:ascii="Times New Roman" w:hAnsi="Times New Roman" w:cs="Times New Roman"/>
          <w:b/>
          <w:sz w:val="24"/>
          <w:szCs w:val="24"/>
          <w:lang w:val="ro-RO"/>
        </w:rPr>
      </w:pPr>
      <w:r w:rsidRPr="00650D66">
        <w:rPr>
          <w:rFonts w:ascii="Times New Roman" w:hAnsi="Times New Roman" w:cs="Times New Roman"/>
          <w:b/>
          <w:sz w:val="24"/>
          <w:szCs w:val="24"/>
          <w:lang w:val="ro-RO"/>
        </w:rPr>
        <w:t>Sinteza executării alocațiilor pentru investiții în</w:t>
      </w:r>
      <w:r w:rsidR="00732A0E" w:rsidRPr="00650D66">
        <w:rPr>
          <w:rFonts w:ascii="Times New Roman" w:hAnsi="Times New Roman" w:cs="Times New Roman"/>
          <w:b/>
          <w:sz w:val="24"/>
          <w:szCs w:val="24"/>
          <w:lang w:val="ro-RO"/>
        </w:rPr>
        <w:t xml:space="preserve"> perioada</w:t>
      </w:r>
      <w:r w:rsidRPr="00650D66">
        <w:rPr>
          <w:rFonts w:ascii="Times New Roman" w:hAnsi="Times New Roman" w:cs="Times New Roman"/>
          <w:b/>
          <w:sz w:val="24"/>
          <w:szCs w:val="24"/>
          <w:lang w:val="ro-RO"/>
        </w:rPr>
        <w:t xml:space="preserve"> 2019-2022</w:t>
      </w:r>
    </w:p>
    <w:p w14:paraId="0BF69DE0" w14:textId="4F0CFB9D" w:rsidR="006F6B38" w:rsidRPr="00650D66" w:rsidRDefault="003E06A2" w:rsidP="003E06A2">
      <w:pPr>
        <w:spacing w:after="0" w:line="276" w:lineRule="auto"/>
        <w:jc w:val="right"/>
        <w:rPr>
          <w:rFonts w:ascii="Times New Roman" w:hAnsi="Times New Roman" w:cs="Times New Roman"/>
          <w:b/>
          <w:sz w:val="24"/>
          <w:szCs w:val="24"/>
          <w:lang w:val="ro-RO"/>
        </w:rPr>
      </w:pPr>
      <w:r w:rsidRPr="00650D66">
        <w:rPr>
          <w:rFonts w:ascii="Times New Roman" w:hAnsi="Times New Roman" w:cs="Times New Roman"/>
          <w:b/>
          <w:sz w:val="24"/>
          <w:szCs w:val="24"/>
          <w:lang w:val="ro-RO"/>
        </w:rPr>
        <w:t>(mil. lei)</w:t>
      </w:r>
    </w:p>
    <w:tbl>
      <w:tblPr>
        <w:tblStyle w:val="GridTable1Light"/>
        <w:tblW w:w="9867" w:type="dxa"/>
        <w:tblLayout w:type="fixed"/>
        <w:tblLook w:val="04A0" w:firstRow="1" w:lastRow="0" w:firstColumn="1" w:lastColumn="0" w:noHBand="0" w:noVBand="1"/>
      </w:tblPr>
      <w:tblGrid>
        <w:gridCol w:w="2263"/>
        <w:gridCol w:w="851"/>
        <w:gridCol w:w="869"/>
        <w:gridCol w:w="6"/>
        <w:gridCol w:w="1109"/>
        <w:gridCol w:w="992"/>
        <w:gridCol w:w="1048"/>
        <w:gridCol w:w="1078"/>
        <w:gridCol w:w="929"/>
        <w:gridCol w:w="714"/>
        <w:gridCol w:w="8"/>
      </w:tblGrid>
      <w:tr w:rsidR="00AA430E" w:rsidRPr="00650D66" w14:paraId="0843DC80" w14:textId="77777777" w:rsidTr="0072322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0F135725" w14:textId="77777777" w:rsidR="00AA430E" w:rsidRPr="00650D66" w:rsidRDefault="008D60DD" w:rsidP="008D60DD">
            <w:pPr>
              <w:pStyle w:val="NoSpacing"/>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Denumirea</w:t>
            </w:r>
          </w:p>
        </w:tc>
        <w:tc>
          <w:tcPr>
            <w:tcW w:w="851" w:type="dxa"/>
            <w:vAlign w:val="center"/>
            <w:hideMark/>
          </w:tcPr>
          <w:p w14:paraId="7402E5D4" w14:textId="77777777" w:rsidR="00AA430E" w:rsidRPr="00650D66" w:rsidRDefault="00AA430E" w:rsidP="00D32ECB">
            <w:pPr>
              <w:pStyle w:val="NoSpacing"/>
              <w:ind w:left="-108" w:right="-9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Planificat</w:t>
            </w:r>
            <w:r w:rsidRPr="00650D66">
              <w:rPr>
                <w:rFonts w:ascii="Times New Roman" w:hAnsi="Times New Roman" w:cs="Times New Roman"/>
                <w:sz w:val="20"/>
                <w:szCs w:val="20"/>
                <w:lang w:val="ro-RO"/>
              </w:rPr>
              <w:br/>
            </w:r>
            <w:r w:rsidRPr="00650D66">
              <w:rPr>
                <w:rFonts w:ascii="Times New Roman" w:hAnsi="Times New Roman" w:cs="Times New Roman"/>
                <w:b w:val="0"/>
                <w:i/>
                <w:iCs/>
                <w:color w:val="000000" w:themeColor="text1"/>
                <w:sz w:val="20"/>
                <w:szCs w:val="20"/>
                <w:lang w:val="ro-RO"/>
              </w:rPr>
              <w:t>rectificat</w:t>
            </w:r>
          </w:p>
        </w:tc>
        <w:tc>
          <w:tcPr>
            <w:tcW w:w="869" w:type="dxa"/>
            <w:vAlign w:val="center"/>
            <w:hideMark/>
          </w:tcPr>
          <w:p w14:paraId="2E37E97B" w14:textId="77777777" w:rsidR="00AA430E" w:rsidRPr="00650D66" w:rsidRDefault="00AA430E" w:rsidP="00EA104D">
            <w:pPr>
              <w:pStyle w:val="NoSpacing"/>
              <w:ind w:left="-87"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Executat 2019</w:t>
            </w:r>
          </w:p>
        </w:tc>
        <w:tc>
          <w:tcPr>
            <w:tcW w:w="1115" w:type="dxa"/>
            <w:gridSpan w:val="2"/>
            <w:vAlign w:val="center"/>
            <w:hideMark/>
          </w:tcPr>
          <w:p w14:paraId="3204EA14" w14:textId="77777777" w:rsidR="00AA430E" w:rsidRPr="00650D66" w:rsidRDefault="00AA430E" w:rsidP="00EA104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Planificat</w:t>
            </w:r>
            <w:r w:rsidRPr="00650D66">
              <w:rPr>
                <w:rFonts w:ascii="Times New Roman" w:hAnsi="Times New Roman" w:cs="Times New Roman"/>
                <w:sz w:val="20"/>
                <w:szCs w:val="20"/>
                <w:lang w:val="ro-RO"/>
              </w:rPr>
              <w:br/>
            </w:r>
            <w:r w:rsidRPr="00650D66">
              <w:rPr>
                <w:rFonts w:ascii="Times New Roman" w:hAnsi="Times New Roman" w:cs="Times New Roman"/>
                <w:b w:val="0"/>
                <w:i/>
                <w:iCs/>
                <w:color w:val="000000" w:themeColor="text1"/>
                <w:sz w:val="20"/>
                <w:szCs w:val="20"/>
                <w:lang w:val="ro-RO"/>
              </w:rPr>
              <w:t>rectificat</w:t>
            </w:r>
          </w:p>
        </w:tc>
        <w:tc>
          <w:tcPr>
            <w:tcW w:w="992" w:type="dxa"/>
            <w:vAlign w:val="center"/>
            <w:hideMark/>
          </w:tcPr>
          <w:p w14:paraId="0194C54E" w14:textId="77777777" w:rsidR="00AA430E" w:rsidRPr="00650D66" w:rsidRDefault="00AA430E" w:rsidP="00EA104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Executat 2020</w:t>
            </w:r>
          </w:p>
        </w:tc>
        <w:tc>
          <w:tcPr>
            <w:tcW w:w="1048" w:type="dxa"/>
            <w:vAlign w:val="center"/>
            <w:hideMark/>
          </w:tcPr>
          <w:p w14:paraId="4361F21D" w14:textId="77777777" w:rsidR="00AA430E" w:rsidRPr="00650D66" w:rsidRDefault="00AA430E" w:rsidP="00EA104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Planificat</w:t>
            </w:r>
            <w:r w:rsidRPr="00650D66">
              <w:rPr>
                <w:rFonts w:ascii="Times New Roman" w:hAnsi="Times New Roman" w:cs="Times New Roman"/>
                <w:sz w:val="20"/>
                <w:szCs w:val="20"/>
                <w:lang w:val="ro-RO"/>
              </w:rPr>
              <w:br/>
            </w:r>
            <w:r w:rsidRPr="00650D66">
              <w:rPr>
                <w:rFonts w:ascii="Times New Roman" w:hAnsi="Times New Roman" w:cs="Times New Roman"/>
                <w:b w:val="0"/>
                <w:i/>
                <w:iCs/>
                <w:color w:val="000000" w:themeColor="text1"/>
                <w:sz w:val="20"/>
                <w:szCs w:val="20"/>
                <w:lang w:val="ro-RO"/>
              </w:rPr>
              <w:t>rectificat</w:t>
            </w:r>
          </w:p>
        </w:tc>
        <w:tc>
          <w:tcPr>
            <w:tcW w:w="1078" w:type="dxa"/>
            <w:vAlign w:val="center"/>
            <w:hideMark/>
          </w:tcPr>
          <w:p w14:paraId="1F9225E5" w14:textId="77777777" w:rsidR="00AA430E" w:rsidRPr="00650D66" w:rsidRDefault="00AA430E" w:rsidP="00EA104D">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Executat 2021</w:t>
            </w:r>
          </w:p>
        </w:tc>
        <w:tc>
          <w:tcPr>
            <w:tcW w:w="929" w:type="dxa"/>
            <w:vAlign w:val="center"/>
            <w:hideMark/>
          </w:tcPr>
          <w:p w14:paraId="44C47B96" w14:textId="77777777" w:rsidR="00AA430E" w:rsidRPr="00650D66" w:rsidRDefault="00AA430E" w:rsidP="00EA104D">
            <w:pPr>
              <w:pStyle w:val="NoSpacing"/>
              <w:ind w:left="-318" w:right="-24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Planificat</w:t>
            </w:r>
            <w:r w:rsidRPr="00650D66">
              <w:rPr>
                <w:rFonts w:ascii="Times New Roman" w:hAnsi="Times New Roman" w:cs="Times New Roman"/>
                <w:sz w:val="20"/>
                <w:szCs w:val="20"/>
                <w:lang w:val="ro-RO"/>
              </w:rPr>
              <w:br/>
            </w:r>
            <w:r w:rsidRPr="00650D66">
              <w:rPr>
                <w:rFonts w:ascii="Times New Roman" w:hAnsi="Times New Roman" w:cs="Times New Roman"/>
                <w:b w:val="0"/>
                <w:i/>
                <w:iCs/>
                <w:color w:val="000000" w:themeColor="text1"/>
                <w:sz w:val="20"/>
                <w:szCs w:val="20"/>
                <w:lang w:val="ro-RO"/>
              </w:rPr>
              <w:t>rectificat</w:t>
            </w:r>
          </w:p>
        </w:tc>
        <w:tc>
          <w:tcPr>
            <w:tcW w:w="722" w:type="dxa"/>
            <w:gridSpan w:val="2"/>
            <w:vAlign w:val="center"/>
            <w:hideMark/>
          </w:tcPr>
          <w:p w14:paraId="40C60894" w14:textId="77777777" w:rsidR="00AA430E" w:rsidRPr="00650D66" w:rsidRDefault="00AA430E" w:rsidP="00EA104D">
            <w:pPr>
              <w:pStyle w:val="NoSpacing"/>
              <w:ind w:left="-249" w:right="-234" w:firstLine="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Executat 2022</w:t>
            </w:r>
          </w:p>
        </w:tc>
      </w:tr>
      <w:tr w:rsidR="00AA430E" w:rsidRPr="00650D66" w14:paraId="58AF3FDA" w14:textId="77777777" w:rsidTr="00723225">
        <w:trPr>
          <w:trHeight w:val="272"/>
        </w:trPr>
        <w:tc>
          <w:tcPr>
            <w:cnfStyle w:val="001000000000" w:firstRow="0" w:lastRow="0" w:firstColumn="1" w:lastColumn="0" w:oddVBand="0" w:evenVBand="0" w:oddHBand="0" w:evenHBand="0" w:firstRowFirstColumn="0" w:firstRowLastColumn="0" w:lastRowFirstColumn="0" w:lastRowLastColumn="0"/>
            <w:tcW w:w="2263" w:type="dxa"/>
            <w:hideMark/>
          </w:tcPr>
          <w:p w14:paraId="2E6EDFF6" w14:textId="77777777" w:rsidR="00AA430E" w:rsidRPr="00650D66" w:rsidRDefault="00AA430E" w:rsidP="00D32ECB">
            <w:pPr>
              <w:pStyle w:val="NoSpacing"/>
              <w:ind w:right="-144"/>
              <w:rPr>
                <w:rFonts w:ascii="Times New Roman" w:hAnsi="Times New Roman" w:cs="Times New Roman"/>
                <w:b w:val="0"/>
                <w:sz w:val="20"/>
                <w:szCs w:val="20"/>
                <w:lang w:val="ro-RO"/>
              </w:rPr>
            </w:pPr>
            <w:r w:rsidRPr="00650D66">
              <w:rPr>
                <w:rFonts w:ascii="Times New Roman" w:hAnsi="Times New Roman" w:cs="Times New Roman"/>
                <w:b w:val="0"/>
                <w:sz w:val="20"/>
                <w:szCs w:val="20"/>
                <w:lang w:val="ro-RO"/>
              </w:rPr>
              <w:t>Tehnică de calcul</w:t>
            </w:r>
          </w:p>
        </w:tc>
        <w:tc>
          <w:tcPr>
            <w:tcW w:w="851" w:type="dxa"/>
            <w:hideMark/>
          </w:tcPr>
          <w:p w14:paraId="6E92A274"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5,6</w:t>
            </w:r>
          </w:p>
        </w:tc>
        <w:tc>
          <w:tcPr>
            <w:tcW w:w="869" w:type="dxa"/>
            <w:hideMark/>
          </w:tcPr>
          <w:p w14:paraId="0A6F1DED"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3,7</w:t>
            </w:r>
          </w:p>
        </w:tc>
        <w:tc>
          <w:tcPr>
            <w:tcW w:w="1115" w:type="dxa"/>
            <w:gridSpan w:val="2"/>
            <w:hideMark/>
          </w:tcPr>
          <w:p w14:paraId="63DBC238"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4,0</w:t>
            </w:r>
          </w:p>
        </w:tc>
        <w:tc>
          <w:tcPr>
            <w:tcW w:w="992" w:type="dxa"/>
            <w:hideMark/>
          </w:tcPr>
          <w:p w14:paraId="00B6D63C"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3,9</w:t>
            </w:r>
          </w:p>
        </w:tc>
        <w:tc>
          <w:tcPr>
            <w:tcW w:w="1048" w:type="dxa"/>
            <w:hideMark/>
          </w:tcPr>
          <w:p w14:paraId="014560E4"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4,9</w:t>
            </w:r>
          </w:p>
        </w:tc>
        <w:tc>
          <w:tcPr>
            <w:tcW w:w="1078" w:type="dxa"/>
            <w:hideMark/>
          </w:tcPr>
          <w:p w14:paraId="5DA2BAEF"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3,1</w:t>
            </w:r>
          </w:p>
        </w:tc>
        <w:tc>
          <w:tcPr>
            <w:tcW w:w="929" w:type="dxa"/>
            <w:hideMark/>
          </w:tcPr>
          <w:p w14:paraId="46EA3954"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8,6</w:t>
            </w:r>
          </w:p>
        </w:tc>
        <w:tc>
          <w:tcPr>
            <w:tcW w:w="722" w:type="dxa"/>
            <w:gridSpan w:val="2"/>
            <w:hideMark/>
          </w:tcPr>
          <w:p w14:paraId="22A61639"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7,8</w:t>
            </w:r>
          </w:p>
        </w:tc>
      </w:tr>
      <w:tr w:rsidR="00AA430E" w:rsidRPr="00650D66" w14:paraId="56A60A4E" w14:textId="77777777" w:rsidTr="00723225">
        <w:trPr>
          <w:trHeight w:val="272"/>
        </w:trPr>
        <w:tc>
          <w:tcPr>
            <w:cnfStyle w:val="001000000000" w:firstRow="0" w:lastRow="0" w:firstColumn="1" w:lastColumn="0" w:oddVBand="0" w:evenVBand="0" w:oddHBand="0" w:evenHBand="0" w:firstRowFirstColumn="0" w:firstRowLastColumn="0" w:lastRowFirstColumn="0" w:lastRowLastColumn="0"/>
            <w:tcW w:w="2263" w:type="dxa"/>
            <w:hideMark/>
          </w:tcPr>
          <w:p w14:paraId="56318268" w14:textId="77777777" w:rsidR="00AA430E" w:rsidRPr="00991A75" w:rsidRDefault="00AA430E" w:rsidP="00D32ECB">
            <w:pPr>
              <w:pStyle w:val="NoSpacing"/>
              <w:rPr>
                <w:rFonts w:ascii="Times New Roman" w:hAnsi="Times New Roman" w:cs="Times New Roman"/>
                <w:b w:val="0"/>
                <w:sz w:val="20"/>
                <w:szCs w:val="20"/>
                <w:lang w:val="ro-RO"/>
              </w:rPr>
            </w:pPr>
            <w:r w:rsidRPr="00991A75">
              <w:rPr>
                <w:rFonts w:ascii="Times New Roman" w:hAnsi="Times New Roman" w:cs="Times New Roman"/>
                <w:b w:val="0"/>
                <w:sz w:val="20"/>
                <w:szCs w:val="20"/>
                <w:lang w:val="ro-RO"/>
              </w:rPr>
              <w:t>Produse programate</w:t>
            </w:r>
          </w:p>
        </w:tc>
        <w:tc>
          <w:tcPr>
            <w:tcW w:w="851" w:type="dxa"/>
            <w:hideMark/>
          </w:tcPr>
          <w:p w14:paraId="4464C56B" w14:textId="77777777" w:rsidR="00AA430E" w:rsidRPr="00991A75"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991A75">
              <w:rPr>
                <w:rFonts w:ascii="Times New Roman" w:hAnsi="Times New Roman" w:cs="Times New Roman"/>
                <w:sz w:val="20"/>
                <w:szCs w:val="20"/>
                <w:lang w:val="ro-RO"/>
              </w:rPr>
              <w:t>8,4</w:t>
            </w:r>
          </w:p>
        </w:tc>
        <w:tc>
          <w:tcPr>
            <w:tcW w:w="869" w:type="dxa"/>
            <w:hideMark/>
          </w:tcPr>
          <w:p w14:paraId="68F67A74"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6,2</w:t>
            </w:r>
          </w:p>
        </w:tc>
        <w:tc>
          <w:tcPr>
            <w:tcW w:w="1115" w:type="dxa"/>
            <w:gridSpan w:val="2"/>
            <w:hideMark/>
          </w:tcPr>
          <w:p w14:paraId="52C49326"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8,1</w:t>
            </w:r>
          </w:p>
        </w:tc>
        <w:tc>
          <w:tcPr>
            <w:tcW w:w="992" w:type="dxa"/>
            <w:hideMark/>
          </w:tcPr>
          <w:p w14:paraId="5A4DFEEE"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2,1</w:t>
            </w:r>
          </w:p>
        </w:tc>
        <w:tc>
          <w:tcPr>
            <w:tcW w:w="1048" w:type="dxa"/>
            <w:hideMark/>
          </w:tcPr>
          <w:p w14:paraId="7D39E067"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12,5</w:t>
            </w:r>
          </w:p>
        </w:tc>
        <w:tc>
          <w:tcPr>
            <w:tcW w:w="1078" w:type="dxa"/>
            <w:hideMark/>
          </w:tcPr>
          <w:p w14:paraId="3062B77F"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7,1</w:t>
            </w:r>
          </w:p>
        </w:tc>
        <w:tc>
          <w:tcPr>
            <w:tcW w:w="929" w:type="dxa"/>
            <w:hideMark/>
          </w:tcPr>
          <w:p w14:paraId="56264226"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9,9</w:t>
            </w:r>
          </w:p>
        </w:tc>
        <w:tc>
          <w:tcPr>
            <w:tcW w:w="722" w:type="dxa"/>
            <w:gridSpan w:val="2"/>
            <w:hideMark/>
          </w:tcPr>
          <w:p w14:paraId="14C4A2CB"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8,0</w:t>
            </w:r>
          </w:p>
        </w:tc>
      </w:tr>
      <w:tr w:rsidR="00AA430E" w:rsidRPr="00650D66" w14:paraId="1692AFD5" w14:textId="77777777" w:rsidTr="00723225">
        <w:trPr>
          <w:trHeight w:val="272"/>
        </w:trPr>
        <w:tc>
          <w:tcPr>
            <w:cnfStyle w:val="001000000000" w:firstRow="0" w:lastRow="0" w:firstColumn="1" w:lastColumn="0" w:oddVBand="0" w:evenVBand="0" w:oddHBand="0" w:evenHBand="0" w:firstRowFirstColumn="0" w:firstRowLastColumn="0" w:lastRowFirstColumn="0" w:lastRowLastColumn="0"/>
            <w:tcW w:w="2263" w:type="dxa"/>
            <w:hideMark/>
          </w:tcPr>
          <w:p w14:paraId="3AE633E5" w14:textId="77777777" w:rsidR="00AA430E" w:rsidRPr="00650D66" w:rsidRDefault="00AA430E" w:rsidP="00D32ECB">
            <w:pPr>
              <w:pStyle w:val="NoSpacing"/>
              <w:rPr>
                <w:rFonts w:ascii="Times New Roman" w:hAnsi="Times New Roman" w:cs="Times New Roman"/>
                <w:b w:val="0"/>
                <w:sz w:val="20"/>
                <w:szCs w:val="20"/>
                <w:lang w:val="ro-RO"/>
              </w:rPr>
            </w:pPr>
            <w:r w:rsidRPr="00650D66">
              <w:rPr>
                <w:rFonts w:ascii="Times New Roman" w:hAnsi="Times New Roman" w:cs="Times New Roman"/>
                <w:b w:val="0"/>
                <w:sz w:val="20"/>
                <w:szCs w:val="20"/>
                <w:lang w:val="ro-RO"/>
              </w:rPr>
              <w:t>Utilaj și echipament</w:t>
            </w:r>
          </w:p>
        </w:tc>
        <w:tc>
          <w:tcPr>
            <w:tcW w:w="851" w:type="dxa"/>
            <w:hideMark/>
          </w:tcPr>
          <w:p w14:paraId="2C619EB3"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0,3</w:t>
            </w:r>
          </w:p>
        </w:tc>
        <w:tc>
          <w:tcPr>
            <w:tcW w:w="869" w:type="dxa"/>
            <w:hideMark/>
          </w:tcPr>
          <w:p w14:paraId="38120FF2"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0,2</w:t>
            </w:r>
          </w:p>
        </w:tc>
        <w:tc>
          <w:tcPr>
            <w:tcW w:w="1115" w:type="dxa"/>
            <w:gridSpan w:val="2"/>
            <w:hideMark/>
          </w:tcPr>
          <w:p w14:paraId="27FA855E"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0,6</w:t>
            </w:r>
          </w:p>
        </w:tc>
        <w:tc>
          <w:tcPr>
            <w:tcW w:w="992" w:type="dxa"/>
            <w:hideMark/>
          </w:tcPr>
          <w:p w14:paraId="50DB2171"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0,1</w:t>
            </w:r>
          </w:p>
        </w:tc>
        <w:tc>
          <w:tcPr>
            <w:tcW w:w="1048" w:type="dxa"/>
            <w:hideMark/>
          </w:tcPr>
          <w:p w14:paraId="019ED208"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0,4</w:t>
            </w:r>
          </w:p>
        </w:tc>
        <w:tc>
          <w:tcPr>
            <w:tcW w:w="1078" w:type="dxa"/>
            <w:hideMark/>
          </w:tcPr>
          <w:p w14:paraId="44EC388D"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0,0</w:t>
            </w:r>
          </w:p>
        </w:tc>
        <w:tc>
          <w:tcPr>
            <w:tcW w:w="929" w:type="dxa"/>
            <w:hideMark/>
          </w:tcPr>
          <w:p w14:paraId="3542432E"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1,3</w:t>
            </w:r>
          </w:p>
        </w:tc>
        <w:tc>
          <w:tcPr>
            <w:tcW w:w="722" w:type="dxa"/>
            <w:gridSpan w:val="2"/>
            <w:hideMark/>
          </w:tcPr>
          <w:p w14:paraId="4A18055D"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0,5</w:t>
            </w:r>
          </w:p>
        </w:tc>
      </w:tr>
      <w:tr w:rsidR="00AA430E" w:rsidRPr="00650D66" w14:paraId="40D22973" w14:textId="77777777" w:rsidTr="00723225">
        <w:trPr>
          <w:trHeight w:val="213"/>
        </w:trPr>
        <w:tc>
          <w:tcPr>
            <w:cnfStyle w:val="001000000000" w:firstRow="0" w:lastRow="0" w:firstColumn="1" w:lastColumn="0" w:oddVBand="0" w:evenVBand="0" w:oddHBand="0" w:evenHBand="0" w:firstRowFirstColumn="0" w:firstRowLastColumn="0" w:lastRowFirstColumn="0" w:lastRowLastColumn="0"/>
            <w:tcW w:w="2263" w:type="dxa"/>
            <w:hideMark/>
          </w:tcPr>
          <w:p w14:paraId="14703933" w14:textId="77777777" w:rsidR="00AA430E" w:rsidRPr="00650D66" w:rsidRDefault="00AA430E" w:rsidP="00D32ECB">
            <w:pPr>
              <w:pStyle w:val="NoSpacing"/>
              <w:rPr>
                <w:rFonts w:ascii="Times New Roman" w:hAnsi="Times New Roman" w:cs="Times New Roman"/>
                <w:b w:val="0"/>
                <w:sz w:val="20"/>
                <w:szCs w:val="20"/>
                <w:lang w:val="ro-RO"/>
              </w:rPr>
            </w:pPr>
            <w:r w:rsidRPr="00650D66">
              <w:rPr>
                <w:rFonts w:ascii="Times New Roman" w:hAnsi="Times New Roman" w:cs="Times New Roman"/>
                <w:b w:val="0"/>
                <w:sz w:val="20"/>
                <w:szCs w:val="20"/>
                <w:lang w:val="ro-RO"/>
              </w:rPr>
              <w:t>Mijloace fixe de gospodărie</w:t>
            </w:r>
          </w:p>
        </w:tc>
        <w:tc>
          <w:tcPr>
            <w:tcW w:w="851" w:type="dxa"/>
            <w:hideMark/>
          </w:tcPr>
          <w:p w14:paraId="304F238F"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2,2</w:t>
            </w:r>
          </w:p>
        </w:tc>
        <w:tc>
          <w:tcPr>
            <w:tcW w:w="869" w:type="dxa"/>
            <w:hideMark/>
          </w:tcPr>
          <w:p w14:paraId="6713EA1B"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0,3</w:t>
            </w:r>
          </w:p>
        </w:tc>
        <w:tc>
          <w:tcPr>
            <w:tcW w:w="1115" w:type="dxa"/>
            <w:gridSpan w:val="2"/>
            <w:hideMark/>
          </w:tcPr>
          <w:p w14:paraId="020900C1"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3,3</w:t>
            </w:r>
          </w:p>
        </w:tc>
        <w:tc>
          <w:tcPr>
            <w:tcW w:w="992" w:type="dxa"/>
            <w:hideMark/>
          </w:tcPr>
          <w:p w14:paraId="2E6E91A7"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1,7</w:t>
            </w:r>
          </w:p>
        </w:tc>
        <w:tc>
          <w:tcPr>
            <w:tcW w:w="1048" w:type="dxa"/>
            <w:hideMark/>
          </w:tcPr>
          <w:p w14:paraId="62D68D95"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2,5</w:t>
            </w:r>
          </w:p>
        </w:tc>
        <w:tc>
          <w:tcPr>
            <w:tcW w:w="1078" w:type="dxa"/>
            <w:hideMark/>
          </w:tcPr>
          <w:p w14:paraId="5C027CC5"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0,3</w:t>
            </w:r>
          </w:p>
        </w:tc>
        <w:tc>
          <w:tcPr>
            <w:tcW w:w="929" w:type="dxa"/>
            <w:hideMark/>
          </w:tcPr>
          <w:p w14:paraId="66798421"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5,1</w:t>
            </w:r>
          </w:p>
        </w:tc>
        <w:tc>
          <w:tcPr>
            <w:tcW w:w="722" w:type="dxa"/>
            <w:gridSpan w:val="2"/>
            <w:hideMark/>
          </w:tcPr>
          <w:p w14:paraId="5ECEDBC6"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0,5</w:t>
            </w:r>
          </w:p>
        </w:tc>
      </w:tr>
      <w:tr w:rsidR="00AA430E" w:rsidRPr="00650D66" w14:paraId="47D8C455" w14:textId="77777777" w:rsidTr="00723225">
        <w:trPr>
          <w:trHeight w:val="432"/>
        </w:trPr>
        <w:tc>
          <w:tcPr>
            <w:cnfStyle w:val="001000000000" w:firstRow="0" w:lastRow="0" w:firstColumn="1" w:lastColumn="0" w:oddVBand="0" w:evenVBand="0" w:oddHBand="0" w:evenHBand="0" w:firstRowFirstColumn="0" w:firstRowLastColumn="0" w:lastRowFirstColumn="0" w:lastRowLastColumn="0"/>
            <w:tcW w:w="2263" w:type="dxa"/>
            <w:hideMark/>
          </w:tcPr>
          <w:p w14:paraId="598CF78B" w14:textId="77777777" w:rsidR="00AA430E" w:rsidRPr="00650D66" w:rsidRDefault="005E0331" w:rsidP="005E0331">
            <w:pPr>
              <w:pStyle w:val="NoSpacing"/>
              <w:ind w:right="-111"/>
              <w:rPr>
                <w:rFonts w:ascii="Times New Roman" w:hAnsi="Times New Roman" w:cs="Times New Roman"/>
                <w:b w:val="0"/>
                <w:sz w:val="20"/>
                <w:szCs w:val="20"/>
                <w:lang w:val="ro-RO"/>
              </w:rPr>
            </w:pPr>
            <w:r w:rsidRPr="00650D66">
              <w:rPr>
                <w:rFonts w:ascii="Times New Roman" w:hAnsi="Times New Roman" w:cs="Times New Roman"/>
                <w:b w:val="0"/>
                <w:sz w:val="20"/>
                <w:szCs w:val="20"/>
                <w:lang w:val="ro-RO"/>
              </w:rPr>
              <w:t xml:space="preserve">Lucrări de </w:t>
            </w:r>
            <w:r w:rsidR="00AA430E" w:rsidRPr="00650D66">
              <w:rPr>
                <w:rFonts w:ascii="Times New Roman" w:hAnsi="Times New Roman" w:cs="Times New Roman"/>
                <w:b w:val="0"/>
                <w:sz w:val="20"/>
                <w:szCs w:val="20"/>
                <w:lang w:val="ro-RO"/>
              </w:rPr>
              <w:t>reconstrucție, construcție</w:t>
            </w:r>
          </w:p>
        </w:tc>
        <w:tc>
          <w:tcPr>
            <w:tcW w:w="851" w:type="dxa"/>
            <w:hideMark/>
          </w:tcPr>
          <w:p w14:paraId="10017660"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0,1</w:t>
            </w:r>
          </w:p>
        </w:tc>
        <w:tc>
          <w:tcPr>
            <w:tcW w:w="869" w:type="dxa"/>
            <w:hideMark/>
          </w:tcPr>
          <w:p w14:paraId="2327036A"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0,0</w:t>
            </w:r>
          </w:p>
        </w:tc>
        <w:tc>
          <w:tcPr>
            <w:tcW w:w="1115" w:type="dxa"/>
            <w:gridSpan w:val="2"/>
            <w:hideMark/>
          </w:tcPr>
          <w:p w14:paraId="2ABAB860"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0,1</w:t>
            </w:r>
          </w:p>
        </w:tc>
        <w:tc>
          <w:tcPr>
            <w:tcW w:w="992" w:type="dxa"/>
            <w:hideMark/>
          </w:tcPr>
          <w:p w14:paraId="583FFD8F"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0,0</w:t>
            </w:r>
          </w:p>
        </w:tc>
        <w:tc>
          <w:tcPr>
            <w:tcW w:w="1048" w:type="dxa"/>
            <w:hideMark/>
          </w:tcPr>
          <w:p w14:paraId="29EF4A1E"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0,3</w:t>
            </w:r>
          </w:p>
        </w:tc>
        <w:tc>
          <w:tcPr>
            <w:tcW w:w="1078" w:type="dxa"/>
            <w:hideMark/>
          </w:tcPr>
          <w:p w14:paraId="5BFB1B57"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0,0</w:t>
            </w:r>
          </w:p>
        </w:tc>
        <w:tc>
          <w:tcPr>
            <w:tcW w:w="929" w:type="dxa"/>
            <w:hideMark/>
          </w:tcPr>
          <w:p w14:paraId="4B54CC85" w14:textId="77777777" w:rsidR="00AA430E" w:rsidRPr="00650D66" w:rsidRDefault="00ED38F3"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w:t>
            </w:r>
          </w:p>
        </w:tc>
        <w:tc>
          <w:tcPr>
            <w:tcW w:w="722" w:type="dxa"/>
            <w:gridSpan w:val="2"/>
            <w:hideMark/>
          </w:tcPr>
          <w:p w14:paraId="0F36E415" w14:textId="77777777" w:rsidR="00AA430E" w:rsidRPr="00650D66" w:rsidRDefault="00ED38F3"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w:t>
            </w:r>
          </w:p>
        </w:tc>
      </w:tr>
      <w:tr w:rsidR="00AA430E" w:rsidRPr="00650D66" w14:paraId="4C98771B" w14:textId="77777777" w:rsidTr="00723225">
        <w:trPr>
          <w:trHeight w:val="171"/>
        </w:trPr>
        <w:tc>
          <w:tcPr>
            <w:cnfStyle w:val="001000000000" w:firstRow="0" w:lastRow="0" w:firstColumn="1" w:lastColumn="0" w:oddVBand="0" w:evenVBand="0" w:oddHBand="0" w:evenHBand="0" w:firstRowFirstColumn="0" w:firstRowLastColumn="0" w:lastRowFirstColumn="0" w:lastRowLastColumn="0"/>
            <w:tcW w:w="2263" w:type="dxa"/>
            <w:hideMark/>
          </w:tcPr>
          <w:p w14:paraId="61F0CE63" w14:textId="77777777" w:rsidR="00AA430E" w:rsidRPr="00650D66" w:rsidRDefault="00AA430E" w:rsidP="00D32ECB">
            <w:pPr>
              <w:pStyle w:val="NoSpacing"/>
              <w:rPr>
                <w:rFonts w:ascii="Times New Roman" w:hAnsi="Times New Roman" w:cs="Times New Roman"/>
                <w:b w:val="0"/>
                <w:sz w:val="20"/>
                <w:szCs w:val="20"/>
                <w:lang w:val="ro-RO"/>
              </w:rPr>
            </w:pPr>
            <w:r w:rsidRPr="00650D66">
              <w:rPr>
                <w:rFonts w:ascii="Times New Roman" w:hAnsi="Times New Roman" w:cs="Times New Roman"/>
                <w:b w:val="0"/>
                <w:sz w:val="20"/>
                <w:szCs w:val="20"/>
                <w:lang w:val="ro-RO"/>
              </w:rPr>
              <w:t>Alte bunuri, servicii și lucrări</w:t>
            </w:r>
          </w:p>
        </w:tc>
        <w:tc>
          <w:tcPr>
            <w:tcW w:w="851" w:type="dxa"/>
            <w:hideMark/>
          </w:tcPr>
          <w:p w14:paraId="6E2AA02D"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6,6</w:t>
            </w:r>
          </w:p>
        </w:tc>
        <w:tc>
          <w:tcPr>
            <w:tcW w:w="869" w:type="dxa"/>
            <w:hideMark/>
          </w:tcPr>
          <w:p w14:paraId="744FD3FB"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3,4</w:t>
            </w:r>
          </w:p>
        </w:tc>
        <w:tc>
          <w:tcPr>
            <w:tcW w:w="1115" w:type="dxa"/>
            <w:gridSpan w:val="2"/>
            <w:hideMark/>
          </w:tcPr>
          <w:p w14:paraId="35844B48"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30,3</w:t>
            </w:r>
          </w:p>
        </w:tc>
        <w:tc>
          <w:tcPr>
            <w:tcW w:w="992" w:type="dxa"/>
            <w:hideMark/>
          </w:tcPr>
          <w:p w14:paraId="2F48CFD1"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4,1</w:t>
            </w:r>
          </w:p>
        </w:tc>
        <w:tc>
          <w:tcPr>
            <w:tcW w:w="1048" w:type="dxa"/>
            <w:hideMark/>
          </w:tcPr>
          <w:p w14:paraId="1759436B"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56,3</w:t>
            </w:r>
          </w:p>
        </w:tc>
        <w:tc>
          <w:tcPr>
            <w:tcW w:w="1078" w:type="dxa"/>
            <w:hideMark/>
          </w:tcPr>
          <w:p w14:paraId="567C2614"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9,7</w:t>
            </w:r>
          </w:p>
        </w:tc>
        <w:tc>
          <w:tcPr>
            <w:tcW w:w="929" w:type="dxa"/>
            <w:hideMark/>
          </w:tcPr>
          <w:p w14:paraId="73CDAEAB"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54,1</w:t>
            </w:r>
          </w:p>
        </w:tc>
        <w:tc>
          <w:tcPr>
            <w:tcW w:w="722" w:type="dxa"/>
            <w:gridSpan w:val="2"/>
            <w:hideMark/>
          </w:tcPr>
          <w:p w14:paraId="34B2DB6B"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ro-RO"/>
              </w:rPr>
            </w:pPr>
            <w:r w:rsidRPr="00650D66">
              <w:rPr>
                <w:rFonts w:ascii="Times New Roman" w:hAnsi="Times New Roman" w:cs="Times New Roman"/>
                <w:sz w:val="20"/>
                <w:szCs w:val="20"/>
                <w:lang w:val="ro-RO"/>
              </w:rPr>
              <w:t>15,5</w:t>
            </w:r>
          </w:p>
        </w:tc>
      </w:tr>
      <w:tr w:rsidR="00AA430E" w:rsidRPr="00650D66" w14:paraId="2CDC67AB" w14:textId="77777777" w:rsidTr="00723225">
        <w:trPr>
          <w:trHeight w:val="272"/>
        </w:trPr>
        <w:tc>
          <w:tcPr>
            <w:cnfStyle w:val="001000000000" w:firstRow="0" w:lastRow="0" w:firstColumn="1" w:lastColumn="0" w:oddVBand="0" w:evenVBand="0" w:oddHBand="0" w:evenHBand="0" w:firstRowFirstColumn="0" w:firstRowLastColumn="0" w:lastRowFirstColumn="0" w:lastRowLastColumn="0"/>
            <w:tcW w:w="2263" w:type="dxa"/>
            <w:hideMark/>
          </w:tcPr>
          <w:p w14:paraId="101E1B7B" w14:textId="77777777" w:rsidR="00AA430E" w:rsidRPr="00650D66" w:rsidRDefault="00AA430E" w:rsidP="00D32ECB">
            <w:pPr>
              <w:pStyle w:val="NoSpacing"/>
              <w:rPr>
                <w:rFonts w:ascii="Times New Roman" w:hAnsi="Times New Roman" w:cs="Times New Roman"/>
                <w:sz w:val="20"/>
                <w:szCs w:val="20"/>
                <w:lang w:val="ro-RO"/>
              </w:rPr>
            </w:pPr>
            <w:r w:rsidRPr="00650D66">
              <w:rPr>
                <w:rFonts w:ascii="Times New Roman" w:hAnsi="Times New Roman" w:cs="Times New Roman"/>
                <w:sz w:val="20"/>
                <w:szCs w:val="20"/>
                <w:lang w:val="ro-RO"/>
              </w:rPr>
              <w:t>Total</w:t>
            </w:r>
          </w:p>
        </w:tc>
        <w:tc>
          <w:tcPr>
            <w:tcW w:w="851" w:type="dxa"/>
            <w:hideMark/>
          </w:tcPr>
          <w:p w14:paraId="6E10FAE6"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RO"/>
              </w:rPr>
            </w:pPr>
            <w:r w:rsidRPr="00650D66">
              <w:rPr>
                <w:rFonts w:ascii="Times New Roman" w:hAnsi="Times New Roman" w:cs="Times New Roman"/>
                <w:b/>
                <w:sz w:val="20"/>
                <w:szCs w:val="20"/>
                <w:lang w:val="ro-RO"/>
              </w:rPr>
              <w:t>23,2</w:t>
            </w:r>
          </w:p>
        </w:tc>
        <w:tc>
          <w:tcPr>
            <w:tcW w:w="869" w:type="dxa"/>
            <w:hideMark/>
          </w:tcPr>
          <w:p w14:paraId="1C7632C2"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RO"/>
              </w:rPr>
            </w:pPr>
            <w:r w:rsidRPr="00650D66">
              <w:rPr>
                <w:rFonts w:ascii="Times New Roman" w:hAnsi="Times New Roman" w:cs="Times New Roman"/>
                <w:b/>
                <w:sz w:val="20"/>
                <w:szCs w:val="20"/>
                <w:lang w:val="ro-RO"/>
              </w:rPr>
              <w:t>13,8</w:t>
            </w:r>
          </w:p>
        </w:tc>
        <w:tc>
          <w:tcPr>
            <w:tcW w:w="1115" w:type="dxa"/>
            <w:gridSpan w:val="2"/>
            <w:hideMark/>
          </w:tcPr>
          <w:p w14:paraId="7D85F0D9"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RO"/>
              </w:rPr>
            </w:pPr>
            <w:r w:rsidRPr="00650D66">
              <w:rPr>
                <w:rFonts w:ascii="Times New Roman" w:hAnsi="Times New Roman" w:cs="Times New Roman"/>
                <w:b/>
                <w:sz w:val="20"/>
                <w:szCs w:val="20"/>
                <w:lang w:val="ro-RO"/>
              </w:rPr>
              <w:t>46,5</w:t>
            </w:r>
          </w:p>
        </w:tc>
        <w:tc>
          <w:tcPr>
            <w:tcW w:w="992" w:type="dxa"/>
            <w:hideMark/>
          </w:tcPr>
          <w:p w14:paraId="1675B3C3"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RO"/>
              </w:rPr>
            </w:pPr>
            <w:r w:rsidRPr="00650D66">
              <w:rPr>
                <w:rFonts w:ascii="Times New Roman" w:hAnsi="Times New Roman" w:cs="Times New Roman"/>
                <w:b/>
                <w:sz w:val="20"/>
                <w:szCs w:val="20"/>
                <w:lang w:val="ro-RO"/>
              </w:rPr>
              <w:t>11,8</w:t>
            </w:r>
          </w:p>
        </w:tc>
        <w:tc>
          <w:tcPr>
            <w:tcW w:w="1048" w:type="dxa"/>
            <w:hideMark/>
          </w:tcPr>
          <w:p w14:paraId="3C7E0E4A"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RO"/>
              </w:rPr>
            </w:pPr>
            <w:r w:rsidRPr="00650D66">
              <w:rPr>
                <w:rFonts w:ascii="Times New Roman" w:hAnsi="Times New Roman" w:cs="Times New Roman"/>
                <w:b/>
                <w:sz w:val="20"/>
                <w:szCs w:val="20"/>
                <w:lang w:val="ro-RO"/>
              </w:rPr>
              <w:t>76,9</w:t>
            </w:r>
          </w:p>
        </w:tc>
        <w:tc>
          <w:tcPr>
            <w:tcW w:w="1078" w:type="dxa"/>
            <w:hideMark/>
          </w:tcPr>
          <w:p w14:paraId="4AF70D8A"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RO"/>
              </w:rPr>
            </w:pPr>
            <w:r w:rsidRPr="00650D66">
              <w:rPr>
                <w:rFonts w:ascii="Times New Roman" w:hAnsi="Times New Roman" w:cs="Times New Roman"/>
                <w:b/>
                <w:sz w:val="20"/>
                <w:szCs w:val="20"/>
                <w:lang w:val="ro-RO"/>
              </w:rPr>
              <w:t>20,3</w:t>
            </w:r>
          </w:p>
        </w:tc>
        <w:tc>
          <w:tcPr>
            <w:tcW w:w="929" w:type="dxa"/>
            <w:hideMark/>
          </w:tcPr>
          <w:p w14:paraId="02CF4D1D"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RO"/>
              </w:rPr>
            </w:pPr>
            <w:r w:rsidRPr="00650D66">
              <w:rPr>
                <w:rFonts w:ascii="Times New Roman" w:hAnsi="Times New Roman" w:cs="Times New Roman"/>
                <w:b/>
                <w:sz w:val="20"/>
                <w:szCs w:val="20"/>
                <w:lang w:val="ro-RO"/>
              </w:rPr>
              <w:t>79,0</w:t>
            </w:r>
          </w:p>
        </w:tc>
        <w:tc>
          <w:tcPr>
            <w:tcW w:w="722" w:type="dxa"/>
            <w:gridSpan w:val="2"/>
            <w:hideMark/>
          </w:tcPr>
          <w:p w14:paraId="65CE0D2D" w14:textId="77777777" w:rsidR="00AA430E" w:rsidRPr="00650D66" w:rsidRDefault="00AA430E"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ro-RO"/>
              </w:rPr>
            </w:pPr>
            <w:r w:rsidRPr="00650D66">
              <w:rPr>
                <w:rFonts w:ascii="Times New Roman" w:hAnsi="Times New Roman" w:cs="Times New Roman"/>
                <w:b/>
                <w:sz w:val="20"/>
                <w:szCs w:val="20"/>
                <w:lang w:val="ro-RO"/>
              </w:rPr>
              <w:t>32,3</w:t>
            </w:r>
          </w:p>
        </w:tc>
      </w:tr>
      <w:tr w:rsidR="00EA104D" w:rsidRPr="00650D66" w14:paraId="7A77CA6F" w14:textId="77777777" w:rsidTr="00723225">
        <w:trPr>
          <w:gridAfter w:val="1"/>
          <w:wAfter w:w="8" w:type="dxa"/>
          <w:trHeight w:val="272"/>
        </w:trPr>
        <w:tc>
          <w:tcPr>
            <w:cnfStyle w:val="001000000000" w:firstRow="0" w:lastRow="0" w:firstColumn="1" w:lastColumn="0" w:oddVBand="0" w:evenVBand="0" w:oddHBand="0" w:evenHBand="0" w:firstRowFirstColumn="0" w:firstRowLastColumn="0" w:lastRowFirstColumn="0" w:lastRowLastColumn="0"/>
            <w:tcW w:w="2263" w:type="dxa"/>
            <w:shd w:val="clear" w:color="auto" w:fill="F2F2F2" w:themeFill="background1" w:themeFillShade="F2"/>
          </w:tcPr>
          <w:p w14:paraId="1E81E051" w14:textId="77777777" w:rsidR="00EA104D" w:rsidRPr="00650D66" w:rsidRDefault="00EA104D" w:rsidP="005E0331">
            <w:pPr>
              <w:pStyle w:val="NoSpacing"/>
              <w:ind w:right="-111"/>
              <w:rPr>
                <w:rFonts w:ascii="Times New Roman" w:hAnsi="Times New Roman" w:cs="Times New Roman"/>
                <w:b w:val="0"/>
                <w:bCs w:val="0"/>
                <w:sz w:val="20"/>
                <w:szCs w:val="20"/>
                <w:lang w:val="ro-RO"/>
              </w:rPr>
            </w:pPr>
            <w:r w:rsidRPr="00650D66">
              <w:rPr>
                <w:rFonts w:ascii="Times New Roman" w:hAnsi="Times New Roman" w:cs="Times New Roman"/>
                <w:i/>
                <w:sz w:val="20"/>
                <w:szCs w:val="20"/>
                <w:lang w:val="ro-RO"/>
              </w:rPr>
              <w:t>Nivelul de executare (%)</w:t>
            </w:r>
          </w:p>
        </w:tc>
        <w:tc>
          <w:tcPr>
            <w:tcW w:w="1726" w:type="dxa"/>
            <w:gridSpan w:val="3"/>
            <w:shd w:val="clear" w:color="auto" w:fill="F2F2F2" w:themeFill="background1" w:themeFillShade="F2"/>
          </w:tcPr>
          <w:p w14:paraId="77874B0E" w14:textId="77777777" w:rsidR="00EA104D" w:rsidRPr="00650D66" w:rsidRDefault="00EA104D"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59,5%</w:t>
            </w:r>
          </w:p>
        </w:tc>
        <w:tc>
          <w:tcPr>
            <w:tcW w:w="2101" w:type="dxa"/>
            <w:gridSpan w:val="2"/>
            <w:shd w:val="clear" w:color="auto" w:fill="F2F2F2" w:themeFill="background1" w:themeFillShade="F2"/>
          </w:tcPr>
          <w:p w14:paraId="1C574ACE" w14:textId="77777777" w:rsidR="00EA104D" w:rsidRPr="00650D66" w:rsidRDefault="00EA104D"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25,4%</w:t>
            </w:r>
          </w:p>
        </w:tc>
        <w:tc>
          <w:tcPr>
            <w:tcW w:w="2126" w:type="dxa"/>
            <w:gridSpan w:val="2"/>
            <w:shd w:val="clear" w:color="auto" w:fill="F2F2F2" w:themeFill="background1" w:themeFillShade="F2"/>
          </w:tcPr>
          <w:p w14:paraId="5BDD77E8" w14:textId="77777777" w:rsidR="00EA104D" w:rsidRPr="00650D66" w:rsidRDefault="00EA104D"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26,4%</w:t>
            </w:r>
          </w:p>
        </w:tc>
        <w:tc>
          <w:tcPr>
            <w:tcW w:w="1643" w:type="dxa"/>
            <w:gridSpan w:val="2"/>
            <w:shd w:val="clear" w:color="auto" w:fill="F2F2F2" w:themeFill="background1" w:themeFillShade="F2"/>
          </w:tcPr>
          <w:p w14:paraId="5A4DEC87" w14:textId="77777777" w:rsidR="00EA104D" w:rsidRPr="00650D66" w:rsidRDefault="00741114" w:rsidP="00EA104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40,9</w:t>
            </w:r>
            <w:r w:rsidR="00EA104D" w:rsidRPr="00650D66">
              <w:rPr>
                <w:rFonts w:ascii="Times New Roman" w:hAnsi="Times New Roman" w:cs="Times New Roman"/>
                <w:b/>
                <w:i/>
                <w:sz w:val="20"/>
                <w:szCs w:val="20"/>
                <w:lang w:val="ro-RO"/>
              </w:rPr>
              <w:t>%</w:t>
            </w:r>
          </w:p>
        </w:tc>
      </w:tr>
    </w:tbl>
    <w:p w14:paraId="609E0AE5" w14:textId="77777777" w:rsidR="00A46889" w:rsidRPr="00650D66" w:rsidRDefault="00A46889" w:rsidP="00A46889">
      <w:pPr>
        <w:jc w:val="both"/>
        <w:rPr>
          <w:rFonts w:ascii="Times New Roman" w:hAnsi="Times New Roman" w:cs="Times New Roman"/>
          <w:i/>
          <w:sz w:val="20"/>
          <w:szCs w:val="20"/>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b/>
          <w:sz w:val="20"/>
          <w:szCs w:val="20"/>
          <w:lang w:val="ro-RO"/>
        </w:rPr>
        <w:t xml:space="preserve"> </w:t>
      </w:r>
      <w:r w:rsidRPr="00650D66">
        <w:rPr>
          <w:rFonts w:ascii="Times New Roman" w:hAnsi="Times New Roman" w:cs="Times New Roman"/>
          <w:i/>
          <w:sz w:val="20"/>
          <w:szCs w:val="20"/>
          <w:lang w:val="ro-RO"/>
        </w:rPr>
        <w:t>Date generalizate de către echipa de audit în baza rapoartelor privind executarea devizelor de cheltuieli și alocațiilor pentru investiții pe anii 2019-2022.</w:t>
      </w:r>
    </w:p>
    <w:p w14:paraId="2A14D5B9" w14:textId="0E64113B" w:rsidR="00BE4A15" w:rsidRPr="00650D66" w:rsidRDefault="00225DD5" w:rsidP="000A2262">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Datele din tabel relevă valorificarea </w:t>
      </w:r>
      <w:r w:rsidR="00CF3637" w:rsidRPr="00650D66">
        <w:rPr>
          <w:rFonts w:ascii="Times New Roman" w:hAnsi="Times New Roman" w:cs="Times New Roman"/>
          <w:sz w:val="24"/>
          <w:szCs w:val="24"/>
          <w:lang w:val="ro-RO"/>
        </w:rPr>
        <w:t xml:space="preserve">la un nivel redus </w:t>
      </w:r>
      <w:r w:rsidR="00CF3637">
        <w:rPr>
          <w:rFonts w:ascii="Times New Roman" w:hAnsi="Times New Roman" w:cs="Times New Roman"/>
          <w:sz w:val="24"/>
          <w:szCs w:val="24"/>
          <w:lang w:val="ro-RO"/>
        </w:rPr>
        <w:t xml:space="preserve">a </w:t>
      </w:r>
      <w:r w:rsidRPr="00650D66">
        <w:rPr>
          <w:rFonts w:ascii="Times New Roman" w:hAnsi="Times New Roman" w:cs="Times New Roman"/>
          <w:sz w:val="24"/>
          <w:szCs w:val="24"/>
          <w:lang w:val="ro-RO"/>
        </w:rPr>
        <w:t xml:space="preserve">alocațiilor anuale de către BNM, </w:t>
      </w:r>
      <w:r w:rsidR="00FC092F" w:rsidRPr="00650D66">
        <w:rPr>
          <w:rFonts w:ascii="Times New Roman" w:hAnsi="Times New Roman" w:cs="Times New Roman"/>
          <w:sz w:val="24"/>
          <w:szCs w:val="24"/>
          <w:lang w:val="ro-RO"/>
        </w:rPr>
        <w:t>f</w:t>
      </w:r>
      <w:r w:rsidR="00CF3637">
        <w:rPr>
          <w:rFonts w:ascii="Times New Roman" w:hAnsi="Times New Roman" w:cs="Times New Roman"/>
          <w:sz w:val="24"/>
          <w:szCs w:val="24"/>
          <w:lang w:val="ro-RO"/>
        </w:rPr>
        <w:t>apt</w:t>
      </w:r>
      <w:r w:rsidRPr="00650D66">
        <w:rPr>
          <w:rFonts w:ascii="Times New Roman" w:hAnsi="Times New Roman" w:cs="Times New Roman"/>
          <w:sz w:val="24"/>
          <w:szCs w:val="24"/>
          <w:lang w:val="ro-RO"/>
        </w:rPr>
        <w:t xml:space="preserve"> condiționat </w:t>
      </w:r>
      <w:r w:rsidR="00CF3637">
        <w:rPr>
          <w:rFonts w:ascii="Times New Roman" w:hAnsi="Times New Roman" w:cs="Times New Roman"/>
          <w:sz w:val="24"/>
          <w:szCs w:val="24"/>
          <w:lang w:val="ro-RO"/>
        </w:rPr>
        <w:t>de</w:t>
      </w:r>
      <w:r w:rsidRPr="00650D66">
        <w:rPr>
          <w:rFonts w:ascii="Times New Roman" w:hAnsi="Times New Roman" w:cs="Times New Roman"/>
          <w:sz w:val="24"/>
          <w:szCs w:val="24"/>
          <w:lang w:val="ro-RO"/>
        </w:rPr>
        <w:t xml:space="preserve"> </w:t>
      </w:r>
      <w:r w:rsidR="000B126C" w:rsidRPr="00650D66">
        <w:rPr>
          <w:rFonts w:ascii="Times New Roman" w:hAnsi="Times New Roman" w:cs="Times New Roman"/>
          <w:sz w:val="24"/>
          <w:szCs w:val="24"/>
          <w:lang w:val="ro-RO"/>
        </w:rPr>
        <w:t xml:space="preserve">anularea sau </w:t>
      </w:r>
      <w:r w:rsidRPr="00650D66">
        <w:rPr>
          <w:rFonts w:ascii="Times New Roman" w:hAnsi="Times New Roman" w:cs="Times New Roman"/>
          <w:sz w:val="24"/>
          <w:szCs w:val="24"/>
          <w:lang w:val="ro-RO"/>
        </w:rPr>
        <w:t>tergiversarea procedurilor de achiziții</w:t>
      </w:r>
      <w:r w:rsidR="00F652B0" w:rsidRPr="00650D66">
        <w:rPr>
          <w:rFonts w:ascii="Times New Roman" w:hAnsi="Times New Roman" w:cs="Times New Roman"/>
          <w:sz w:val="24"/>
          <w:szCs w:val="24"/>
          <w:lang w:val="ro-RO"/>
        </w:rPr>
        <w:t xml:space="preserve"> </w:t>
      </w:r>
      <w:r w:rsidR="00353F4C">
        <w:rPr>
          <w:rFonts w:ascii="Times New Roman" w:hAnsi="Times New Roman" w:cs="Times New Roman"/>
          <w:sz w:val="24"/>
          <w:szCs w:val="24"/>
          <w:lang w:val="ro-RO"/>
        </w:rPr>
        <w:t>ori de</w:t>
      </w:r>
      <w:r w:rsidR="00F652B0" w:rsidRPr="00650D66">
        <w:rPr>
          <w:rFonts w:ascii="Times New Roman" w:hAnsi="Times New Roman" w:cs="Times New Roman"/>
          <w:sz w:val="24"/>
          <w:szCs w:val="24"/>
          <w:lang w:val="ro-RO"/>
        </w:rPr>
        <w:t xml:space="preserve"> alți factori </w:t>
      </w:r>
      <w:r w:rsidR="00FC048A" w:rsidRPr="00650D66">
        <w:rPr>
          <w:rFonts w:ascii="Times New Roman" w:hAnsi="Times New Roman" w:cs="Times New Roman"/>
          <w:sz w:val="24"/>
          <w:szCs w:val="24"/>
          <w:lang w:val="ro-RO"/>
        </w:rPr>
        <w:t>de temporizare care au intervenit în perioada de gestiune</w:t>
      </w:r>
      <w:r w:rsidR="00F652B0" w:rsidRPr="00650D66">
        <w:rPr>
          <w:rFonts w:ascii="Times New Roman" w:hAnsi="Times New Roman" w:cs="Times New Roman"/>
          <w:sz w:val="24"/>
          <w:szCs w:val="24"/>
          <w:lang w:val="ro-RO"/>
        </w:rPr>
        <w:t>.</w:t>
      </w:r>
      <w:r w:rsidR="00B16DF8" w:rsidRPr="00650D66">
        <w:rPr>
          <w:rFonts w:ascii="Times New Roman" w:hAnsi="Times New Roman" w:cs="Times New Roman"/>
          <w:sz w:val="24"/>
          <w:szCs w:val="24"/>
          <w:lang w:val="ro-RO"/>
        </w:rPr>
        <w:t xml:space="preserve"> </w:t>
      </w:r>
    </w:p>
    <w:p w14:paraId="7C57EE93" w14:textId="77777777" w:rsidR="001B62AD" w:rsidRPr="00650D66" w:rsidRDefault="001B62AD" w:rsidP="000A2262">
      <w:pPr>
        <w:spacing w:after="0" w:line="276" w:lineRule="auto"/>
        <w:jc w:val="both"/>
        <w:rPr>
          <w:rFonts w:ascii="Times New Roman" w:hAnsi="Times New Roman" w:cs="Times New Roman"/>
          <w:sz w:val="6"/>
          <w:szCs w:val="6"/>
          <w:lang w:val="ro-RO"/>
        </w:rPr>
      </w:pPr>
    </w:p>
    <w:p w14:paraId="44EFD45A" w14:textId="5BF7DBE1" w:rsidR="00BC53A0" w:rsidRPr="00650D66" w:rsidRDefault="00B16DF8" w:rsidP="00A069C4">
      <w:pPr>
        <w:spacing w:after="12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w:t>
      </w:r>
      <w:r w:rsidR="00175E96" w:rsidRPr="00650D66">
        <w:rPr>
          <w:rFonts w:ascii="Times New Roman" w:hAnsi="Times New Roman" w:cs="Times New Roman"/>
          <w:sz w:val="24"/>
          <w:szCs w:val="24"/>
          <w:lang w:val="ro-RO"/>
        </w:rPr>
        <w:t xml:space="preserve">ele mai semnificative creșteri la executarea </w:t>
      </w:r>
      <w:r w:rsidR="009D4FBF" w:rsidRPr="00650D66">
        <w:rPr>
          <w:rFonts w:ascii="Times New Roman" w:hAnsi="Times New Roman" w:cs="Times New Roman"/>
          <w:sz w:val="24"/>
          <w:szCs w:val="24"/>
          <w:lang w:val="ro-RO"/>
        </w:rPr>
        <w:t>alocațiilor pentru investiții</w:t>
      </w:r>
      <w:r w:rsidR="00175E96" w:rsidRPr="00650D66">
        <w:rPr>
          <w:rFonts w:ascii="Times New Roman" w:hAnsi="Times New Roman" w:cs="Times New Roman"/>
          <w:sz w:val="24"/>
          <w:szCs w:val="24"/>
          <w:lang w:val="ro-RO"/>
        </w:rPr>
        <w:t xml:space="preserve"> în anul 2022</w:t>
      </w:r>
      <w:r w:rsidR="00353F4C">
        <w:rPr>
          <w:rFonts w:ascii="Times New Roman" w:hAnsi="Times New Roman" w:cs="Times New Roman"/>
          <w:sz w:val="24"/>
          <w:szCs w:val="24"/>
          <w:lang w:val="ro-RO"/>
        </w:rPr>
        <w:t>,</w:t>
      </w:r>
      <w:r w:rsidR="00175E96" w:rsidRPr="00650D66">
        <w:rPr>
          <w:rFonts w:ascii="Times New Roman" w:hAnsi="Times New Roman" w:cs="Times New Roman"/>
          <w:sz w:val="24"/>
          <w:szCs w:val="24"/>
          <w:lang w:val="ro-RO"/>
        </w:rPr>
        <w:t xml:space="preserve"> față de anul 2019</w:t>
      </w:r>
      <w:r w:rsidR="00353F4C">
        <w:rPr>
          <w:rFonts w:ascii="Times New Roman" w:hAnsi="Times New Roman" w:cs="Times New Roman"/>
          <w:sz w:val="24"/>
          <w:szCs w:val="24"/>
          <w:lang w:val="ro-RO"/>
        </w:rPr>
        <w:t>,</w:t>
      </w:r>
      <w:r w:rsidR="00175E96" w:rsidRPr="00650D66">
        <w:rPr>
          <w:rFonts w:ascii="Times New Roman" w:hAnsi="Times New Roman" w:cs="Times New Roman"/>
          <w:sz w:val="24"/>
          <w:szCs w:val="24"/>
          <w:lang w:val="ro-RO"/>
        </w:rPr>
        <w:t xml:space="preserve"> se înregistrează la</w:t>
      </w:r>
      <w:r w:rsidRPr="00650D66">
        <w:rPr>
          <w:rFonts w:ascii="Times New Roman" w:hAnsi="Times New Roman" w:cs="Times New Roman"/>
          <w:sz w:val="24"/>
          <w:szCs w:val="24"/>
          <w:lang w:val="ro-RO"/>
        </w:rPr>
        <w:t xml:space="preserve"> alte bunuri, servicii și lucrări</w:t>
      </w:r>
      <w:r w:rsidR="00353F4C">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de 12,</w:t>
      </w:r>
      <w:r w:rsidR="00641FC5" w:rsidRPr="00650D66">
        <w:rPr>
          <w:rFonts w:ascii="Times New Roman" w:hAnsi="Times New Roman" w:cs="Times New Roman"/>
          <w:sz w:val="24"/>
          <w:szCs w:val="24"/>
          <w:lang w:val="ro-RO"/>
        </w:rPr>
        <w:t>1</w:t>
      </w:r>
      <w:r w:rsidRPr="00650D66">
        <w:rPr>
          <w:rFonts w:ascii="Times New Roman" w:hAnsi="Times New Roman" w:cs="Times New Roman"/>
          <w:sz w:val="24"/>
          <w:szCs w:val="24"/>
          <w:lang w:val="ro-RO"/>
        </w:rPr>
        <w:t xml:space="preserve"> mil. lei</w:t>
      </w:r>
      <w:r w:rsidR="00353F4C">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tehnică de calcul – </w:t>
      </w:r>
      <w:r w:rsidR="00353F4C">
        <w:rPr>
          <w:rFonts w:ascii="Times New Roman" w:hAnsi="Times New Roman" w:cs="Times New Roman"/>
          <w:sz w:val="24"/>
          <w:szCs w:val="24"/>
          <w:lang w:val="ro-RO"/>
        </w:rPr>
        <w:t xml:space="preserve">de </w:t>
      </w:r>
      <w:r w:rsidRPr="00650D66">
        <w:rPr>
          <w:rFonts w:ascii="Times New Roman" w:hAnsi="Times New Roman" w:cs="Times New Roman"/>
          <w:sz w:val="24"/>
          <w:szCs w:val="24"/>
          <w:lang w:val="ro-RO"/>
        </w:rPr>
        <w:t>4,1 mil. lei</w:t>
      </w:r>
      <w:r w:rsidR="00353F4C">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w:t>
      </w:r>
      <w:r w:rsidRPr="00AF25AE">
        <w:rPr>
          <w:rFonts w:ascii="Times New Roman" w:hAnsi="Times New Roman" w:cs="Times New Roman"/>
          <w:sz w:val="24"/>
          <w:szCs w:val="24"/>
          <w:lang w:val="ro-RO"/>
        </w:rPr>
        <w:t>la produse programate</w:t>
      </w:r>
      <w:r w:rsidR="002C556B" w:rsidRPr="00AF25AE">
        <w:rPr>
          <w:rFonts w:ascii="Times New Roman" w:hAnsi="Times New Roman" w:cs="Times New Roman"/>
          <w:sz w:val="24"/>
          <w:szCs w:val="24"/>
          <w:lang w:val="ro-RO"/>
        </w:rPr>
        <w:t xml:space="preserve"> </w:t>
      </w:r>
      <w:r w:rsidRPr="00AF25AE">
        <w:rPr>
          <w:rFonts w:ascii="Times New Roman" w:hAnsi="Times New Roman" w:cs="Times New Roman"/>
          <w:sz w:val="24"/>
          <w:szCs w:val="24"/>
          <w:lang w:val="ro-RO"/>
        </w:rPr>
        <w:t xml:space="preserve">– </w:t>
      </w:r>
      <w:r w:rsidR="00353F4C" w:rsidRPr="00AF25AE">
        <w:rPr>
          <w:rFonts w:ascii="Times New Roman" w:hAnsi="Times New Roman" w:cs="Times New Roman"/>
          <w:sz w:val="24"/>
          <w:szCs w:val="24"/>
          <w:lang w:val="ro-RO"/>
        </w:rPr>
        <w:t xml:space="preserve">de </w:t>
      </w:r>
      <w:r w:rsidRPr="00AF25AE">
        <w:rPr>
          <w:rFonts w:ascii="Times New Roman" w:hAnsi="Times New Roman" w:cs="Times New Roman"/>
          <w:sz w:val="24"/>
          <w:szCs w:val="24"/>
          <w:lang w:val="ro-RO"/>
        </w:rPr>
        <w:t>1,8 mil. lei.</w:t>
      </w:r>
      <w:r w:rsidR="00FC092F" w:rsidRPr="00AF25AE">
        <w:rPr>
          <w:rFonts w:ascii="Times New Roman" w:hAnsi="Times New Roman" w:cs="Times New Roman"/>
          <w:sz w:val="24"/>
          <w:szCs w:val="24"/>
          <w:lang w:val="ro-RO"/>
        </w:rPr>
        <w:t xml:space="preserve"> </w:t>
      </w:r>
      <w:r w:rsidR="00BE4A15" w:rsidRPr="00AF25AE">
        <w:rPr>
          <w:rFonts w:ascii="Times New Roman" w:hAnsi="Times New Roman" w:cs="Times New Roman"/>
          <w:i/>
          <w:sz w:val="24"/>
          <w:szCs w:val="24"/>
          <w:lang w:val="ro-RO"/>
        </w:rPr>
        <w:t>La alte bunuri, servicii și lucrări</w:t>
      </w:r>
      <w:r w:rsidR="00BE4A15" w:rsidRPr="00AF25AE">
        <w:rPr>
          <w:rFonts w:ascii="Times New Roman" w:hAnsi="Times New Roman" w:cs="Times New Roman"/>
          <w:sz w:val="24"/>
          <w:szCs w:val="24"/>
          <w:lang w:val="ro-RO"/>
        </w:rPr>
        <w:t xml:space="preserve"> au fost executate alocații pentru modernizarea </w:t>
      </w:r>
      <w:r w:rsidR="00101DA2" w:rsidRPr="00AF25AE">
        <w:rPr>
          <w:rFonts w:ascii="Times New Roman" w:hAnsi="Times New Roman" w:cs="Times New Roman"/>
          <w:sz w:val="24"/>
          <w:szCs w:val="24"/>
          <w:lang w:val="ro-RO"/>
        </w:rPr>
        <w:t>sistemului automatizat</w:t>
      </w:r>
      <w:r w:rsidR="00BE4A15" w:rsidRPr="00AF25AE">
        <w:rPr>
          <w:rFonts w:ascii="Times New Roman" w:hAnsi="Times New Roman" w:cs="Times New Roman"/>
          <w:sz w:val="24"/>
          <w:szCs w:val="24"/>
          <w:lang w:val="ro-RO"/>
        </w:rPr>
        <w:t xml:space="preserve"> de plăți interbancare </w:t>
      </w:r>
      <w:r w:rsidR="00101DA2" w:rsidRPr="00AF25AE">
        <w:rPr>
          <w:rFonts w:ascii="Times New Roman" w:hAnsi="Times New Roman" w:cs="Times New Roman"/>
          <w:sz w:val="24"/>
          <w:szCs w:val="24"/>
          <w:lang w:val="ro-RO"/>
        </w:rPr>
        <w:t>(</w:t>
      </w:r>
      <w:r w:rsidR="00BE4A15" w:rsidRPr="00AF25AE">
        <w:rPr>
          <w:rFonts w:ascii="Times New Roman" w:hAnsi="Times New Roman" w:cs="Times New Roman"/>
          <w:sz w:val="24"/>
          <w:szCs w:val="24"/>
          <w:lang w:val="ro-RO"/>
        </w:rPr>
        <w:t>SAPI</w:t>
      </w:r>
      <w:r w:rsidR="00101DA2" w:rsidRPr="00AF25AE">
        <w:rPr>
          <w:rFonts w:ascii="Times New Roman" w:hAnsi="Times New Roman" w:cs="Times New Roman"/>
          <w:sz w:val="24"/>
          <w:szCs w:val="24"/>
          <w:lang w:val="ro-RO"/>
        </w:rPr>
        <w:t>)</w:t>
      </w:r>
      <w:r w:rsidR="00BE4A15" w:rsidRPr="00AF25AE">
        <w:rPr>
          <w:rFonts w:ascii="Times New Roman" w:hAnsi="Times New Roman" w:cs="Times New Roman"/>
          <w:sz w:val="24"/>
          <w:szCs w:val="24"/>
          <w:lang w:val="ro-RO"/>
        </w:rPr>
        <w:t>, extinderea capacităților de infrastructură</w:t>
      </w:r>
      <w:r w:rsidR="00813315" w:rsidRPr="00AF25AE">
        <w:rPr>
          <w:rFonts w:ascii="Times New Roman" w:hAnsi="Times New Roman" w:cs="Times New Roman"/>
          <w:sz w:val="24"/>
          <w:szCs w:val="24"/>
          <w:lang w:val="ro-RO"/>
        </w:rPr>
        <w:t>, menținerea licențelor</w:t>
      </w:r>
      <w:r w:rsidR="00BE4A15" w:rsidRPr="00AF25AE">
        <w:rPr>
          <w:rFonts w:ascii="Times New Roman" w:hAnsi="Times New Roman" w:cs="Times New Roman"/>
          <w:sz w:val="24"/>
          <w:szCs w:val="24"/>
          <w:lang w:val="ro-RO"/>
        </w:rPr>
        <w:t xml:space="preserve"> etc.; </w:t>
      </w:r>
      <w:r w:rsidR="00BE4A15" w:rsidRPr="00AF25AE">
        <w:rPr>
          <w:rFonts w:ascii="Times New Roman" w:hAnsi="Times New Roman" w:cs="Times New Roman"/>
          <w:i/>
          <w:sz w:val="24"/>
          <w:szCs w:val="24"/>
          <w:lang w:val="ro-RO"/>
        </w:rPr>
        <w:t>la tehnica de calcul</w:t>
      </w:r>
      <w:r w:rsidR="00BE4A15" w:rsidRPr="00AF25AE">
        <w:rPr>
          <w:rFonts w:ascii="Times New Roman" w:hAnsi="Times New Roman" w:cs="Times New Roman"/>
          <w:sz w:val="24"/>
          <w:szCs w:val="24"/>
          <w:lang w:val="ro-RO"/>
        </w:rPr>
        <w:t xml:space="preserve"> – pentru platforme informatice, terminale mobile, stații de lucru etc.</w:t>
      </w:r>
      <w:r w:rsidR="005E64A3" w:rsidRPr="00AF25AE">
        <w:rPr>
          <w:rFonts w:ascii="Times New Roman" w:hAnsi="Times New Roman" w:cs="Times New Roman"/>
          <w:sz w:val="24"/>
          <w:szCs w:val="24"/>
          <w:lang w:val="ro-RO"/>
        </w:rPr>
        <w:t>,</w:t>
      </w:r>
      <w:r w:rsidR="00BE4A15" w:rsidRPr="00AF25AE">
        <w:rPr>
          <w:rFonts w:ascii="Times New Roman" w:hAnsi="Times New Roman" w:cs="Times New Roman"/>
          <w:sz w:val="24"/>
          <w:szCs w:val="24"/>
          <w:lang w:val="ro-RO"/>
        </w:rPr>
        <w:t xml:space="preserve"> și </w:t>
      </w:r>
      <w:r w:rsidR="00BE4A15" w:rsidRPr="00AF25AE">
        <w:rPr>
          <w:rFonts w:ascii="Times New Roman" w:hAnsi="Times New Roman" w:cs="Times New Roman"/>
          <w:i/>
          <w:sz w:val="24"/>
          <w:szCs w:val="24"/>
          <w:lang w:val="ro-RO"/>
        </w:rPr>
        <w:t>la produse programate</w:t>
      </w:r>
      <w:r w:rsidR="00BE4A15" w:rsidRPr="00AF25AE">
        <w:rPr>
          <w:rFonts w:ascii="Times New Roman" w:hAnsi="Times New Roman" w:cs="Times New Roman"/>
          <w:sz w:val="24"/>
          <w:szCs w:val="24"/>
          <w:lang w:val="ro-RO"/>
        </w:rPr>
        <w:t xml:space="preserve"> </w:t>
      </w:r>
      <w:r w:rsidR="005E64A3" w:rsidRPr="00AF25AE">
        <w:rPr>
          <w:rFonts w:ascii="Times New Roman" w:hAnsi="Times New Roman" w:cs="Times New Roman"/>
          <w:sz w:val="24"/>
          <w:szCs w:val="24"/>
          <w:lang w:val="ro-RO"/>
        </w:rPr>
        <w:t>–</w:t>
      </w:r>
      <w:r w:rsidR="00BE4A15" w:rsidRPr="00AF25AE">
        <w:rPr>
          <w:rFonts w:ascii="Times New Roman" w:hAnsi="Times New Roman" w:cs="Times New Roman"/>
          <w:sz w:val="24"/>
          <w:szCs w:val="24"/>
          <w:lang w:val="ro-RO"/>
        </w:rPr>
        <w:t xml:space="preserve"> pentru subscrieri anuale pentru </w:t>
      </w:r>
      <w:r w:rsidR="00CF3637" w:rsidRPr="00AF25AE">
        <w:rPr>
          <w:rFonts w:ascii="Times New Roman" w:hAnsi="Times New Roman" w:cs="Times New Roman"/>
          <w:sz w:val="24"/>
          <w:szCs w:val="24"/>
          <w:lang w:val="ro-RO"/>
        </w:rPr>
        <w:t>l</w:t>
      </w:r>
      <w:r w:rsidR="00BE4A15" w:rsidRPr="00AF25AE">
        <w:rPr>
          <w:rFonts w:ascii="Times New Roman" w:hAnsi="Times New Roman" w:cs="Times New Roman"/>
          <w:sz w:val="24"/>
          <w:szCs w:val="24"/>
          <w:lang w:val="ro-RO"/>
        </w:rPr>
        <w:t>icențe privind produse</w:t>
      </w:r>
      <w:r w:rsidR="005E64A3" w:rsidRPr="00AF25AE">
        <w:rPr>
          <w:rFonts w:ascii="Times New Roman" w:hAnsi="Times New Roman" w:cs="Times New Roman"/>
          <w:sz w:val="24"/>
          <w:szCs w:val="24"/>
          <w:lang w:val="ro-RO"/>
        </w:rPr>
        <w:t>le</w:t>
      </w:r>
      <w:r w:rsidR="00BE4A15" w:rsidRPr="00AF25AE">
        <w:rPr>
          <w:rFonts w:ascii="Times New Roman" w:hAnsi="Times New Roman" w:cs="Times New Roman"/>
          <w:sz w:val="24"/>
          <w:szCs w:val="24"/>
          <w:lang w:val="ro-RO"/>
        </w:rPr>
        <w:t xml:space="preserve"> Microsoft, soluții antivirus etc. </w:t>
      </w:r>
      <w:r w:rsidR="00085EBA" w:rsidRPr="00AF25AE">
        <w:rPr>
          <w:rFonts w:ascii="Times New Roman" w:hAnsi="Times New Roman" w:cs="Times New Roman"/>
          <w:i/>
          <w:sz w:val="24"/>
          <w:szCs w:val="24"/>
          <w:lang w:val="ro-RO"/>
        </w:rPr>
        <w:t>Informați</w:t>
      </w:r>
      <w:r w:rsidR="005E64A3" w:rsidRPr="00AF25AE">
        <w:rPr>
          <w:rFonts w:ascii="Times New Roman" w:hAnsi="Times New Roman" w:cs="Times New Roman"/>
          <w:i/>
          <w:sz w:val="24"/>
          <w:szCs w:val="24"/>
          <w:lang w:val="ro-RO"/>
        </w:rPr>
        <w:t>i</w:t>
      </w:r>
      <w:r w:rsidR="00085EBA" w:rsidRPr="00650D66">
        <w:rPr>
          <w:rFonts w:ascii="Times New Roman" w:hAnsi="Times New Roman" w:cs="Times New Roman"/>
          <w:i/>
          <w:sz w:val="24"/>
          <w:szCs w:val="24"/>
          <w:lang w:val="ro-RO"/>
        </w:rPr>
        <w:t xml:space="preserve"> detaliat</w:t>
      </w:r>
      <w:r w:rsidR="005E64A3">
        <w:rPr>
          <w:rFonts w:ascii="Times New Roman" w:hAnsi="Times New Roman" w:cs="Times New Roman"/>
          <w:i/>
          <w:sz w:val="24"/>
          <w:szCs w:val="24"/>
          <w:lang w:val="ro-RO"/>
        </w:rPr>
        <w:t>e</w:t>
      </w:r>
      <w:r w:rsidR="00085EBA" w:rsidRPr="00650D66">
        <w:rPr>
          <w:rFonts w:ascii="Times New Roman" w:hAnsi="Times New Roman" w:cs="Times New Roman"/>
          <w:i/>
          <w:sz w:val="24"/>
          <w:szCs w:val="24"/>
          <w:lang w:val="ro-RO"/>
        </w:rPr>
        <w:t xml:space="preserve"> privind planificarea și executarea alocațiilor pentru investiții se regăse</w:t>
      </w:r>
      <w:r w:rsidR="005E64A3">
        <w:rPr>
          <w:rFonts w:ascii="Times New Roman" w:hAnsi="Times New Roman" w:cs="Times New Roman"/>
          <w:i/>
          <w:sz w:val="24"/>
          <w:szCs w:val="24"/>
          <w:lang w:val="ro-RO"/>
        </w:rPr>
        <w:t>sc</w:t>
      </w:r>
      <w:r w:rsidR="00085EBA" w:rsidRPr="00650D66">
        <w:rPr>
          <w:rFonts w:ascii="Times New Roman" w:hAnsi="Times New Roman" w:cs="Times New Roman"/>
          <w:i/>
          <w:sz w:val="24"/>
          <w:szCs w:val="24"/>
          <w:lang w:val="ro-RO"/>
        </w:rPr>
        <w:t xml:space="preserve"> în </w:t>
      </w:r>
      <w:r w:rsidR="005E64A3">
        <w:rPr>
          <w:rFonts w:ascii="Times New Roman" w:hAnsi="Times New Roman" w:cs="Times New Roman"/>
          <w:i/>
          <w:sz w:val="24"/>
          <w:szCs w:val="24"/>
          <w:lang w:val="ro-RO"/>
        </w:rPr>
        <w:t>subcapitolul</w:t>
      </w:r>
      <w:r w:rsidR="005E64A3" w:rsidRPr="00650D66">
        <w:rPr>
          <w:rFonts w:ascii="Times New Roman" w:hAnsi="Times New Roman" w:cs="Times New Roman"/>
          <w:i/>
          <w:sz w:val="24"/>
          <w:szCs w:val="24"/>
          <w:lang w:val="ro-RO"/>
        </w:rPr>
        <w:t xml:space="preserve"> </w:t>
      </w:r>
      <w:r w:rsidR="00085EBA" w:rsidRPr="00650D66">
        <w:rPr>
          <w:rFonts w:ascii="Times New Roman" w:hAnsi="Times New Roman" w:cs="Times New Roman"/>
          <w:i/>
          <w:sz w:val="24"/>
          <w:szCs w:val="24"/>
          <w:lang w:val="ro-RO"/>
        </w:rPr>
        <w:t>4.2.1 a</w:t>
      </w:r>
      <w:r w:rsidR="005E64A3">
        <w:rPr>
          <w:rFonts w:ascii="Times New Roman" w:hAnsi="Times New Roman" w:cs="Times New Roman"/>
          <w:i/>
          <w:sz w:val="24"/>
          <w:szCs w:val="24"/>
          <w:lang w:val="ro-RO"/>
        </w:rPr>
        <w:t>l</w:t>
      </w:r>
      <w:r w:rsidR="00085EBA" w:rsidRPr="00650D66">
        <w:rPr>
          <w:rFonts w:ascii="Times New Roman" w:hAnsi="Times New Roman" w:cs="Times New Roman"/>
          <w:i/>
          <w:sz w:val="24"/>
          <w:szCs w:val="24"/>
          <w:lang w:val="ro-RO"/>
        </w:rPr>
        <w:t xml:space="preserve"> prezentul</w:t>
      </w:r>
      <w:r w:rsidR="005E64A3">
        <w:rPr>
          <w:rFonts w:ascii="Times New Roman" w:hAnsi="Times New Roman" w:cs="Times New Roman"/>
          <w:i/>
          <w:sz w:val="24"/>
          <w:szCs w:val="24"/>
          <w:lang w:val="ro-RO"/>
        </w:rPr>
        <w:t>ui</w:t>
      </w:r>
      <w:r w:rsidR="00085EBA" w:rsidRPr="00650D66">
        <w:rPr>
          <w:rFonts w:ascii="Times New Roman" w:hAnsi="Times New Roman" w:cs="Times New Roman"/>
          <w:i/>
          <w:sz w:val="24"/>
          <w:szCs w:val="24"/>
          <w:lang w:val="ro-RO"/>
        </w:rPr>
        <w:t xml:space="preserve"> Raport de audit.</w:t>
      </w:r>
    </w:p>
    <w:p w14:paraId="3FB260E7" w14:textId="6CA70437" w:rsidR="00A0407A" w:rsidRPr="00650D66" w:rsidRDefault="003D0E32" w:rsidP="00587E1C">
      <w:pPr>
        <w:pStyle w:val="Heading2"/>
        <w:spacing w:before="0" w:line="276" w:lineRule="auto"/>
        <w:jc w:val="both"/>
        <w:rPr>
          <w:rFonts w:ascii="Times New Roman" w:eastAsia="Times New Roman" w:hAnsi="Times New Roman" w:cs="Times New Roman"/>
          <w:b/>
          <w:color w:val="000000" w:themeColor="text1"/>
          <w:sz w:val="24"/>
          <w:szCs w:val="24"/>
          <w:lang w:val="ro-RO"/>
        </w:rPr>
      </w:pPr>
      <w:bookmarkStart w:id="7" w:name="_Toc159413634"/>
      <w:r w:rsidRPr="00650D66">
        <w:rPr>
          <w:rFonts w:ascii="Times New Roman" w:eastAsia="Times New Roman" w:hAnsi="Times New Roman" w:cs="Times New Roman"/>
          <w:b/>
          <w:color w:val="000000" w:themeColor="text1"/>
          <w:sz w:val="24"/>
          <w:szCs w:val="24"/>
          <w:lang w:val="ro-RO"/>
        </w:rPr>
        <w:t>2.4</w:t>
      </w:r>
      <w:r w:rsidR="002123E0" w:rsidRPr="00650D66">
        <w:rPr>
          <w:rFonts w:ascii="Times New Roman" w:eastAsia="Times New Roman" w:hAnsi="Times New Roman" w:cs="Times New Roman"/>
          <w:b/>
          <w:color w:val="000000" w:themeColor="text1"/>
          <w:sz w:val="24"/>
          <w:szCs w:val="24"/>
          <w:lang w:val="ro-RO"/>
        </w:rPr>
        <w:t xml:space="preserve"> </w:t>
      </w:r>
      <w:r w:rsidR="00D01C08" w:rsidRPr="00650D66">
        <w:rPr>
          <w:rFonts w:ascii="Times New Roman" w:hAnsi="Times New Roman" w:cs="Times New Roman"/>
          <w:b/>
          <w:color w:val="000000" w:themeColor="text1"/>
          <w:sz w:val="24"/>
          <w:szCs w:val="24"/>
          <w:lang w:val="ro-RO"/>
        </w:rPr>
        <w:t>P</w:t>
      </w:r>
      <w:r w:rsidR="00A0407A" w:rsidRPr="00650D66">
        <w:rPr>
          <w:rFonts w:ascii="Times New Roman" w:hAnsi="Times New Roman" w:cs="Times New Roman"/>
          <w:b/>
          <w:color w:val="000000" w:themeColor="text1"/>
          <w:sz w:val="24"/>
          <w:szCs w:val="24"/>
          <w:lang w:val="ro-RO"/>
        </w:rPr>
        <w:t xml:space="preserve">revederile Legii cu privire la BNM și </w:t>
      </w:r>
      <w:r w:rsidR="002123E0" w:rsidRPr="00650D66">
        <w:rPr>
          <w:rFonts w:ascii="Times New Roman" w:hAnsi="Times New Roman" w:cs="Times New Roman"/>
          <w:b/>
          <w:color w:val="000000" w:themeColor="text1"/>
          <w:sz w:val="24"/>
          <w:szCs w:val="24"/>
          <w:lang w:val="ro-RO"/>
        </w:rPr>
        <w:t>a</w:t>
      </w:r>
      <w:r w:rsidR="00CF3637">
        <w:rPr>
          <w:rFonts w:ascii="Times New Roman" w:hAnsi="Times New Roman" w:cs="Times New Roman"/>
          <w:b/>
          <w:color w:val="000000" w:themeColor="text1"/>
          <w:sz w:val="24"/>
          <w:szCs w:val="24"/>
          <w:lang w:val="ro-RO"/>
        </w:rPr>
        <w:t>le</w:t>
      </w:r>
      <w:r w:rsidR="002123E0" w:rsidRPr="00650D66">
        <w:rPr>
          <w:rFonts w:ascii="Times New Roman" w:hAnsi="Times New Roman" w:cs="Times New Roman"/>
          <w:b/>
          <w:color w:val="000000" w:themeColor="text1"/>
          <w:sz w:val="24"/>
          <w:szCs w:val="24"/>
          <w:lang w:val="ro-RO"/>
        </w:rPr>
        <w:t xml:space="preserve"> </w:t>
      </w:r>
      <w:r w:rsidR="00A0407A" w:rsidRPr="00650D66">
        <w:rPr>
          <w:rFonts w:ascii="Times New Roman" w:hAnsi="Times New Roman" w:cs="Times New Roman"/>
          <w:b/>
          <w:color w:val="000000" w:themeColor="text1"/>
          <w:sz w:val="24"/>
          <w:szCs w:val="24"/>
          <w:lang w:val="ro-RO"/>
        </w:rPr>
        <w:t>actel</w:t>
      </w:r>
      <w:r w:rsidR="002123E0" w:rsidRPr="00650D66">
        <w:rPr>
          <w:rFonts w:ascii="Times New Roman" w:hAnsi="Times New Roman" w:cs="Times New Roman"/>
          <w:b/>
          <w:color w:val="000000" w:themeColor="text1"/>
          <w:sz w:val="24"/>
          <w:szCs w:val="24"/>
          <w:lang w:val="ro-RO"/>
        </w:rPr>
        <w:t>or</w:t>
      </w:r>
      <w:r w:rsidR="00A0407A" w:rsidRPr="00650D66">
        <w:rPr>
          <w:rFonts w:ascii="Times New Roman" w:hAnsi="Times New Roman" w:cs="Times New Roman"/>
          <w:b/>
          <w:color w:val="000000" w:themeColor="text1"/>
          <w:sz w:val="24"/>
          <w:szCs w:val="24"/>
          <w:lang w:val="ro-RO"/>
        </w:rPr>
        <w:t xml:space="preserve"> normative interne aprobate cu privire la elaborarea și executarea</w:t>
      </w:r>
      <w:r w:rsidR="002123E0" w:rsidRPr="00650D66">
        <w:rPr>
          <w:rFonts w:ascii="Times New Roman" w:hAnsi="Times New Roman" w:cs="Times New Roman"/>
          <w:b/>
          <w:color w:val="000000" w:themeColor="text1"/>
          <w:sz w:val="24"/>
          <w:szCs w:val="24"/>
          <w:lang w:val="ro-RO"/>
        </w:rPr>
        <w:t xml:space="preserve"> </w:t>
      </w:r>
      <w:r w:rsidR="00A0407A" w:rsidRPr="00650D66">
        <w:rPr>
          <w:rFonts w:ascii="Times New Roman" w:hAnsi="Times New Roman" w:cs="Times New Roman"/>
          <w:b/>
          <w:color w:val="000000" w:themeColor="text1"/>
          <w:sz w:val="24"/>
          <w:szCs w:val="24"/>
          <w:lang w:val="ro-RO"/>
        </w:rPr>
        <w:t>bugetului BNM</w:t>
      </w:r>
      <w:bookmarkEnd w:id="7"/>
    </w:p>
    <w:p w14:paraId="393C6073" w14:textId="39CF995E" w:rsidR="003C187E" w:rsidRPr="00650D66" w:rsidRDefault="003C187E" w:rsidP="00587E1C">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Conform prevederilor art.27, alin.(1), lit. g) din Legea nr.</w:t>
      </w:r>
      <w:r w:rsidR="00E7602D">
        <w:rPr>
          <w:rFonts w:ascii="Times New Roman" w:hAnsi="Times New Roman" w:cs="Times New Roman"/>
          <w:sz w:val="24"/>
          <w:szCs w:val="24"/>
          <w:lang w:val="ro-RO"/>
        </w:rPr>
        <w:t>548</w:t>
      </w:r>
      <w:r w:rsidR="004A7EEE" w:rsidRPr="00650D66">
        <w:rPr>
          <w:rFonts w:ascii="Times New Roman" w:hAnsi="Times New Roman" w:cs="Times New Roman"/>
          <w:sz w:val="24"/>
          <w:szCs w:val="24"/>
          <w:lang w:val="ro-RO"/>
        </w:rPr>
        <w:t xml:space="preserve"> din 21.07.1995, </w:t>
      </w:r>
      <w:r w:rsidR="0027758D">
        <w:rPr>
          <w:rFonts w:ascii="Times New Roman" w:hAnsi="Times New Roman" w:cs="Times New Roman"/>
          <w:sz w:val="24"/>
          <w:szCs w:val="24"/>
          <w:lang w:val="ro-RO"/>
        </w:rPr>
        <w:t>Comitetul executiv</w:t>
      </w:r>
      <w:r w:rsidR="004A7EEE" w:rsidRPr="00650D66">
        <w:rPr>
          <w:rFonts w:ascii="Times New Roman" w:hAnsi="Times New Roman" w:cs="Times New Roman"/>
          <w:sz w:val="24"/>
          <w:szCs w:val="24"/>
          <w:lang w:val="ro-RO"/>
        </w:rPr>
        <w:t xml:space="preserve"> planifică activitatea curentă a BNM și adoptă reglementări interne cu privire la activitatea curentă a acesteia.</w:t>
      </w:r>
    </w:p>
    <w:p w14:paraId="5C4CF025" w14:textId="32D9937A" w:rsidR="00A0407A" w:rsidRPr="00650D66" w:rsidRDefault="00A0407A" w:rsidP="00587E1C">
      <w:pPr>
        <w:spacing w:after="0" w:line="276" w:lineRule="auto"/>
        <w:jc w:val="both"/>
        <w:rPr>
          <w:rFonts w:ascii="Times New Roman" w:hAnsi="Times New Roman" w:cs="Times New Roman"/>
          <w:i/>
          <w:sz w:val="24"/>
          <w:szCs w:val="24"/>
          <w:lang w:val="ro-RO"/>
        </w:rPr>
      </w:pPr>
      <w:r w:rsidRPr="00650D66">
        <w:rPr>
          <w:rFonts w:ascii="Times New Roman" w:hAnsi="Times New Roman" w:cs="Times New Roman"/>
          <w:sz w:val="24"/>
          <w:szCs w:val="24"/>
          <w:lang w:val="ro-RO"/>
        </w:rPr>
        <w:t>În conformitate cu preveder</w:t>
      </w:r>
      <w:r w:rsidR="00E7602D">
        <w:rPr>
          <w:rFonts w:ascii="Times New Roman" w:hAnsi="Times New Roman" w:cs="Times New Roman"/>
          <w:sz w:val="24"/>
          <w:szCs w:val="24"/>
          <w:lang w:val="ro-RO"/>
        </w:rPr>
        <w:t>ile art.21 din Legea nr.548</w:t>
      </w:r>
      <w:r w:rsidRPr="00650D66">
        <w:rPr>
          <w:rFonts w:ascii="Times New Roman" w:hAnsi="Times New Roman" w:cs="Times New Roman"/>
          <w:sz w:val="24"/>
          <w:szCs w:val="24"/>
          <w:lang w:val="ro-RO"/>
        </w:rPr>
        <w:t xml:space="preserve"> din 21.07.1995, BNM </w:t>
      </w:r>
      <w:r w:rsidR="00EE04C8">
        <w:rPr>
          <w:rFonts w:ascii="Times New Roman" w:hAnsi="Times New Roman" w:cs="Times New Roman"/>
          <w:sz w:val="24"/>
          <w:szCs w:val="24"/>
          <w:lang w:val="ro-RO"/>
        </w:rPr>
        <w:t>menționează</w:t>
      </w:r>
      <w:r w:rsidR="00EE04C8"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 xml:space="preserve">că a aprobat prin Hotărârea CE nr.88 din 05.11.2015 ,,Regulamentul privind elaborarea și executarea Bugetului BNM” (cu modificările ulterioare), însă prevederile Legii nu stipulează </w:t>
      </w:r>
      <w:r w:rsidR="00EE04C8">
        <w:rPr>
          <w:rFonts w:ascii="Times New Roman" w:hAnsi="Times New Roman" w:cs="Times New Roman"/>
          <w:sz w:val="24"/>
          <w:szCs w:val="24"/>
          <w:lang w:val="ro-RO"/>
        </w:rPr>
        <w:t>noțiunea de</w:t>
      </w:r>
      <w:r w:rsidRPr="00650D66">
        <w:rPr>
          <w:rFonts w:ascii="Times New Roman" w:hAnsi="Times New Roman" w:cs="Times New Roman"/>
          <w:sz w:val="24"/>
          <w:szCs w:val="24"/>
          <w:lang w:val="ro-RO"/>
        </w:rPr>
        <w:t xml:space="preserve"> ,,buget”</w:t>
      </w:r>
      <w:r w:rsidR="00EE04C8">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ci doar că </w:t>
      </w:r>
      <w:r w:rsidR="00EE04C8">
        <w:rPr>
          <w:rFonts w:ascii="Times New Roman" w:hAnsi="Times New Roman" w:cs="Times New Roman"/>
          <w:sz w:val="24"/>
          <w:szCs w:val="24"/>
          <w:lang w:val="ro-RO"/>
        </w:rPr>
        <w:t>„</w:t>
      </w:r>
      <w:r w:rsidRPr="00650D66">
        <w:rPr>
          <w:rFonts w:ascii="Times New Roman" w:hAnsi="Times New Roman" w:cs="Times New Roman"/>
          <w:i/>
          <w:sz w:val="24"/>
          <w:szCs w:val="24"/>
          <w:lang w:val="ro-RO"/>
        </w:rPr>
        <w:t xml:space="preserve">anual, toate cheltuielile administrative și investițiile capitale ale BNM se prevăd în devizul de cheltuieli și, respectiv, în alocațiile pentru investiții”. </w:t>
      </w:r>
      <w:r w:rsidRPr="00650D66">
        <w:rPr>
          <w:rFonts w:ascii="Times New Roman" w:hAnsi="Times New Roman" w:cs="Times New Roman"/>
          <w:sz w:val="24"/>
          <w:szCs w:val="24"/>
          <w:lang w:val="ro-RO"/>
        </w:rPr>
        <w:t>În acest sens, prin Hotărârea CS nr.5 din 23.12.2015</w:t>
      </w:r>
      <w:r w:rsidR="00EE04C8">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BNM a aprobat și ,,Regulamentul privind elaborarea și executarea devizului de cheltuieli și alocațiilor pentru investiții ale BNM”. Totodată, auditul denotă că în art.2 al Legii cu privire la BNM nu se definește nici noțiunea de </w:t>
      </w:r>
      <w:r w:rsidRPr="00650D66">
        <w:rPr>
          <w:rFonts w:ascii="Times New Roman" w:hAnsi="Times New Roman" w:cs="Times New Roman"/>
          <w:i/>
          <w:sz w:val="24"/>
          <w:szCs w:val="24"/>
          <w:lang w:val="ro-RO"/>
        </w:rPr>
        <w:t xml:space="preserve">,,buget”, </w:t>
      </w:r>
      <w:r w:rsidRPr="00650D66">
        <w:rPr>
          <w:rFonts w:ascii="Times New Roman" w:hAnsi="Times New Roman" w:cs="Times New Roman"/>
          <w:sz w:val="24"/>
          <w:szCs w:val="24"/>
          <w:lang w:val="ro-RO"/>
        </w:rPr>
        <w:t>nici noțiunea de</w:t>
      </w:r>
      <w:r w:rsidRPr="00650D66">
        <w:rPr>
          <w:rFonts w:ascii="Times New Roman" w:hAnsi="Times New Roman" w:cs="Times New Roman"/>
          <w:i/>
          <w:sz w:val="24"/>
          <w:szCs w:val="24"/>
          <w:lang w:val="ro-RO"/>
        </w:rPr>
        <w:t xml:space="preserve"> „deviz de cheltuieli”.</w:t>
      </w:r>
    </w:p>
    <w:p w14:paraId="0EA5A984" w14:textId="77777777" w:rsidR="00A0407A" w:rsidRPr="00650D66" w:rsidRDefault="00A0407A" w:rsidP="00A0407A">
      <w:pPr>
        <w:spacing w:after="12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Potrivit motivației BNM, reglementarea elaborării bugetului este pentru prognoza internă și bugetul conține ca parte obligatorie devizul de cheltuieli și alocațiile pentru investiții, fiind </w:t>
      </w:r>
      <w:r w:rsidRPr="00650D66">
        <w:rPr>
          <w:rFonts w:ascii="Times New Roman" w:hAnsi="Times New Roman" w:cs="Times New Roman"/>
          <w:sz w:val="24"/>
          <w:szCs w:val="24"/>
          <w:lang w:val="ro-RO"/>
        </w:rPr>
        <w:lastRenderedPageBreak/>
        <w:t>aprobate prin aceste două Regulamente divizate pentru buget și devizul de cheltuieli.</w:t>
      </w:r>
      <w:r w:rsidR="00875B3E" w:rsidRPr="00650D66">
        <w:rPr>
          <w:rFonts w:ascii="Times New Roman" w:hAnsi="Times New Roman" w:cs="Times New Roman"/>
          <w:sz w:val="24"/>
          <w:szCs w:val="24"/>
          <w:lang w:val="ro-RO"/>
        </w:rPr>
        <w:t xml:space="preserve"> </w:t>
      </w:r>
      <w:r w:rsidR="00A80536" w:rsidRPr="00650D66">
        <w:rPr>
          <w:rFonts w:ascii="Times New Roman" w:hAnsi="Times New Roman" w:cs="Times New Roman"/>
          <w:sz w:val="24"/>
          <w:szCs w:val="24"/>
          <w:lang w:val="ro-RO"/>
        </w:rPr>
        <w:t xml:space="preserve">Auditul </w:t>
      </w:r>
      <w:r w:rsidR="0041085E" w:rsidRPr="00650D66">
        <w:rPr>
          <w:rFonts w:ascii="Times New Roman" w:hAnsi="Times New Roman" w:cs="Times New Roman"/>
          <w:sz w:val="24"/>
          <w:szCs w:val="24"/>
          <w:lang w:val="ro-RO"/>
        </w:rPr>
        <w:t>a studiat</w:t>
      </w:r>
      <w:r w:rsidR="00A80536" w:rsidRPr="00650D66">
        <w:rPr>
          <w:rFonts w:ascii="Times New Roman" w:hAnsi="Times New Roman" w:cs="Times New Roman"/>
          <w:sz w:val="24"/>
          <w:szCs w:val="24"/>
          <w:lang w:val="ro-RO"/>
        </w:rPr>
        <w:t xml:space="preserve"> și bunele practici ale altor țări</w:t>
      </w:r>
      <w:r w:rsidR="00A80536" w:rsidRPr="00650D66">
        <w:rPr>
          <w:rStyle w:val="FootnoteReference"/>
          <w:rFonts w:ascii="Times New Roman" w:hAnsi="Times New Roman" w:cs="Times New Roman"/>
          <w:sz w:val="24"/>
          <w:szCs w:val="24"/>
          <w:lang w:val="ro-RO"/>
        </w:rPr>
        <w:footnoteReference w:id="14"/>
      </w:r>
      <w:r w:rsidR="00A80536" w:rsidRPr="00650D66">
        <w:rPr>
          <w:rFonts w:ascii="Times New Roman" w:hAnsi="Times New Roman" w:cs="Times New Roman"/>
          <w:sz w:val="24"/>
          <w:szCs w:val="24"/>
          <w:lang w:val="ro-RO"/>
        </w:rPr>
        <w:t>.</w:t>
      </w:r>
    </w:p>
    <w:p w14:paraId="0464D9EA" w14:textId="5FFB8DE1" w:rsidR="00A0407A" w:rsidRPr="00650D66" w:rsidRDefault="00A0407A" w:rsidP="00A0407A">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Regulamentul aprobat de către BNM, menționat mai sus, are ca scop definirea procedurii de elaborare, executare și raportare a bugetului BNM, inclusiv a devizului de cheltuieli și alocațiilor pentru investiții. Concomitent, prevederile Regulamentului permit</w:t>
      </w:r>
      <w:r w:rsidR="00EE04C8">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la necesitate</w:t>
      </w:r>
      <w:r w:rsidR="00EE04C8">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subdiviziunilor responsabile, în cazuri excepționale, planificarea cheltuielilor care nu se regăsesc în Regulament, dar derivă din activitatea curentă a BNM.</w:t>
      </w:r>
    </w:p>
    <w:p w14:paraId="2C0898E3" w14:textId="77777777" w:rsidR="00A0407A" w:rsidRPr="00650D66" w:rsidRDefault="00A0407A" w:rsidP="00A0407A">
      <w:pPr>
        <w:spacing w:after="0" w:line="276" w:lineRule="auto"/>
        <w:jc w:val="both"/>
        <w:rPr>
          <w:rFonts w:ascii="Times New Roman" w:hAnsi="Times New Roman" w:cs="Times New Roman"/>
          <w:sz w:val="6"/>
          <w:szCs w:val="6"/>
          <w:lang w:val="ro-RO"/>
        </w:rPr>
      </w:pPr>
    </w:p>
    <w:p w14:paraId="60DDFCC0" w14:textId="6413C86A" w:rsidR="00A0407A" w:rsidRPr="00650D66" w:rsidRDefault="00A0407A" w:rsidP="00A0407A">
      <w:pPr>
        <w:spacing w:after="0" w:line="276" w:lineRule="auto"/>
        <w:jc w:val="both"/>
        <w:rPr>
          <w:rFonts w:ascii="Times New Roman" w:hAnsi="Times New Roman" w:cs="Times New Roman"/>
          <w:i/>
          <w:sz w:val="24"/>
          <w:szCs w:val="24"/>
          <w:lang w:val="ro-RO"/>
        </w:rPr>
      </w:pPr>
      <w:r w:rsidRPr="00650D66">
        <w:rPr>
          <w:rFonts w:ascii="Times New Roman" w:hAnsi="Times New Roman" w:cs="Times New Roman"/>
          <w:sz w:val="24"/>
          <w:szCs w:val="24"/>
          <w:lang w:val="ro-RO"/>
        </w:rPr>
        <w:t xml:space="preserve">În lipsa definirii noțiunii de ,,buget” în Legea cu privire la BNM, conform Regulamentului menționat mai sus, noțiunea </w:t>
      </w:r>
      <w:r w:rsidR="00EE04C8">
        <w:rPr>
          <w:rFonts w:ascii="Times New Roman" w:hAnsi="Times New Roman" w:cs="Times New Roman"/>
          <w:sz w:val="24"/>
          <w:szCs w:val="24"/>
          <w:lang w:val="ro-RO"/>
        </w:rPr>
        <w:t>respectivă</w:t>
      </w:r>
      <w:r w:rsidRPr="00650D66">
        <w:rPr>
          <w:rFonts w:ascii="Times New Roman" w:hAnsi="Times New Roman" w:cs="Times New Roman"/>
          <w:sz w:val="24"/>
          <w:szCs w:val="24"/>
          <w:lang w:val="ro-RO"/>
        </w:rPr>
        <w:t xml:space="preserve"> este definită astfel</w:t>
      </w:r>
      <w:r w:rsidR="00EE04C8">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w:t>
      </w:r>
      <w:r w:rsidR="00EE04C8">
        <w:rPr>
          <w:rFonts w:ascii="Times New Roman" w:hAnsi="Times New Roman" w:cs="Times New Roman"/>
          <w:i/>
          <w:sz w:val="24"/>
          <w:szCs w:val="24"/>
          <w:lang w:val="ro-RO"/>
        </w:rPr>
        <w:t>„</w:t>
      </w:r>
      <w:r w:rsidRPr="00650D66">
        <w:rPr>
          <w:rFonts w:ascii="Times New Roman" w:hAnsi="Times New Roman" w:cs="Times New Roman"/>
          <w:i/>
          <w:sz w:val="24"/>
          <w:szCs w:val="24"/>
          <w:lang w:val="ro-RO"/>
        </w:rPr>
        <w:t xml:space="preserve">o previziune detaliată a veniturilor, cheltuielilor și alocațiilor pentru investiții, pe o perioadă determinată de timp și care servește ca instrument esențial pentru gestionarea activității </w:t>
      </w:r>
      <w:proofErr w:type="spellStart"/>
      <w:r w:rsidRPr="00650D66">
        <w:rPr>
          <w:rFonts w:ascii="Times New Roman" w:hAnsi="Times New Roman" w:cs="Times New Roman"/>
          <w:i/>
          <w:sz w:val="24"/>
          <w:szCs w:val="24"/>
          <w:lang w:val="ro-RO"/>
        </w:rPr>
        <w:t>economico</w:t>
      </w:r>
      <w:proofErr w:type="spellEnd"/>
      <w:r w:rsidRPr="00650D66">
        <w:rPr>
          <w:rFonts w:ascii="Times New Roman" w:hAnsi="Times New Roman" w:cs="Times New Roman"/>
          <w:i/>
          <w:sz w:val="24"/>
          <w:szCs w:val="24"/>
          <w:lang w:val="ro-RO"/>
        </w:rPr>
        <w:t>-financiar</w:t>
      </w:r>
      <w:r w:rsidR="00EE04C8">
        <w:rPr>
          <w:rFonts w:ascii="Times New Roman" w:hAnsi="Times New Roman" w:cs="Times New Roman"/>
          <w:i/>
          <w:sz w:val="24"/>
          <w:szCs w:val="24"/>
          <w:lang w:val="ro-RO"/>
        </w:rPr>
        <w:t>e</w:t>
      </w:r>
      <w:r w:rsidRPr="00650D66">
        <w:rPr>
          <w:rFonts w:ascii="Times New Roman" w:hAnsi="Times New Roman" w:cs="Times New Roman"/>
          <w:i/>
          <w:sz w:val="24"/>
          <w:szCs w:val="24"/>
          <w:lang w:val="ro-RO"/>
        </w:rPr>
        <w:t xml:space="preserve"> a BNM”. </w:t>
      </w:r>
      <w:r w:rsidRPr="00650D66">
        <w:rPr>
          <w:rFonts w:ascii="Times New Roman" w:hAnsi="Times New Roman" w:cs="Times New Roman"/>
          <w:sz w:val="24"/>
          <w:szCs w:val="24"/>
          <w:lang w:val="ro-RO"/>
        </w:rPr>
        <w:t xml:space="preserve">Totodată, procesul de planificare a bugetului pe parcursul anului cuprinde două etape: </w:t>
      </w:r>
      <w:r w:rsidRPr="00650D66">
        <w:rPr>
          <w:rFonts w:ascii="Times New Roman" w:hAnsi="Times New Roman" w:cs="Times New Roman"/>
          <w:i/>
          <w:sz w:val="24"/>
          <w:szCs w:val="24"/>
          <w:lang w:val="ro-RO"/>
        </w:rPr>
        <w:t>(i)</w:t>
      </w:r>
      <w:r w:rsidRPr="00650D66">
        <w:rPr>
          <w:rFonts w:ascii="Times New Roman" w:hAnsi="Times New Roman" w:cs="Times New Roman"/>
          <w:sz w:val="24"/>
          <w:szCs w:val="24"/>
          <w:lang w:val="ro-RO"/>
        </w:rPr>
        <w:t xml:space="preserve"> elaborarea bugetului pe termen mediu pentru următorii 3 ani; </w:t>
      </w:r>
      <w:r w:rsidRPr="00650D66">
        <w:rPr>
          <w:rFonts w:ascii="Times New Roman" w:hAnsi="Times New Roman" w:cs="Times New Roman"/>
          <w:i/>
          <w:sz w:val="24"/>
          <w:szCs w:val="24"/>
          <w:lang w:val="ro-RO"/>
        </w:rPr>
        <w:t>(ii)</w:t>
      </w:r>
      <w:r w:rsidRPr="00650D66">
        <w:rPr>
          <w:rFonts w:ascii="Times New Roman" w:hAnsi="Times New Roman" w:cs="Times New Roman"/>
          <w:sz w:val="24"/>
          <w:szCs w:val="24"/>
          <w:lang w:val="ro-RO"/>
        </w:rPr>
        <w:t xml:space="preserve"> elaborarea bugetului anual al BNM.</w:t>
      </w:r>
    </w:p>
    <w:p w14:paraId="3F364C1C" w14:textId="77777777" w:rsidR="00A0407A" w:rsidRPr="00650D66" w:rsidRDefault="00A0407A" w:rsidP="00A0407A">
      <w:pPr>
        <w:spacing w:after="0" w:line="276" w:lineRule="auto"/>
        <w:jc w:val="both"/>
        <w:rPr>
          <w:rFonts w:ascii="Times New Roman" w:hAnsi="Times New Roman" w:cs="Times New Roman"/>
          <w:sz w:val="6"/>
          <w:szCs w:val="6"/>
          <w:lang w:val="ro-RO"/>
        </w:rPr>
      </w:pPr>
    </w:p>
    <w:p w14:paraId="21129967" w14:textId="233D1DFC" w:rsidR="00A0407A" w:rsidRPr="00650D66" w:rsidRDefault="00A0407A" w:rsidP="00A0407A">
      <w:pPr>
        <w:spacing w:after="12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acest context, conform reglementărilor interne ale BNM</w:t>
      </w:r>
      <w:r w:rsidR="00EE04C8">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în atribuțiile de bază ale Departamentului buget, finanțe și contabilitate se regăsește doar elaborarea bugetului BNM, urmărirea, analiza și raportarea asupra executării acestuia și perfectarea Situațiilor financiare ale BNM. Totodată, în atribuțiile de bază a</w:t>
      </w:r>
      <w:r w:rsidR="00EE04C8">
        <w:rPr>
          <w:rFonts w:ascii="Times New Roman" w:hAnsi="Times New Roman" w:cs="Times New Roman"/>
          <w:sz w:val="24"/>
          <w:szCs w:val="24"/>
          <w:lang w:val="ro-RO"/>
        </w:rPr>
        <w:t>le</w:t>
      </w:r>
      <w:r w:rsidRPr="00650D66">
        <w:rPr>
          <w:rFonts w:ascii="Times New Roman" w:hAnsi="Times New Roman" w:cs="Times New Roman"/>
          <w:sz w:val="24"/>
          <w:szCs w:val="24"/>
          <w:lang w:val="ro-RO"/>
        </w:rPr>
        <w:t xml:space="preserve"> DAI se regăsește verificarea trimestrială și anuală a</w:t>
      </w:r>
      <w:r w:rsidR="00EE04C8">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situațiilor financiare, raportului privind executarea bugetului BNM, devizului de cheltuieli și alocațiilor pentru investiții. Conform prevederilor Regulamentului, rezultatele analizei executării veniturilor, cheltuielilor și alocațiilor pentru investiții ale BNM se expun în ,,Raportul privind executarea bugetului BNM”.</w:t>
      </w:r>
    </w:p>
    <w:p w14:paraId="6193C5FA" w14:textId="7AB41B38" w:rsidR="003F0DF4" w:rsidRPr="00650D66" w:rsidRDefault="00A0407A" w:rsidP="00653BE4">
      <w:pPr>
        <w:spacing w:after="0" w:line="276" w:lineRule="auto"/>
        <w:jc w:val="both"/>
        <w:rPr>
          <w:rFonts w:ascii="Times New Roman" w:hAnsi="Times New Roman" w:cs="Times New Roman"/>
          <w:sz w:val="24"/>
          <w:szCs w:val="24"/>
          <w:lang w:val="ro-RO"/>
        </w:rPr>
      </w:pPr>
      <w:r w:rsidRPr="001B4897">
        <w:rPr>
          <w:rFonts w:ascii="Times New Roman" w:hAnsi="Times New Roman" w:cs="Times New Roman"/>
          <w:sz w:val="24"/>
          <w:szCs w:val="24"/>
          <w:lang w:val="ro-RO"/>
        </w:rPr>
        <w:t>Astfel, BNM întocm</w:t>
      </w:r>
      <w:r w:rsidR="00F62AF8" w:rsidRPr="001B4897">
        <w:rPr>
          <w:rFonts w:ascii="Times New Roman" w:hAnsi="Times New Roman" w:cs="Times New Roman"/>
          <w:sz w:val="24"/>
          <w:szCs w:val="24"/>
          <w:lang w:val="ro-RO"/>
        </w:rPr>
        <w:t>ește</w:t>
      </w:r>
      <w:r w:rsidRPr="001B4897">
        <w:rPr>
          <w:rFonts w:ascii="Times New Roman" w:hAnsi="Times New Roman" w:cs="Times New Roman"/>
          <w:sz w:val="24"/>
          <w:szCs w:val="24"/>
          <w:lang w:val="ro-RO"/>
        </w:rPr>
        <w:t xml:space="preserve">: </w:t>
      </w:r>
      <w:r w:rsidRPr="001B4897">
        <w:rPr>
          <w:rFonts w:ascii="Times New Roman" w:hAnsi="Times New Roman" w:cs="Times New Roman"/>
          <w:i/>
          <w:sz w:val="24"/>
          <w:szCs w:val="24"/>
          <w:lang w:val="ro-RO"/>
        </w:rPr>
        <w:t>(i)</w:t>
      </w:r>
      <w:r w:rsidRPr="001B4897">
        <w:rPr>
          <w:rFonts w:ascii="Times New Roman" w:hAnsi="Times New Roman" w:cs="Times New Roman"/>
          <w:sz w:val="24"/>
          <w:szCs w:val="24"/>
          <w:lang w:val="ro-RO"/>
        </w:rPr>
        <w:t xml:space="preserve"> Raportul privind executarea bugetului BNM, </w:t>
      </w:r>
      <w:r w:rsidRPr="001B4897">
        <w:rPr>
          <w:rFonts w:ascii="Times New Roman" w:hAnsi="Times New Roman" w:cs="Times New Roman"/>
          <w:i/>
          <w:sz w:val="24"/>
          <w:szCs w:val="24"/>
          <w:lang w:val="ro-RO"/>
        </w:rPr>
        <w:t>(ii)</w:t>
      </w:r>
      <w:r w:rsidRPr="001B4897">
        <w:rPr>
          <w:rFonts w:ascii="Times New Roman" w:hAnsi="Times New Roman" w:cs="Times New Roman"/>
          <w:sz w:val="24"/>
          <w:szCs w:val="24"/>
          <w:lang w:val="ro-RO"/>
        </w:rPr>
        <w:t xml:space="preserve"> Raportul privind executarea devizului de cheltuieli și alocațiilor pentru investiții și </w:t>
      </w:r>
      <w:r w:rsidRPr="001B4897">
        <w:rPr>
          <w:rFonts w:ascii="Times New Roman" w:hAnsi="Times New Roman" w:cs="Times New Roman"/>
          <w:i/>
          <w:sz w:val="24"/>
          <w:szCs w:val="24"/>
          <w:lang w:val="ro-RO"/>
        </w:rPr>
        <w:t>(iii)</w:t>
      </w:r>
      <w:r w:rsidRPr="001B4897">
        <w:rPr>
          <w:rFonts w:ascii="Times New Roman" w:hAnsi="Times New Roman" w:cs="Times New Roman"/>
          <w:sz w:val="24"/>
          <w:szCs w:val="24"/>
          <w:lang w:val="ro-RO"/>
        </w:rPr>
        <w:t xml:space="preserve"> situațiile financiare. Totodată, executarea devizului de cheltuieli și alocațiilor</w:t>
      </w:r>
      <w:r w:rsidRPr="00650D66">
        <w:rPr>
          <w:rFonts w:ascii="Times New Roman" w:hAnsi="Times New Roman" w:cs="Times New Roman"/>
          <w:sz w:val="24"/>
          <w:szCs w:val="24"/>
          <w:lang w:val="ro-RO"/>
        </w:rPr>
        <w:t xml:space="preserve"> pentru investiții se auditează de către Curtea de Conturi, situațiile financiare </w:t>
      </w:r>
      <w:r w:rsidR="00107429">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de către o organizație de audit extern</w:t>
      </w:r>
      <w:r w:rsidR="00107429">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iar executarea bugetului nu se auditează, nu se raportează și nu se publică.</w:t>
      </w:r>
    </w:p>
    <w:p w14:paraId="7D1F058C" w14:textId="77777777" w:rsidR="006C7D72" w:rsidRPr="00650D66" w:rsidRDefault="006C7D72" w:rsidP="00653BE4">
      <w:pPr>
        <w:spacing w:after="0" w:line="276" w:lineRule="auto"/>
        <w:jc w:val="both"/>
        <w:rPr>
          <w:rFonts w:ascii="Times New Roman" w:hAnsi="Times New Roman" w:cs="Times New Roman"/>
          <w:sz w:val="24"/>
          <w:szCs w:val="24"/>
          <w:lang w:val="ro-RO"/>
        </w:rPr>
      </w:pPr>
    </w:p>
    <w:p w14:paraId="2A24C41F" w14:textId="6A8528E7" w:rsidR="003D0E32" w:rsidRPr="00650D66" w:rsidRDefault="003F0DF4" w:rsidP="00942776">
      <w:pPr>
        <w:pStyle w:val="Heading2"/>
        <w:spacing w:before="0"/>
        <w:jc w:val="both"/>
        <w:rPr>
          <w:rFonts w:ascii="Times New Roman" w:eastAsia="Times New Roman" w:hAnsi="Times New Roman" w:cs="Times New Roman"/>
          <w:b/>
          <w:color w:val="000000" w:themeColor="text1"/>
          <w:sz w:val="24"/>
          <w:szCs w:val="24"/>
          <w:lang w:val="ro-RO"/>
        </w:rPr>
      </w:pPr>
      <w:bookmarkStart w:id="8" w:name="_Toc159413635"/>
      <w:r w:rsidRPr="00650D66">
        <w:rPr>
          <w:rFonts w:ascii="Times New Roman" w:eastAsia="Times New Roman" w:hAnsi="Times New Roman" w:cs="Times New Roman"/>
          <w:b/>
          <w:color w:val="000000" w:themeColor="text1"/>
          <w:sz w:val="24"/>
          <w:szCs w:val="24"/>
          <w:lang w:val="ro-RO"/>
        </w:rPr>
        <w:t xml:space="preserve">2.5 </w:t>
      </w:r>
      <w:r w:rsidR="003D0E32" w:rsidRPr="00650D66">
        <w:rPr>
          <w:rFonts w:ascii="Times New Roman" w:eastAsia="Times New Roman" w:hAnsi="Times New Roman" w:cs="Times New Roman"/>
          <w:b/>
          <w:color w:val="000000" w:themeColor="text1"/>
          <w:sz w:val="24"/>
          <w:szCs w:val="24"/>
          <w:lang w:val="ro-RO"/>
        </w:rPr>
        <w:t xml:space="preserve">Informații cu privire la soldul profitului disponibil pentru distribuire </w:t>
      </w:r>
      <w:r w:rsidR="00691053" w:rsidRPr="00650D66">
        <w:rPr>
          <w:rFonts w:ascii="Times New Roman" w:eastAsia="Times New Roman" w:hAnsi="Times New Roman" w:cs="Times New Roman"/>
          <w:b/>
          <w:color w:val="000000" w:themeColor="text1"/>
          <w:sz w:val="24"/>
          <w:szCs w:val="24"/>
          <w:lang w:val="ro-RO"/>
        </w:rPr>
        <w:t xml:space="preserve">în anii 2020-2022, </w:t>
      </w:r>
      <w:r w:rsidR="003D0E32" w:rsidRPr="00650D66">
        <w:rPr>
          <w:rFonts w:ascii="Times New Roman" w:eastAsia="Times New Roman" w:hAnsi="Times New Roman" w:cs="Times New Roman"/>
          <w:b/>
          <w:color w:val="000000" w:themeColor="text1"/>
          <w:sz w:val="24"/>
          <w:szCs w:val="24"/>
          <w:lang w:val="ro-RO"/>
        </w:rPr>
        <w:t xml:space="preserve">transferat </w:t>
      </w:r>
      <w:r w:rsidR="00640745" w:rsidRPr="00650D66">
        <w:rPr>
          <w:rFonts w:ascii="Times New Roman" w:eastAsia="Times New Roman" w:hAnsi="Times New Roman" w:cs="Times New Roman"/>
          <w:b/>
          <w:color w:val="000000" w:themeColor="text1"/>
          <w:sz w:val="24"/>
          <w:szCs w:val="24"/>
          <w:lang w:val="ro-RO"/>
        </w:rPr>
        <w:t xml:space="preserve">la venitul BS </w:t>
      </w:r>
      <w:r w:rsidR="000F1A4D" w:rsidRPr="00650D66">
        <w:rPr>
          <w:rFonts w:ascii="Times New Roman" w:hAnsi="Times New Roman" w:cs="Times New Roman"/>
          <w:b/>
          <w:color w:val="000000" w:themeColor="text1"/>
          <w:sz w:val="24"/>
          <w:szCs w:val="24"/>
          <w:lang w:val="ro-RO"/>
        </w:rPr>
        <w:t>de către BNM</w:t>
      </w:r>
      <w:bookmarkEnd w:id="8"/>
    </w:p>
    <w:p w14:paraId="5F84A144" w14:textId="59ADC91E" w:rsidR="00385C67" w:rsidRPr="00650D66" w:rsidRDefault="003D0E32" w:rsidP="007F44C7">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Conform prevederilor art.20 din Legea nr.548</w:t>
      </w:r>
      <w:r w:rsidR="007F44C7" w:rsidRPr="00650D66">
        <w:rPr>
          <w:rFonts w:ascii="Times New Roman" w:eastAsia="Times New Roman" w:hAnsi="Times New Roman" w:cs="Times New Roman"/>
          <w:sz w:val="24"/>
          <w:szCs w:val="24"/>
          <w:lang w:val="ro-RO"/>
        </w:rPr>
        <w:t>/1995</w:t>
      </w:r>
      <w:r w:rsidRPr="00650D66">
        <w:rPr>
          <w:rFonts w:ascii="Times New Roman" w:eastAsia="Times New Roman" w:hAnsi="Times New Roman" w:cs="Times New Roman"/>
          <w:sz w:val="24"/>
          <w:szCs w:val="24"/>
          <w:lang w:val="ro-RO"/>
        </w:rPr>
        <w:t xml:space="preserve">, modificat </w:t>
      </w:r>
      <w:r w:rsidR="000540F6">
        <w:rPr>
          <w:rFonts w:ascii="Times New Roman" w:eastAsia="Times New Roman" w:hAnsi="Times New Roman" w:cs="Times New Roman"/>
          <w:sz w:val="24"/>
          <w:szCs w:val="24"/>
          <w:lang w:val="ro-RO"/>
        </w:rPr>
        <w:t>î</w:t>
      </w:r>
      <w:r w:rsidRPr="00650D66">
        <w:rPr>
          <w:rFonts w:ascii="Times New Roman" w:eastAsia="Times New Roman" w:hAnsi="Times New Roman" w:cs="Times New Roman"/>
          <w:sz w:val="24"/>
          <w:szCs w:val="24"/>
          <w:lang w:val="ro-RO"/>
        </w:rPr>
        <w:t>n anul 2020</w:t>
      </w:r>
      <w:r w:rsidRPr="00650D66">
        <w:rPr>
          <w:rFonts w:ascii="Times New Roman" w:eastAsia="Times New Roman" w:hAnsi="Times New Roman" w:cs="Times New Roman"/>
          <w:sz w:val="24"/>
          <w:szCs w:val="24"/>
          <w:vertAlign w:val="superscript"/>
          <w:lang w:val="ro-RO"/>
        </w:rPr>
        <w:footnoteReference w:id="15"/>
      </w:r>
      <w:r w:rsidRPr="00650D66">
        <w:rPr>
          <w:rFonts w:ascii="Times New Roman" w:eastAsia="Times New Roman" w:hAnsi="Times New Roman" w:cs="Times New Roman"/>
          <w:sz w:val="24"/>
          <w:szCs w:val="24"/>
          <w:lang w:val="ro-RO"/>
        </w:rPr>
        <w:t>, soldul profitului disponibil pentru distribuire se transferă la venitul bugetului de stat. Auditul relevă că cele mai puține venituri la BS au fost transferate de către BNM în anul 2022</w:t>
      </w:r>
      <w:r w:rsidR="000540F6">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în sumă de 147,1 mil. lei</w:t>
      </w:r>
      <w:r w:rsidR="000540F6">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sau cu 259,9 mil. lei mai puțin față de anul 2021</w:t>
      </w:r>
      <w:r w:rsidR="000540F6">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și cu 71,3 mil. lei față de anul 2020. </w:t>
      </w:r>
      <w:r w:rsidRPr="00650D66">
        <w:rPr>
          <w:rFonts w:ascii="Times New Roman" w:eastAsia="Times New Roman" w:hAnsi="Times New Roman" w:cs="Times New Roman"/>
          <w:i/>
          <w:sz w:val="24"/>
          <w:szCs w:val="24"/>
          <w:lang w:val="ro-RO"/>
        </w:rPr>
        <w:t>Soldul profitului BNM transferat la BS pe parcursul anilor 2020</w:t>
      </w:r>
      <w:r w:rsidR="000540F6">
        <w:rPr>
          <w:rFonts w:ascii="Times New Roman" w:eastAsia="Times New Roman" w:hAnsi="Times New Roman" w:cs="Times New Roman"/>
          <w:i/>
          <w:sz w:val="24"/>
          <w:szCs w:val="24"/>
          <w:lang w:val="ro-RO"/>
        </w:rPr>
        <w:t>-</w:t>
      </w:r>
      <w:r w:rsidRPr="00650D66">
        <w:rPr>
          <w:rFonts w:ascii="Times New Roman" w:eastAsia="Times New Roman" w:hAnsi="Times New Roman" w:cs="Times New Roman"/>
          <w:i/>
          <w:sz w:val="24"/>
          <w:szCs w:val="24"/>
          <w:lang w:val="ro-RO"/>
        </w:rPr>
        <w:t>2022 se prezintă în Diagrama nr.1.</w:t>
      </w:r>
    </w:p>
    <w:p w14:paraId="7E2B9CE5" w14:textId="77777777" w:rsidR="00307B40" w:rsidRPr="00650D66" w:rsidRDefault="00307B40" w:rsidP="007F44C7">
      <w:pPr>
        <w:spacing w:after="0" w:line="276" w:lineRule="auto"/>
        <w:jc w:val="both"/>
        <w:rPr>
          <w:rFonts w:ascii="Times New Roman" w:eastAsia="Times New Roman" w:hAnsi="Times New Roman" w:cs="Times New Roman"/>
          <w:sz w:val="24"/>
          <w:szCs w:val="24"/>
          <w:lang w:val="ro-RO"/>
        </w:rPr>
      </w:pPr>
    </w:p>
    <w:p w14:paraId="6A2EEC4F" w14:textId="77777777" w:rsidR="003D0E32" w:rsidRPr="00650D66" w:rsidRDefault="003D0E32" w:rsidP="003D0E32">
      <w:pPr>
        <w:spacing w:after="0"/>
        <w:jc w:val="right"/>
        <w:rPr>
          <w:rFonts w:ascii="Times New Roman" w:eastAsia="Times New Roman" w:hAnsi="Times New Roman" w:cs="Times New Roman"/>
          <w:i/>
          <w:sz w:val="24"/>
          <w:szCs w:val="24"/>
          <w:lang w:val="ro-RO"/>
        </w:rPr>
      </w:pPr>
      <w:r w:rsidRPr="00650D66">
        <w:rPr>
          <w:rFonts w:ascii="Times New Roman" w:eastAsia="Times New Roman" w:hAnsi="Times New Roman" w:cs="Times New Roman"/>
          <w:i/>
          <w:sz w:val="24"/>
          <w:szCs w:val="24"/>
          <w:lang w:val="ro-RO"/>
        </w:rPr>
        <w:t>Diagrama nr.1</w:t>
      </w:r>
    </w:p>
    <w:p w14:paraId="252C7AED" w14:textId="77777777" w:rsidR="003D0E32" w:rsidRPr="00650D66" w:rsidRDefault="003D0E32" w:rsidP="003D0E32">
      <w:pPr>
        <w:spacing w:after="0"/>
        <w:jc w:val="right"/>
        <w:rPr>
          <w:rFonts w:ascii="Times New Roman" w:eastAsia="Times New Roman" w:hAnsi="Times New Roman" w:cs="Times New Roman"/>
          <w:i/>
          <w:sz w:val="24"/>
          <w:szCs w:val="24"/>
          <w:lang w:val="ro-RO"/>
        </w:rPr>
      </w:pPr>
      <w:r w:rsidRPr="00650D66">
        <w:rPr>
          <w:rFonts w:ascii="Times New Roman" w:eastAsia="Times New Roman" w:hAnsi="Times New Roman" w:cs="Times New Roman"/>
          <w:i/>
          <w:sz w:val="24"/>
          <w:szCs w:val="24"/>
          <w:lang w:val="ro-RO"/>
        </w:rPr>
        <w:t>(mil. lei)</w:t>
      </w:r>
    </w:p>
    <w:p w14:paraId="3674A2FA" w14:textId="315B0D76" w:rsidR="003D0E32" w:rsidRPr="00650D66" w:rsidRDefault="003D0E32" w:rsidP="003D0E32">
      <w:pPr>
        <w:jc w:val="both"/>
        <w:rPr>
          <w:rFonts w:ascii="Times New Roman" w:eastAsia="Times New Roman" w:hAnsi="Times New Roman" w:cs="Times New Roman"/>
          <w:i/>
          <w:sz w:val="20"/>
          <w:szCs w:val="20"/>
          <w:lang w:val="ro-RO"/>
        </w:rPr>
      </w:pPr>
      <w:r w:rsidRPr="00650D66">
        <w:rPr>
          <w:rFonts w:ascii="Times New Roman" w:eastAsia="Times New Roman" w:hAnsi="Times New Roman" w:cs="Times New Roman"/>
          <w:noProof/>
          <w:sz w:val="24"/>
          <w:szCs w:val="24"/>
          <w:lang w:val="en-US"/>
        </w:rPr>
        <w:lastRenderedPageBreak/>
        <w:drawing>
          <wp:inline distT="0" distB="0" distL="0" distR="0" wp14:anchorId="540D3C25" wp14:editId="1AC944EA">
            <wp:extent cx="5943600" cy="19964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50D66">
        <w:rPr>
          <w:rFonts w:ascii="Times New Roman" w:eastAsia="Times New Roman" w:hAnsi="Times New Roman" w:cs="Times New Roman"/>
          <w:b/>
          <w:i/>
          <w:sz w:val="20"/>
          <w:szCs w:val="20"/>
          <w:lang w:val="ro-RO"/>
        </w:rPr>
        <w:t>Sursă:</w:t>
      </w:r>
      <w:r w:rsidRPr="00650D66">
        <w:rPr>
          <w:rFonts w:ascii="Times New Roman" w:eastAsia="Times New Roman" w:hAnsi="Times New Roman" w:cs="Times New Roman"/>
          <w:i/>
          <w:sz w:val="20"/>
          <w:szCs w:val="20"/>
          <w:lang w:val="ro-RO"/>
        </w:rPr>
        <w:t xml:space="preserve"> Rapoartele privind executarea bugetului de stat pentru anii 2020</w:t>
      </w:r>
      <w:r w:rsidR="000540F6">
        <w:rPr>
          <w:rFonts w:ascii="Times New Roman" w:eastAsia="Times New Roman" w:hAnsi="Times New Roman" w:cs="Times New Roman"/>
          <w:i/>
          <w:sz w:val="20"/>
          <w:szCs w:val="20"/>
          <w:lang w:val="ro-RO"/>
        </w:rPr>
        <w:t>-</w:t>
      </w:r>
      <w:r w:rsidRPr="00650D66">
        <w:rPr>
          <w:rFonts w:ascii="Times New Roman" w:eastAsia="Times New Roman" w:hAnsi="Times New Roman" w:cs="Times New Roman"/>
          <w:i/>
          <w:sz w:val="20"/>
          <w:szCs w:val="20"/>
          <w:lang w:val="ro-RO"/>
        </w:rPr>
        <w:t>2022</w:t>
      </w:r>
      <w:r w:rsidR="00EE116B" w:rsidRPr="00650D66">
        <w:rPr>
          <w:rFonts w:ascii="Times New Roman" w:eastAsia="Times New Roman" w:hAnsi="Times New Roman" w:cs="Times New Roman"/>
          <w:i/>
          <w:sz w:val="20"/>
          <w:szCs w:val="20"/>
          <w:lang w:val="ro-RO"/>
        </w:rPr>
        <w:t>, întocmite de către MF</w:t>
      </w:r>
      <w:r w:rsidRPr="00650D66">
        <w:rPr>
          <w:rFonts w:ascii="Times New Roman" w:eastAsia="Times New Roman" w:hAnsi="Times New Roman" w:cs="Times New Roman"/>
          <w:i/>
          <w:sz w:val="20"/>
          <w:szCs w:val="20"/>
          <w:lang w:val="ro-RO"/>
        </w:rPr>
        <w:t>.</w:t>
      </w:r>
    </w:p>
    <w:p w14:paraId="339D123C" w14:textId="0D204575" w:rsidR="009F72AB" w:rsidRPr="00650D66" w:rsidRDefault="007A2191" w:rsidP="000B03E5">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Î</w:t>
      </w:r>
      <w:r w:rsidR="00A16BBA" w:rsidRPr="00650D66">
        <w:rPr>
          <w:rFonts w:ascii="Times New Roman" w:eastAsia="Times New Roman" w:hAnsi="Times New Roman" w:cs="Times New Roman"/>
          <w:sz w:val="24"/>
          <w:szCs w:val="24"/>
          <w:lang w:val="ro-RO"/>
        </w:rPr>
        <w:t>n condițiile prevederilor cadrului normativ</w:t>
      </w:r>
      <w:r w:rsidR="00566D7A" w:rsidRPr="00650D66">
        <w:rPr>
          <w:rFonts w:ascii="Times New Roman" w:eastAsia="Times New Roman" w:hAnsi="Times New Roman" w:cs="Times New Roman"/>
          <w:sz w:val="24"/>
          <w:szCs w:val="24"/>
          <w:lang w:val="ro-RO"/>
        </w:rPr>
        <w:t xml:space="preserve"> actual</w:t>
      </w:r>
      <w:r w:rsidR="00A16BBA" w:rsidRPr="00650D66">
        <w:rPr>
          <w:rFonts w:ascii="Times New Roman" w:eastAsia="Times New Roman" w:hAnsi="Times New Roman" w:cs="Times New Roman"/>
          <w:sz w:val="24"/>
          <w:szCs w:val="24"/>
          <w:lang w:val="ro-RO"/>
        </w:rPr>
        <w:t xml:space="preserve">, corectitudinea soldului profitului BNM transferat la </w:t>
      </w:r>
      <w:r w:rsidR="00771919" w:rsidRPr="00650D66">
        <w:rPr>
          <w:rFonts w:ascii="Times New Roman" w:eastAsia="Times New Roman" w:hAnsi="Times New Roman" w:cs="Times New Roman"/>
          <w:sz w:val="24"/>
          <w:szCs w:val="24"/>
          <w:lang w:val="ro-RO"/>
        </w:rPr>
        <w:t>bugetul de stat</w:t>
      </w:r>
      <w:r w:rsidR="00A16BBA" w:rsidRPr="00650D66">
        <w:rPr>
          <w:rFonts w:ascii="Times New Roman" w:eastAsia="Times New Roman" w:hAnsi="Times New Roman" w:cs="Times New Roman"/>
          <w:sz w:val="24"/>
          <w:szCs w:val="24"/>
          <w:lang w:val="ro-RO"/>
        </w:rPr>
        <w:t xml:space="preserve"> nu poate </w:t>
      </w:r>
      <w:r w:rsidR="005B4534" w:rsidRPr="00650D66">
        <w:rPr>
          <w:rFonts w:ascii="Times New Roman" w:eastAsia="Times New Roman" w:hAnsi="Times New Roman" w:cs="Times New Roman"/>
          <w:sz w:val="24"/>
          <w:szCs w:val="24"/>
          <w:lang w:val="ro-RO"/>
        </w:rPr>
        <w:t xml:space="preserve">fi auditat de către Curtea de Conturi. </w:t>
      </w:r>
      <w:r w:rsidR="009F72AB" w:rsidRPr="00650D66">
        <w:rPr>
          <w:rFonts w:ascii="Times New Roman" w:eastAsia="Times New Roman" w:hAnsi="Times New Roman" w:cs="Times New Roman"/>
          <w:sz w:val="24"/>
          <w:szCs w:val="24"/>
          <w:lang w:val="ro-RO"/>
        </w:rPr>
        <w:t>Astfel, soldul profitului disponibil pentru distribuire se transferă la venitul BS în termen de 15 zile după primirea raportului auditorului extern asupra situațiilor financiare ale BNM</w:t>
      </w:r>
      <w:r w:rsidR="009F72AB" w:rsidRPr="00650D66">
        <w:rPr>
          <w:rStyle w:val="FootnoteReference"/>
          <w:rFonts w:ascii="Times New Roman" w:eastAsia="Times New Roman" w:hAnsi="Times New Roman" w:cs="Times New Roman"/>
          <w:sz w:val="24"/>
          <w:szCs w:val="24"/>
          <w:lang w:val="ro-RO"/>
        </w:rPr>
        <w:footnoteReference w:id="16"/>
      </w:r>
      <w:r w:rsidR="009F72AB" w:rsidRPr="00650D66">
        <w:rPr>
          <w:rFonts w:ascii="Times New Roman" w:eastAsia="Times New Roman" w:hAnsi="Times New Roman" w:cs="Times New Roman"/>
          <w:sz w:val="24"/>
          <w:szCs w:val="24"/>
          <w:lang w:val="ro-RO"/>
        </w:rPr>
        <w:t>.</w:t>
      </w:r>
    </w:p>
    <w:p w14:paraId="2BD1513A" w14:textId="2A1547F6" w:rsidR="00FD5DB5" w:rsidRPr="00650D66" w:rsidRDefault="009F72AB" w:rsidP="000B03E5">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w:t>
      </w:r>
      <w:r w:rsidR="006A7AB2" w:rsidRPr="00650D66">
        <w:rPr>
          <w:rFonts w:ascii="Times New Roman" w:eastAsia="Times New Roman" w:hAnsi="Times New Roman" w:cs="Times New Roman"/>
          <w:sz w:val="24"/>
          <w:szCs w:val="24"/>
          <w:lang w:val="ro-RO"/>
        </w:rPr>
        <w:t>onform art.68 din Legea nr.5</w:t>
      </w:r>
      <w:r w:rsidR="00E7602D">
        <w:rPr>
          <w:rFonts w:ascii="Times New Roman" w:eastAsia="Times New Roman" w:hAnsi="Times New Roman" w:cs="Times New Roman"/>
          <w:sz w:val="24"/>
          <w:szCs w:val="24"/>
          <w:lang w:val="ro-RO"/>
        </w:rPr>
        <w:t>48</w:t>
      </w:r>
      <w:r w:rsidR="006A7AB2" w:rsidRPr="00650D66">
        <w:rPr>
          <w:rFonts w:ascii="Times New Roman" w:eastAsia="Times New Roman" w:hAnsi="Times New Roman" w:cs="Times New Roman"/>
          <w:sz w:val="24"/>
          <w:szCs w:val="24"/>
          <w:lang w:val="ro-RO"/>
        </w:rPr>
        <w:t>/1995, situațiile financiare anuale, conturile și registrele BNM s</w:t>
      </w:r>
      <w:r w:rsidR="00731CC3">
        <w:rPr>
          <w:rFonts w:ascii="Times New Roman" w:eastAsia="Times New Roman" w:hAnsi="Times New Roman" w:cs="Times New Roman"/>
          <w:sz w:val="24"/>
          <w:szCs w:val="24"/>
          <w:lang w:val="ro-RO"/>
        </w:rPr>
        <w:t>u</w:t>
      </w:r>
      <w:r w:rsidR="006A7AB2" w:rsidRPr="00650D66">
        <w:rPr>
          <w:rFonts w:ascii="Times New Roman" w:eastAsia="Times New Roman" w:hAnsi="Times New Roman" w:cs="Times New Roman"/>
          <w:sz w:val="24"/>
          <w:szCs w:val="24"/>
          <w:lang w:val="ro-RO"/>
        </w:rPr>
        <w:t xml:space="preserve">nt supuse auditului extern anual, în conformitate cu standardele internaționale de audit, efectuat de către o organizație de audit extern, selectată de Consiliul de supraveghere pe bază de licitație. </w:t>
      </w:r>
      <w:r w:rsidR="00380FAC" w:rsidRPr="00650D66">
        <w:rPr>
          <w:rFonts w:ascii="Times New Roman" w:eastAsia="Times New Roman" w:hAnsi="Times New Roman" w:cs="Times New Roman"/>
          <w:sz w:val="24"/>
          <w:szCs w:val="24"/>
          <w:lang w:val="ro-RO"/>
        </w:rPr>
        <w:t>P</w:t>
      </w:r>
      <w:r w:rsidR="00DF1404" w:rsidRPr="00650D66">
        <w:rPr>
          <w:rFonts w:ascii="Times New Roman" w:eastAsia="Times New Roman" w:hAnsi="Times New Roman" w:cs="Times New Roman"/>
          <w:sz w:val="24"/>
          <w:szCs w:val="24"/>
          <w:lang w:val="ro-RO"/>
        </w:rPr>
        <w:t>rocedura de selectare a organizației de audit extern este stabilită și aprobată printr-un Regulament intern</w:t>
      </w:r>
      <w:r w:rsidR="00DF1404" w:rsidRPr="00650D66">
        <w:rPr>
          <w:rStyle w:val="FootnoteReference"/>
          <w:rFonts w:ascii="Times New Roman" w:eastAsia="Times New Roman" w:hAnsi="Times New Roman" w:cs="Times New Roman"/>
          <w:sz w:val="24"/>
          <w:szCs w:val="24"/>
          <w:lang w:val="ro-RO"/>
        </w:rPr>
        <w:footnoteReference w:id="17"/>
      </w:r>
      <w:r w:rsidR="00DF1404" w:rsidRPr="00650D66">
        <w:rPr>
          <w:rFonts w:ascii="Times New Roman" w:eastAsia="Times New Roman" w:hAnsi="Times New Roman" w:cs="Times New Roman"/>
          <w:sz w:val="24"/>
          <w:szCs w:val="24"/>
          <w:lang w:val="ro-RO"/>
        </w:rPr>
        <w:t xml:space="preserve">. </w:t>
      </w:r>
      <w:r w:rsidR="006A7AB2" w:rsidRPr="00650D66">
        <w:rPr>
          <w:rFonts w:ascii="Times New Roman" w:eastAsia="Times New Roman" w:hAnsi="Times New Roman" w:cs="Times New Roman"/>
          <w:sz w:val="24"/>
          <w:szCs w:val="24"/>
          <w:lang w:val="ro-RO"/>
        </w:rPr>
        <w:t xml:space="preserve">Rapoartele auditorilor externi pe anii 2019-2022 au fost publicate pe site-ul oficial al BNM, împreună cu situațiile financiare anuale ale BNM, </w:t>
      </w:r>
      <w:r w:rsidR="006A7AB2" w:rsidRPr="00650D66">
        <w:rPr>
          <w:rFonts w:ascii="Times New Roman" w:eastAsia="Times New Roman" w:hAnsi="Times New Roman" w:cs="Times New Roman"/>
          <w:i/>
          <w:sz w:val="24"/>
          <w:szCs w:val="24"/>
          <w:lang w:val="ro-RO"/>
        </w:rPr>
        <w:t>fiind specificat că situațiile financiare consolidate și individuale oferă o imagine fidelă</w:t>
      </w:r>
      <w:r w:rsidR="006A7AB2" w:rsidRPr="00650D66">
        <w:rPr>
          <w:rFonts w:ascii="Times New Roman" w:eastAsia="Times New Roman" w:hAnsi="Times New Roman" w:cs="Times New Roman"/>
          <w:sz w:val="24"/>
          <w:szCs w:val="24"/>
          <w:lang w:val="ro-RO"/>
        </w:rPr>
        <w:t>. Totodată, situațiile financiare confirmate de auditorul extern au fost prezentate Parlamentului</w:t>
      </w:r>
      <w:r w:rsidR="006A7AB2" w:rsidRPr="00650D66">
        <w:rPr>
          <w:rStyle w:val="FootnoteReference"/>
          <w:rFonts w:ascii="Times New Roman" w:eastAsia="Times New Roman" w:hAnsi="Times New Roman" w:cs="Times New Roman"/>
          <w:sz w:val="24"/>
          <w:szCs w:val="24"/>
          <w:lang w:val="ro-RO"/>
        </w:rPr>
        <w:footnoteReference w:id="18"/>
      </w:r>
      <w:r w:rsidR="006A7AB2" w:rsidRPr="00650D66">
        <w:rPr>
          <w:rFonts w:ascii="Times New Roman" w:eastAsia="Times New Roman" w:hAnsi="Times New Roman" w:cs="Times New Roman"/>
          <w:sz w:val="24"/>
          <w:szCs w:val="24"/>
          <w:lang w:val="ro-RO"/>
        </w:rPr>
        <w:t>.</w:t>
      </w:r>
      <w:r w:rsidR="00781644" w:rsidRPr="00650D66">
        <w:rPr>
          <w:rFonts w:ascii="Times New Roman" w:eastAsia="Times New Roman" w:hAnsi="Times New Roman" w:cs="Times New Roman"/>
          <w:sz w:val="24"/>
          <w:szCs w:val="24"/>
          <w:lang w:val="ro-RO"/>
        </w:rPr>
        <w:t xml:space="preserve"> </w:t>
      </w:r>
    </w:p>
    <w:p w14:paraId="1825F836" w14:textId="77777777" w:rsidR="003E3726" w:rsidRPr="00650D66" w:rsidRDefault="003E3726" w:rsidP="00DF1404">
      <w:pPr>
        <w:spacing w:after="0" w:line="276" w:lineRule="auto"/>
        <w:jc w:val="both"/>
        <w:rPr>
          <w:rFonts w:ascii="Times New Roman" w:eastAsia="Times New Roman" w:hAnsi="Times New Roman" w:cs="Times New Roman"/>
          <w:sz w:val="6"/>
          <w:szCs w:val="6"/>
          <w:lang w:val="ro-RO"/>
        </w:rPr>
      </w:pPr>
    </w:p>
    <w:p w14:paraId="03AFF6CE" w14:textId="143A9647" w:rsidR="00D12752" w:rsidRPr="00650D66" w:rsidRDefault="005E7647" w:rsidP="00A207C6">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În perioada 2019-2022</w:t>
      </w:r>
      <w:r w:rsidR="007E11D5" w:rsidRPr="00650D66">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w:t>
      </w:r>
      <w:r w:rsidR="007E11D5" w:rsidRPr="00650D66">
        <w:rPr>
          <w:rFonts w:ascii="Times New Roman" w:eastAsia="Times New Roman" w:hAnsi="Times New Roman" w:cs="Times New Roman"/>
          <w:sz w:val="24"/>
          <w:szCs w:val="24"/>
          <w:lang w:val="ro-RO"/>
        </w:rPr>
        <w:t>BNM a</w:t>
      </w:r>
      <w:r w:rsidRPr="00650D66">
        <w:rPr>
          <w:rFonts w:ascii="Times New Roman" w:eastAsia="Times New Roman" w:hAnsi="Times New Roman" w:cs="Times New Roman"/>
          <w:sz w:val="24"/>
          <w:szCs w:val="24"/>
          <w:lang w:val="ro-RO"/>
        </w:rPr>
        <w:t xml:space="preserve"> achitat onorariul </w:t>
      </w:r>
      <w:r w:rsidR="00DE6762" w:rsidRPr="00650D66">
        <w:rPr>
          <w:rFonts w:ascii="Times New Roman" w:eastAsia="Times New Roman" w:hAnsi="Times New Roman" w:cs="Times New Roman"/>
          <w:sz w:val="24"/>
          <w:szCs w:val="24"/>
          <w:lang w:val="ro-RO"/>
        </w:rPr>
        <w:t>pentru serviciile de audit a</w:t>
      </w:r>
      <w:r w:rsidR="00731CC3">
        <w:rPr>
          <w:rFonts w:ascii="Times New Roman" w:eastAsia="Times New Roman" w:hAnsi="Times New Roman" w:cs="Times New Roman"/>
          <w:sz w:val="24"/>
          <w:szCs w:val="24"/>
          <w:lang w:val="ro-RO"/>
        </w:rPr>
        <w:t>supra</w:t>
      </w:r>
      <w:r w:rsidR="00DE6762" w:rsidRPr="00650D66">
        <w:rPr>
          <w:rFonts w:ascii="Times New Roman" w:eastAsia="Times New Roman" w:hAnsi="Times New Roman" w:cs="Times New Roman"/>
          <w:sz w:val="24"/>
          <w:szCs w:val="24"/>
          <w:lang w:val="ro-RO"/>
        </w:rPr>
        <w:t xml:space="preserve"> situațiilor financiare anuale </w:t>
      </w:r>
      <w:r w:rsidR="006F5A42" w:rsidRPr="00650D66">
        <w:rPr>
          <w:rFonts w:ascii="Times New Roman" w:eastAsia="Times New Roman" w:hAnsi="Times New Roman" w:cs="Times New Roman"/>
          <w:sz w:val="24"/>
          <w:szCs w:val="24"/>
          <w:lang w:val="ro-RO"/>
        </w:rPr>
        <w:t>în sumă totală de 3,6 mil. lei</w:t>
      </w:r>
      <w:r w:rsidRPr="00650D66">
        <w:rPr>
          <w:rFonts w:ascii="Times New Roman" w:eastAsia="Times New Roman" w:hAnsi="Times New Roman" w:cs="Times New Roman"/>
          <w:sz w:val="24"/>
          <w:szCs w:val="24"/>
          <w:lang w:val="ro-RO"/>
        </w:rPr>
        <w:t xml:space="preserve">, din care: în anul 2019 – 0,7 mil. lei, în anul 2020 – 0,4 mil. lei, în anul 2021 – 1,04 mil. lei, </w:t>
      </w:r>
      <w:r w:rsidR="005E312F" w:rsidRPr="00650D66">
        <w:rPr>
          <w:rFonts w:ascii="Times New Roman" w:eastAsia="Times New Roman" w:hAnsi="Times New Roman" w:cs="Times New Roman"/>
          <w:sz w:val="24"/>
          <w:szCs w:val="24"/>
          <w:lang w:val="ro-RO"/>
        </w:rPr>
        <w:t>în anul 2022 – 1,5 mil. lei.</w:t>
      </w:r>
      <w:r w:rsidR="00812C3D" w:rsidRPr="00650D66">
        <w:rPr>
          <w:rFonts w:ascii="Times New Roman" w:eastAsia="Times New Roman" w:hAnsi="Times New Roman" w:cs="Times New Roman"/>
          <w:sz w:val="24"/>
          <w:szCs w:val="24"/>
          <w:lang w:val="ro-RO"/>
        </w:rPr>
        <w:t xml:space="preserve"> </w:t>
      </w:r>
      <w:r w:rsidR="00731CC3">
        <w:rPr>
          <w:rFonts w:ascii="Times New Roman" w:eastAsia="Times New Roman" w:hAnsi="Times New Roman" w:cs="Times New Roman"/>
          <w:sz w:val="24"/>
          <w:szCs w:val="24"/>
          <w:lang w:val="ro-RO"/>
        </w:rPr>
        <w:t>Ca u</w:t>
      </w:r>
      <w:r w:rsidR="006C71C9" w:rsidRPr="00650D66">
        <w:rPr>
          <w:rFonts w:ascii="Times New Roman" w:eastAsia="Times New Roman" w:hAnsi="Times New Roman" w:cs="Times New Roman"/>
          <w:sz w:val="24"/>
          <w:szCs w:val="24"/>
          <w:lang w:val="ro-RO"/>
        </w:rPr>
        <w:t xml:space="preserve">rmare </w:t>
      </w:r>
      <w:r w:rsidR="00731CC3">
        <w:rPr>
          <w:rFonts w:ascii="Times New Roman" w:eastAsia="Times New Roman" w:hAnsi="Times New Roman" w:cs="Times New Roman"/>
          <w:sz w:val="24"/>
          <w:szCs w:val="24"/>
          <w:lang w:val="ro-RO"/>
        </w:rPr>
        <w:t xml:space="preserve">a </w:t>
      </w:r>
      <w:r w:rsidR="006C71C9" w:rsidRPr="00650D66">
        <w:rPr>
          <w:rFonts w:ascii="Times New Roman" w:eastAsia="Times New Roman" w:hAnsi="Times New Roman" w:cs="Times New Roman"/>
          <w:sz w:val="24"/>
          <w:szCs w:val="24"/>
          <w:lang w:val="ro-RO"/>
        </w:rPr>
        <w:t>verificărilor de audit, s-a constatat că BNM s-a conformat prevederilor legale</w:t>
      </w:r>
      <w:r w:rsidR="00731CC3">
        <w:rPr>
          <w:rFonts w:ascii="Times New Roman" w:eastAsia="Times New Roman" w:hAnsi="Times New Roman" w:cs="Times New Roman"/>
          <w:sz w:val="24"/>
          <w:szCs w:val="24"/>
          <w:lang w:val="ro-RO"/>
        </w:rPr>
        <w:t xml:space="preserve"> cu referire la faptul</w:t>
      </w:r>
      <w:r w:rsidR="006C71C9" w:rsidRPr="00650D66">
        <w:rPr>
          <w:rFonts w:ascii="Times New Roman" w:eastAsia="Times New Roman" w:hAnsi="Times New Roman" w:cs="Times New Roman"/>
          <w:sz w:val="24"/>
          <w:szCs w:val="24"/>
          <w:lang w:val="ro-RO"/>
        </w:rPr>
        <w:t xml:space="preserve"> că aceeași organizație de audit extern nu poate fi numită consecutiv pentru o perioadă ce depășește 5 ani și a inițiat o procedură de achiziție prin licitație deschisă în a</w:t>
      </w:r>
      <w:r w:rsidR="0019078D" w:rsidRPr="00650D66">
        <w:rPr>
          <w:rFonts w:ascii="Times New Roman" w:eastAsia="Times New Roman" w:hAnsi="Times New Roman" w:cs="Times New Roman"/>
          <w:sz w:val="24"/>
          <w:szCs w:val="24"/>
          <w:lang w:val="ro-RO"/>
        </w:rPr>
        <w:t>nul 2020</w:t>
      </w:r>
      <w:r w:rsidR="006C71C9" w:rsidRPr="00650D66">
        <w:rPr>
          <w:rFonts w:ascii="Times New Roman" w:eastAsia="Times New Roman" w:hAnsi="Times New Roman" w:cs="Times New Roman"/>
          <w:sz w:val="24"/>
          <w:szCs w:val="24"/>
          <w:lang w:val="ro-RO"/>
        </w:rPr>
        <w:t>. În baza prevederilor contractului nr.11/77-1/2021-LD din 26.</w:t>
      </w:r>
      <w:r w:rsidR="00FB1673">
        <w:rPr>
          <w:rFonts w:ascii="Times New Roman" w:eastAsia="Times New Roman" w:hAnsi="Times New Roman" w:cs="Times New Roman"/>
          <w:sz w:val="24"/>
          <w:szCs w:val="24"/>
          <w:lang w:val="ro-RO"/>
        </w:rPr>
        <w:t>05.2021</w:t>
      </w:r>
      <w:r w:rsidR="00B43C9A" w:rsidRPr="00650D66">
        <w:rPr>
          <w:rFonts w:ascii="Times New Roman" w:eastAsia="Times New Roman" w:hAnsi="Times New Roman" w:cs="Times New Roman"/>
          <w:sz w:val="24"/>
          <w:szCs w:val="24"/>
          <w:lang w:val="ro-RO"/>
        </w:rPr>
        <w:t xml:space="preserve"> în sumă de 5,2 mil.</w:t>
      </w:r>
      <w:r w:rsidR="006C71C9" w:rsidRPr="00650D66">
        <w:rPr>
          <w:rFonts w:ascii="Times New Roman" w:eastAsia="Times New Roman" w:hAnsi="Times New Roman" w:cs="Times New Roman"/>
          <w:sz w:val="24"/>
          <w:szCs w:val="24"/>
          <w:lang w:val="ro-RO"/>
        </w:rPr>
        <w:t xml:space="preserve"> lei, pentru perioada 26.05.2021 – 26.05.2025, serviciile de audit extern se vor presta anual și pentru următorii ani de raportare 2023 și 2024. </w:t>
      </w:r>
    </w:p>
    <w:p w14:paraId="109BDF62" w14:textId="77777777" w:rsidR="00A207C6" w:rsidRPr="00650D66" w:rsidRDefault="00A207C6" w:rsidP="00A207C6">
      <w:pPr>
        <w:spacing w:after="0" w:line="276" w:lineRule="auto"/>
        <w:jc w:val="both"/>
        <w:rPr>
          <w:rFonts w:ascii="Times New Roman" w:eastAsia="Times New Roman" w:hAnsi="Times New Roman" w:cs="Times New Roman"/>
          <w:sz w:val="24"/>
          <w:szCs w:val="24"/>
          <w:lang w:val="ro-RO"/>
        </w:rPr>
      </w:pPr>
    </w:p>
    <w:p w14:paraId="46D55BF6" w14:textId="77777777" w:rsidR="00A16BF8" w:rsidRPr="00650D66" w:rsidRDefault="004D3D2F" w:rsidP="00A207C6">
      <w:pPr>
        <w:pStyle w:val="ListParagraph"/>
        <w:spacing w:after="0" w:line="276" w:lineRule="auto"/>
        <w:ind w:left="0"/>
        <w:jc w:val="both"/>
        <w:outlineLvl w:val="1"/>
        <w:rPr>
          <w:rFonts w:ascii="Times New Roman" w:hAnsi="Times New Roman" w:cs="Times New Roman"/>
          <w:b/>
          <w:iCs/>
          <w:sz w:val="24"/>
          <w:szCs w:val="24"/>
          <w:lang w:val="ro-RO"/>
        </w:rPr>
      </w:pPr>
      <w:bookmarkStart w:id="9" w:name="_Toc159413636"/>
      <w:r w:rsidRPr="00650D66">
        <w:rPr>
          <w:rFonts w:ascii="Times New Roman" w:hAnsi="Times New Roman" w:cs="Times New Roman"/>
          <w:b/>
          <w:sz w:val="24"/>
          <w:szCs w:val="24"/>
          <w:lang w:val="ro-RO"/>
        </w:rPr>
        <w:t>2.6</w:t>
      </w:r>
      <w:r w:rsidR="004C1BFA" w:rsidRPr="00650D66">
        <w:rPr>
          <w:rFonts w:ascii="Times New Roman" w:hAnsi="Times New Roman" w:cs="Times New Roman"/>
          <w:b/>
          <w:sz w:val="24"/>
          <w:szCs w:val="24"/>
          <w:lang w:val="ro-RO"/>
        </w:rPr>
        <w:t xml:space="preserve"> </w:t>
      </w:r>
      <w:r w:rsidR="00ED1518" w:rsidRPr="00650D66">
        <w:rPr>
          <w:rFonts w:ascii="Times New Roman" w:hAnsi="Times New Roman" w:cs="Times New Roman"/>
          <w:b/>
          <w:sz w:val="24"/>
          <w:szCs w:val="24"/>
          <w:lang w:val="ro-RO"/>
        </w:rPr>
        <w:t>Responsabilitățile părților implicate</w:t>
      </w:r>
      <w:r w:rsidR="00A16BF8" w:rsidRPr="00650D66">
        <w:rPr>
          <w:rFonts w:ascii="Times New Roman" w:hAnsi="Times New Roman" w:cs="Times New Roman"/>
          <w:b/>
          <w:iCs/>
          <w:sz w:val="24"/>
          <w:szCs w:val="24"/>
          <w:lang w:val="ro-RO"/>
        </w:rPr>
        <w:t xml:space="preserve"> </w:t>
      </w:r>
      <w:r w:rsidR="00EB0DB8" w:rsidRPr="00650D66">
        <w:rPr>
          <w:rFonts w:ascii="Times New Roman" w:hAnsi="Times New Roman" w:cs="Times New Roman"/>
          <w:b/>
          <w:iCs/>
          <w:sz w:val="24"/>
          <w:szCs w:val="24"/>
          <w:lang w:val="ro-RO"/>
        </w:rPr>
        <w:t>în procesul de planificare, executare și raportare a devizului de cheltuieli și alocațiilor pentru investiții</w:t>
      </w:r>
      <w:bookmarkEnd w:id="9"/>
    </w:p>
    <w:p w14:paraId="0235D067" w14:textId="77777777" w:rsidR="00772CF1" w:rsidRPr="00650D66" w:rsidRDefault="00772CF1" w:rsidP="004748FB">
      <w:pPr>
        <w:pStyle w:val="ListParagraph"/>
        <w:spacing w:after="0" w:line="276" w:lineRule="auto"/>
        <w:ind w:left="0"/>
        <w:jc w:val="both"/>
        <w:rPr>
          <w:rFonts w:ascii="Times New Roman" w:hAnsi="Times New Roman" w:cs="Times New Roman"/>
          <w:iCs/>
          <w:sz w:val="24"/>
          <w:szCs w:val="24"/>
          <w:lang w:val="ro-RO"/>
        </w:rPr>
      </w:pPr>
      <w:r w:rsidRPr="00650D66">
        <w:rPr>
          <w:rFonts w:ascii="Times New Roman" w:hAnsi="Times New Roman" w:cs="Times New Roman"/>
          <w:i/>
          <w:iCs/>
          <w:sz w:val="24"/>
          <w:szCs w:val="24"/>
          <w:lang w:val="ro-RO"/>
        </w:rPr>
        <w:t xml:space="preserve">Guvernatorul </w:t>
      </w:r>
      <w:r w:rsidRPr="00650D66">
        <w:rPr>
          <w:rFonts w:ascii="Times New Roman" w:hAnsi="Times New Roman" w:cs="Times New Roman"/>
          <w:iCs/>
          <w:sz w:val="24"/>
          <w:szCs w:val="24"/>
          <w:lang w:val="ro-RO"/>
        </w:rPr>
        <w:t>organizează și conduce activitatea BNM, activează, fără procură, în numele acesteia, o reprezintă în relațiile cu orice persoană juridică sau fizică atât în RM, cât și în afara ei, emite ordine și dispoziții obligatorii pentru salariații BNM, controlează executarea lor, semnează, direct sau prin persoane împuternicite de el, acordurile și alte acte încheiate de BNM.</w:t>
      </w:r>
    </w:p>
    <w:p w14:paraId="65889F56" w14:textId="12730AA6" w:rsidR="00685A7E" w:rsidRPr="00650D66" w:rsidRDefault="00A16BF8" w:rsidP="004748FB">
      <w:pPr>
        <w:pStyle w:val="ListParagraph"/>
        <w:spacing w:after="0" w:line="276" w:lineRule="auto"/>
        <w:ind w:left="0"/>
        <w:jc w:val="both"/>
        <w:rPr>
          <w:rFonts w:ascii="Times New Roman" w:hAnsi="Times New Roman" w:cs="Times New Roman"/>
          <w:sz w:val="24"/>
          <w:szCs w:val="24"/>
          <w:lang w:val="ro-RO"/>
        </w:rPr>
      </w:pPr>
      <w:r w:rsidRPr="00650D66">
        <w:rPr>
          <w:rFonts w:ascii="Times New Roman" w:hAnsi="Times New Roman" w:cs="Times New Roman"/>
          <w:i/>
          <w:iCs/>
          <w:sz w:val="24"/>
          <w:szCs w:val="24"/>
          <w:lang w:val="ro-RO"/>
        </w:rPr>
        <w:t xml:space="preserve">Responsabilitatea </w:t>
      </w:r>
      <w:r w:rsidR="00A7149D" w:rsidRPr="00650D66">
        <w:rPr>
          <w:rFonts w:ascii="Times New Roman" w:hAnsi="Times New Roman" w:cs="Times New Roman"/>
          <w:i/>
          <w:iCs/>
          <w:sz w:val="24"/>
          <w:szCs w:val="24"/>
          <w:lang w:val="ro-RO"/>
        </w:rPr>
        <w:t>organelor de conducere ale</w:t>
      </w:r>
      <w:r w:rsidRPr="00650D66">
        <w:rPr>
          <w:rFonts w:ascii="Times New Roman" w:hAnsi="Times New Roman" w:cs="Times New Roman"/>
          <w:i/>
          <w:iCs/>
          <w:sz w:val="24"/>
          <w:szCs w:val="24"/>
          <w:lang w:val="ro-RO"/>
        </w:rPr>
        <w:t xml:space="preserve"> BNM</w:t>
      </w:r>
      <w:r w:rsidR="000370B4" w:rsidRPr="00650D66">
        <w:rPr>
          <w:rFonts w:ascii="Times New Roman" w:hAnsi="Times New Roman" w:cs="Times New Roman"/>
          <w:i/>
          <w:iCs/>
          <w:sz w:val="24"/>
          <w:szCs w:val="24"/>
          <w:lang w:val="ro-RO"/>
        </w:rPr>
        <w:t xml:space="preserve"> (</w:t>
      </w:r>
      <w:r w:rsidR="000370B4" w:rsidRPr="00650D66">
        <w:rPr>
          <w:rFonts w:ascii="Times New Roman" w:hAnsi="Times New Roman" w:cs="Times New Roman"/>
          <w:i/>
          <w:sz w:val="24"/>
          <w:szCs w:val="24"/>
          <w:lang w:val="ro-RO"/>
        </w:rPr>
        <w:t>Consiliul de sup</w:t>
      </w:r>
      <w:r w:rsidR="00CD1430" w:rsidRPr="00650D66">
        <w:rPr>
          <w:rFonts w:ascii="Times New Roman" w:hAnsi="Times New Roman" w:cs="Times New Roman"/>
          <w:i/>
          <w:sz w:val="24"/>
          <w:szCs w:val="24"/>
          <w:lang w:val="ro-RO"/>
        </w:rPr>
        <w:t>raveghere și Comitetul executiv</w:t>
      </w:r>
      <w:r w:rsidR="00F61B6D">
        <w:rPr>
          <w:rFonts w:ascii="Times New Roman" w:hAnsi="Times New Roman" w:cs="Times New Roman"/>
          <w:i/>
          <w:sz w:val="24"/>
          <w:szCs w:val="24"/>
          <w:lang w:val="ro-RO"/>
        </w:rPr>
        <w:t>, al căror</w:t>
      </w:r>
      <w:r w:rsidR="00B15B9B" w:rsidRPr="00650D66">
        <w:rPr>
          <w:rFonts w:ascii="Times New Roman" w:hAnsi="Times New Roman" w:cs="Times New Roman"/>
          <w:i/>
          <w:iCs/>
          <w:sz w:val="24"/>
          <w:szCs w:val="24"/>
          <w:lang w:val="ro-RO"/>
        </w:rPr>
        <w:t xml:space="preserve"> președinte</w:t>
      </w:r>
      <w:r w:rsidR="00F61B6D">
        <w:rPr>
          <w:rFonts w:ascii="Times New Roman" w:hAnsi="Times New Roman" w:cs="Times New Roman"/>
          <w:i/>
          <w:iCs/>
          <w:sz w:val="24"/>
          <w:szCs w:val="24"/>
          <w:lang w:val="ro-RO"/>
        </w:rPr>
        <w:t xml:space="preserve"> este</w:t>
      </w:r>
      <w:r w:rsidR="00B15B9B" w:rsidRPr="00650D66">
        <w:rPr>
          <w:rFonts w:ascii="Times New Roman" w:hAnsi="Times New Roman" w:cs="Times New Roman"/>
          <w:i/>
          <w:iCs/>
          <w:sz w:val="24"/>
          <w:szCs w:val="24"/>
          <w:lang w:val="ro-RO"/>
        </w:rPr>
        <w:t xml:space="preserve"> Guvernatorul</w:t>
      </w:r>
      <w:r w:rsidR="00CD1430" w:rsidRPr="00650D66">
        <w:rPr>
          <w:rFonts w:ascii="Times New Roman" w:hAnsi="Times New Roman" w:cs="Times New Roman"/>
          <w:i/>
          <w:iCs/>
          <w:sz w:val="24"/>
          <w:szCs w:val="24"/>
          <w:lang w:val="ro-RO"/>
        </w:rPr>
        <w:t>)</w:t>
      </w:r>
      <w:r w:rsidR="00B15B9B" w:rsidRPr="00650D66">
        <w:rPr>
          <w:rFonts w:ascii="Times New Roman" w:hAnsi="Times New Roman" w:cs="Times New Roman"/>
          <w:i/>
          <w:iCs/>
          <w:sz w:val="24"/>
          <w:szCs w:val="24"/>
          <w:lang w:val="ro-RO"/>
        </w:rPr>
        <w:t xml:space="preserve">, </w:t>
      </w:r>
      <w:r w:rsidRPr="00650D66">
        <w:rPr>
          <w:rFonts w:ascii="Times New Roman" w:hAnsi="Times New Roman" w:cs="Times New Roman"/>
          <w:sz w:val="24"/>
          <w:szCs w:val="24"/>
          <w:lang w:val="ro-RO"/>
        </w:rPr>
        <w:t>în conformitate cu normele legale, constă în asigurarea conformității executării devizului de cheltuieli</w:t>
      </w:r>
      <w:r w:rsidR="00C92EFC" w:rsidRPr="00650D66">
        <w:rPr>
          <w:rFonts w:ascii="Times New Roman" w:hAnsi="Times New Roman" w:cs="Times New Roman"/>
          <w:sz w:val="24"/>
          <w:szCs w:val="24"/>
          <w:lang w:val="ro-RO"/>
        </w:rPr>
        <w:t xml:space="preserve"> și alocațiilor pentru investiții</w:t>
      </w:r>
      <w:r w:rsidRPr="00650D66">
        <w:rPr>
          <w:rFonts w:ascii="Times New Roman" w:hAnsi="Times New Roman" w:cs="Times New Roman"/>
          <w:sz w:val="24"/>
          <w:szCs w:val="24"/>
          <w:lang w:val="ro-RO"/>
        </w:rPr>
        <w:t xml:space="preserve">, cu </w:t>
      </w:r>
      <w:r w:rsidRPr="00650D66">
        <w:rPr>
          <w:rFonts w:ascii="Times New Roman" w:hAnsi="Times New Roman" w:cs="Times New Roman"/>
          <w:sz w:val="24"/>
          <w:szCs w:val="24"/>
          <w:lang w:val="ro-RO"/>
        </w:rPr>
        <w:lastRenderedPageBreak/>
        <w:t>respectarea princi</w:t>
      </w:r>
      <w:r w:rsidR="000370B4" w:rsidRPr="00650D66">
        <w:rPr>
          <w:rFonts w:ascii="Times New Roman" w:hAnsi="Times New Roman" w:cs="Times New Roman"/>
          <w:sz w:val="24"/>
          <w:szCs w:val="24"/>
          <w:lang w:val="ro-RO"/>
        </w:rPr>
        <w:t xml:space="preserve">piilor eficienței operaționale și </w:t>
      </w:r>
      <w:r w:rsidRPr="00650D66">
        <w:rPr>
          <w:rFonts w:ascii="Times New Roman" w:hAnsi="Times New Roman" w:cs="Times New Roman"/>
          <w:sz w:val="24"/>
          <w:szCs w:val="24"/>
          <w:lang w:val="ro-RO"/>
        </w:rPr>
        <w:t>organizarea unui sistem de management financiar și control intern.</w:t>
      </w:r>
      <w:r w:rsidR="000370B4" w:rsidRPr="00650D66">
        <w:rPr>
          <w:rFonts w:ascii="Times New Roman" w:hAnsi="Times New Roman" w:cs="Times New Roman"/>
          <w:sz w:val="24"/>
          <w:szCs w:val="24"/>
          <w:lang w:val="ro-RO"/>
        </w:rPr>
        <w:t xml:space="preserve"> </w:t>
      </w:r>
    </w:p>
    <w:p w14:paraId="45558E9F" w14:textId="77777777" w:rsidR="007E6F23" w:rsidRPr="00650D66" w:rsidRDefault="00B243F6" w:rsidP="00693CAA">
      <w:pPr>
        <w:pStyle w:val="NormalWeb"/>
        <w:spacing w:line="276" w:lineRule="auto"/>
        <w:ind w:firstLine="0"/>
        <w:rPr>
          <w:i/>
          <w:lang w:val="ro-RO"/>
        </w:rPr>
      </w:pPr>
      <w:r w:rsidRPr="00650D66">
        <w:rPr>
          <w:i/>
          <w:lang w:val="ro-RO"/>
        </w:rPr>
        <w:t>Consiliul de supraveghere are următoarele atribuții</w:t>
      </w:r>
      <w:r w:rsidRPr="00650D66">
        <w:rPr>
          <w:rStyle w:val="FootnoteReference"/>
          <w:i/>
          <w:lang w:val="ro-RO"/>
        </w:rPr>
        <w:footnoteReference w:id="19"/>
      </w:r>
      <w:r w:rsidRPr="00650D66">
        <w:rPr>
          <w:i/>
          <w:lang w:val="ro-RO"/>
        </w:rPr>
        <w:t>:</w:t>
      </w:r>
      <w:r w:rsidR="00693CAA" w:rsidRPr="00650D66">
        <w:rPr>
          <w:i/>
          <w:lang w:val="ro-RO"/>
        </w:rPr>
        <w:t xml:space="preserve"> (i) </w:t>
      </w:r>
      <w:r w:rsidRPr="00650D66">
        <w:rPr>
          <w:lang w:val="ro-RO"/>
        </w:rPr>
        <w:t xml:space="preserve">aprobă raportul anual </w:t>
      </w:r>
      <w:r w:rsidR="00693CAA" w:rsidRPr="00650D66">
        <w:rPr>
          <w:lang w:val="ro-RO"/>
        </w:rPr>
        <w:t>și</w:t>
      </w:r>
      <w:r w:rsidRPr="00650D66">
        <w:rPr>
          <w:lang w:val="ro-RO"/>
        </w:rPr>
        <w:t xml:space="preserve"> </w:t>
      </w:r>
      <w:r w:rsidR="00693CAA" w:rsidRPr="00650D66">
        <w:rPr>
          <w:lang w:val="ro-RO"/>
        </w:rPr>
        <w:t>situațiile</w:t>
      </w:r>
      <w:r w:rsidRPr="00650D66">
        <w:rPr>
          <w:lang w:val="ro-RO"/>
        </w:rPr>
        <w:t xml:space="preserve"> financiare anuale ce urmează a fi prezentate de către </w:t>
      </w:r>
      <w:r w:rsidR="00693CAA" w:rsidRPr="00650D66">
        <w:rPr>
          <w:lang w:val="ro-RO"/>
        </w:rPr>
        <w:t>BNM</w:t>
      </w:r>
      <w:r w:rsidRPr="00650D66">
        <w:rPr>
          <w:lang w:val="ro-RO"/>
        </w:rPr>
        <w:t xml:space="preserve"> </w:t>
      </w:r>
      <w:r w:rsidR="00693CAA" w:rsidRPr="00650D66">
        <w:rPr>
          <w:lang w:val="ro-RO"/>
        </w:rPr>
        <w:t>autorităților</w:t>
      </w:r>
      <w:r w:rsidRPr="00650D66">
        <w:rPr>
          <w:lang w:val="ro-RO"/>
        </w:rPr>
        <w:t xml:space="preserve"> competente;</w:t>
      </w:r>
      <w:r w:rsidR="00693CAA" w:rsidRPr="00650D66">
        <w:rPr>
          <w:i/>
          <w:lang w:val="ro-RO"/>
        </w:rPr>
        <w:t xml:space="preserve"> (ii) </w:t>
      </w:r>
      <w:r w:rsidRPr="00650D66">
        <w:rPr>
          <w:lang w:val="ro-RO"/>
        </w:rPr>
        <w:t xml:space="preserve">adoptă standardele sistemului de control intern, verifică </w:t>
      </w:r>
      <w:r w:rsidR="00693CAA" w:rsidRPr="00650D66">
        <w:rPr>
          <w:lang w:val="ro-RO"/>
        </w:rPr>
        <w:t>și</w:t>
      </w:r>
      <w:r w:rsidRPr="00650D66">
        <w:rPr>
          <w:lang w:val="ro-RO"/>
        </w:rPr>
        <w:t xml:space="preserve"> evaluează în mod continuu </w:t>
      </w:r>
      <w:r w:rsidR="00693CAA" w:rsidRPr="00650D66">
        <w:rPr>
          <w:lang w:val="ro-RO"/>
        </w:rPr>
        <w:t>funcționarea</w:t>
      </w:r>
      <w:r w:rsidRPr="00650D66">
        <w:rPr>
          <w:lang w:val="ro-RO"/>
        </w:rPr>
        <w:t xml:space="preserve"> sistemului de control intern </w:t>
      </w:r>
      <w:r w:rsidR="00693CAA" w:rsidRPr="00650D66">
        <w:rPr>
          <w:lang w:val="ro-RO"/>
        </w:rPr>
        <w:t>și</w:t>
      </w:r>
      <w:r w:rsidRPr="00650D66">
        <w:rPr>
          <w:lang w:val="ro-RO"/>
        </w:rPr>
        <w:t xml:space="preserve"> a elementelor acestuia;</w:t>
      </w:r>
      <w:r w:rsidR="00693CAA" w:rsidRPr="00650D66">
        <w:rPr>
          <w:i/>
          <w:lang w:val="ro-RO"/>
        </w:rPr>
        <w:t xml:space="preserve"> (iii) </w:t>
      </w:r>
      <w:r w:rsidRPr="00650D66">
        <w:rPr>
          <w:lang w:val="ro-RO"/>
        </w:rPr>
        <w:t xml:space="preserve">determină fondul de salarizare al </w:t>
      </w:r>
      <w:r w:rsidR="00693CAA" w:rsidRPr="00650D66">
        <w:rPr>
          <w:lang w:val="ro-RO"/>
        </w:rPr>
        <w:t>BNM</w:t>
      </w:r>
      <w:r w:rsidRPr="00650D66">
        <w:rPr>
          <w:lang w:val="ro-RO"/>
        </w:rPr>
        <w:t xml:space="preserve"> </w:t>
      </w:r>
      <w:r w:rsidR="00693CAA" w:rsidRPr="00650D66">
        <w:rPr>
          <w:lang w:val="ro-RO"/>
        </w:rPr>
        <w:t>și</w:t>
      </w:r>
      <w:r w:rsidRPr="00650D66">
        <w:rPr>
          <w:lang w:val="ro-RO"/>
        </w:rPr>
        <w:t xml:space="preserve"> nivelul salarizării</w:t>
      </w:r>
      <w:r w:rsidR="00693CAA" w:rsidRPr="00650D66">
        <w:rPr>
          <w:lang w:val="ro-RO"/>
        </w:rPr>
        <w:t xml:space="preserve"> membrilor Comitetului executiv</w:t>
      </w:r>
      <w:r w:rsidRPr="00650D66">
        <w:rPr>
          <w:lang w:val="ro-RO"/>
        </w:rPr>
        <w:t>;</w:t>
      </w:r>
      <w:r w:rsidR="00693CAA" w:rsidRPr="00650D66">
        <w:rPr>
          <w:i/>
          <w:lang w:val="ro-RO"/>
        </w:rPr>
        <w:t xml:space="preserve"> (iv) </w:t>
      </w:r>
      <w:r w:rsidR="00693CAA" w:rsidRPr="00650D66">
        <w:rPr>
          <w:lang w:val="ro-RO"/>
        </w:rPr>
        <w:t>stabilește</w:t>
      </w:r>
      <w:r w:rsidRPr="00650D66">
        <w:rPr>
          <w:lang w:val="ro-RO"/>
        </w:rPr>
        <w:t xml:space="preserve"> </w:t>
      </w:r>
      <w:r w:rsidR="00693CAA" w:rsidRPr="00650D66">
        <w:rPr>
          <w:lang w:val="ro-RO"/>
        </w:rPr>
        <w:t>condițiile</w:t>
      </w:r>
      <w:r w:rsidRPr="00650D66">
        <w:rPr>
          <w:lang w:val="ro-RO"/>
        </w:rPr>
        <w:t xml:space="preserve"> de acordare a creditelor pentru </w:t>
      </w:r>
      <w:r w:rsidR="00693CAA" w:rsidRPr="00650D66">
        <w:rPr>
          <w:lang w:val="ro-RO"/>
        </w:rPr>
        <w:t>salariații</w:t>
      </w:r>
      <w:r w:rsidRPr="00650D66">
        <w:rPr>
          <w:lang w:val="ro-RO"/>
        </w:rPr>
        <w:t xml:space="preserve"> </w:t>
      </w:r>
      <w:r w:rsidR="00693CAA" w:rsidRPr="00650D66">
        <w:rPr>
          <w:lang w:val="ro-RO"/>
        </w:rPr>
        <w:t>BNM</w:t>
      </w:r>
      <w:r w:rsidRPr="00650D66">
        <w:rPr>
          <w:lang w:val="ro-RO"/>
        </w:rPr>
        <w:t>;</w:t>
      </w:r>
      <w:r w:rsidR="00693CAA" w:rsidRPr="00650D66">
        <w:rPr>
          <w:i/>
          <w:lang w:val="ro-RO"/>
        </w:rPr>
        <w:t xml:space="preserve"> (v) </w:t>
      </w:r>
      <w:r w:rsidRPr="00650D66">
        <w:rPr>
          <w:lang w:val="ro-RO"/>
        </w:rPr>
        <w:t xml:space="preserve">aprobă devizul de cheltuieli </w:t>
      </w:r>
      <w:r w:rsidR="00693CAA" w:rsidRPr="00650D66">
        <w:rPr>
          <w:lang w:val="ro-RO"/>
        </w:rPr>
        <w:t>și</w:t>
      </w:r>
      <w:r w:rsidRPr="00650D66">
        <w:rPr>
          <w:lang w:val="ro-RO"/>
        </w:rPr>
        <w:t xml:space="preserve"> </w:t>
      </w:r>
      <w:r w:rsidR="00693CAA" w:rsidRPr="00650D66">
        <w:rPr>
          <w:lang w:val="ro-RO"/>
        </w:rPr>
        <w:t>alocațiile</w:t>
      </w:r>
      <w:r w:rsidRPr="00650D66">
        <w:rPr>
          <w:lang w:val="ro-RO"/>
        </w:rPr>
        <w:t xml:space="preserve"> pentru </w:t>
      </w:r>
      <w:r w:rsidR="00693CAA" w:rsidRPr="00650D66">
        <w:rPr>
          <w:lang w:val="ro-RO"/>
        </w:rPr>
        <w:t>investiții</w:t>
      </w:r>
      <w:r w:rsidRPr="00650D66">
        <w:rPr>
          <w:lang w:val="ro-RO"/>
        </w:rPr>
        <w:t xml:space="preserve"> ale </w:t>
      </w:r>
      <w:r w:rsidR="00693CAA" w:rsidRPr="00650D66">
        <w:rPr>
          <w:lang w:val="ro-RO"/>
        </w:rPr>
        <w:t>BNM</w:t>
      </w:r>
      <w:r w:rsidRPr="00650D66">
        <w:rPr>
          <w:lang w:val="ro-RO"/>
        </w:rPr>
        <w:t xml:space="preserve"> </w:t>
      </w:r>
      <w:r w:rsidR="00693CAA" w:rsidRPr="00650D66">
        <w:rPr>
          <w:lang w:val="ro-RO"/>
        </w:rPr>
        <w:t>și</w:t>
      </w:r>
      <w:r w:rsidRPr="00650D66">
        <w:rPr>
          <w:lang w:val="ro-RO"/>
        </w:rPr>
        <w:t xml:space="preserve"> mo</w:t>
      </w:r>
      <w:r w:rsidR="00693CAA" w:rsidRPr="00650D66">
        <w:rPr>
          <w:lang w:val="ro-RO"/>
        </w:rPr>
        <w:t>nitorizează executarea acestora etc.</w:t>
      </w:r>
    </w:p>
    <w:p w14:paraId="72FF5572" w14:textId="2813A7DA" w:rsidR="00BB3258" w:rsidRDefault="00763F21" w:rsidP="00886040">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i/>
          <w:sz w:val="24"/>
          <w:szCs w:val="24"/>
          <w:lang w:val="ro-RO"/>
        </w:rPr>
        <w:t>Comitetul executiv are următoarele atribuții</w:t>
      </w:r>
      <w:r w:rsidRPr="00650D66">
        <w:rPr>
          <w:rStyle w:val="FootnoteReference"/>
          <w:rFonts w:ascii="Times New Roman" w:eastAsia="Times New Roman" w:hAnsi="Times New Roman" w:cs="Times New Roman"/>
          <w:i/>
          <w:sz w:val="24"/>
          <w:szCs w:val="24"/>
          <w:lang w:val="ro-RO"/>
        </w:rPr>
        <w:footnoteReference w:id="20"/>
      </w:r>
      <w:r w:rsidRPr="00650D66">
        <w:rPr>
          <w:rFonts w:ascii="Times New Roman" w:eastAsia="Times New Roman" w:hAnsi="Times New Roman" w:cs="Times New Roman"/>
          <w:i/>
          <w:sz w:val="24"/>
          <w:szCs w:val="24"/>
          <w:lang w:val="ro-RO"/>
        </w:rPr>
        <w:t xml:space="preserve">: </w:t>
      </w:r>
      <w:r w:rsidR="00886040" w:rsidRPr="00650D66">
        <w:rPr>
          <w:rFonts w:ascii="Times New Roman" w:eastAsia="Times New Roman" w:hAnsi="Times New Roman" w:cs="Times New Roman"/>
          <w:i/>
          <w:sz w:val="24"/>
          <w:szCs w:val="24"/>
          <w:lang w:val="ro-RO"/>
        </w:rPr>
        <w:t xml:space="preserve">(i) </w:t>
      </w:r>
      <w:r w:rsidRPr="00650D66">
        <w:rPr>
          <w:rFonts w:ascii="Times New Roman" w:eastAsia="Times New Roman" w:hAnsi="Times New Roman" w:cs="Times New Roman"/>
          <w:sz w:val="24"/>
          <w:szCs w:val="24"/>
          <w:lang w:val="ro-RO"/>
        </w:rPr>
        <w:t xml:space="preserve">adoptă actele normative ale </w:t>
      </w:r>
      <w:r w:rsidR="00886040" w:rsidRPr="00650D66">
        <w:rPr>
          <w:rFonts w:ascii="Times New Roman" w:eastAsia="Times New Roman" w:hAnsi="Times New Roman" w:cs="Times New Roman"/>
          <w:sz w:val="24"/>
          <w:szCs w:val="24"/>
          <w:lang w:val="ro-RO"/>
        </w:rPr>
        <w:t>BNM</w:t>
      </w:r>
      <w:r w:rsidRPr="00650D66">
        <w:rPr>
          <w:rFonts w:ascii="Times New Roman" w:eastAsia="Times New Roman" w:hAnsi="Times New Roman" w:cs="Times New Roman"/>
          <w:sz w:val="24"/>
          <w:szCs w:val="24"/>
          <w:lang w:val="ro-RO"/>
        </w:rPr>
        <w:t xml:space="preserve"> </w:t>
      </w:r>
      <w:r w:rsidR="00886040" w:rsidRPr="00650D66">
        <w:rPr>
          <w:rFonts w:ascii="Times New Roman" w:eastAsia="Times New Roman" w:hAnsi="Times New Roman" w:cs="Times New Roman"/>
          <w:sz w:val="24"/>
          <w:szCs w:val="24"/>
          <w:lang w:val="ro-RO"/>
        </w:rPr>
        <w:t>și</w:t>
      </w:r>
      <w:r w:rsidRPr="00650D66">
        <w:rPr>
          <w:rFonts w:ascii="Times New Roman" w:eastAsia="Times New Roman" w:hAnsi="Times New Roman" w:cs="Times New Roman"/>
          <w:sz w:val="24"/>
          <w:szCs w:val="24"/>
          <w:lang w:val="ro-RO"/>
        </w:rPr>
        <w:t xml:space="preserve"> aprobă recomandările ce urmează a fi prezentate de </w:t>
      </w:r>
      <w:r w:rsidR="00886040" w:rsidRPr="00650D66">
        <w:rPr>
          <w:rFonts w:ascii="Times New Roman" w:eastAsia="Times New Roman" w:hAnsi="Times New Roman" w:cs="Times New Roman"/>
          <w:sz w:val="24"/>
          <w:szCs w:val="24"/>
          <w:lang w:val="ro-RO"/>
        </w:rPr>
        <w:t>BNM</w:t>
      </w:r>
      <w:r w:rsidRPr="00650D66">
        <w:rPr>
          <w:rFonts w:ascii="Times New Roman" w:eastAsia="Times New Roman" w:hAnsi="Times New Roman" w:cs="Times New Roman"/>
          <w:sz w:val="24"/>
          <w:szCs w:val="24"/>
          <w:lang w:val="ro-RO"/>
        </w:rPr>
        <w:t xml:space="preserve"> </w:t>
      </w:r>
      <w:r w:rsidR="00886040" w:rsidRPr="00650D66">
        <w:rPr>
          <w:rFonts w:ascii="Times New Roman" w:eastAsia="Times New Roman" w:hAnsi="Times New Roman" w:cs="Times New Roman"/>
          <w:sz w:val="24"/>
          <w:szCs w:val="24"/>
          <w:lang w:val="ro-RO"/>
        </w:rPr>
        <w:t>autorităților</w:t>
      </w:r>
      <w:r w:rsidRPr="00650D66">
        <w:rPr>
          <w:rFonts w:ascii="Times New Roman" w:eastAsia="Times New Roman" w:hAnsi="Times New Roman" w:cs="Times New Roman"/>
          <w:sz w:val="24"/>
          <w:szCs w:val="24"/>
          <w:lang w:val="ro-RO"/>
        </w:rPr>
        <w:t xml:space="preserve"> competente;</w:t>
      </w:r>
      <w:r w:rsidR="00886040" w:rsidRPr="00650D66">
        <w:rPr>
          <w:rFonts w:ascii="Times New Roman" w:eastAsia="Times New Roman" w:hAnsi="Times New Roman" w:cs="Times New Roman"/>
          <w:i/>
          <w:sz w:val="24"/>
          <w:szCs w:val="24"/>
          <w:lang w:val="ro-RO"/>
        </w:rPr>
        <w:t xml:space="preserve"> (ii) </w:t>
      </w:r>
      <w:r w:rsidRPr="00650D66">
        <w:rPr>
          <w:rFonts w:ascii="Times New Roman" w:eastAsia="Times New Roman" w:hAnsi="Times New Roman" w:cs="Times New Roman"/>
          <w:sz w:val="24"/>
          <w:szCs w:val="24"/>
          <w:lang w:val="ro-RO"/>
        </w:rPr>
        <w:t xml:space="preserve">asigură implementarea </w:t>
      </w:r>
      <w:r w:rsidR="00886040" w:rsidRPr="00650D66">
        <w:rPr>
          <w:rFonts w:ascii="Times New Roman" w:eastAsia="Times New Roman" w:hAnsi="Times New Roman" w:cs="Times New Roman"/>
          <w:sz w:val="24"/>
          <w:szCs w:val="24"/>
          <w:lang w:val="ro-RO"/>
        </w:rPr>
        <w:t>hotărârilor</w:t>
      </w:r>
      <w:r w:rsidRPr="00650D66">
        <w:rPr>
          <w:rFonts w:ascii="Times New Roman" w:eastAsia="Times New Roman" w:hAnsi="Times New Roman" w:cs="Times New Roman"/>
          <w:sz w:val="24"/>
          <w:szCs w:val="24"/>
          <w:lang w:val="ro-RO"/>
        </w:rPr>
        <w:t xml:space="preserve"> Consiliului de supra</w:t>
      </w:r>
      <w:r w:rsidR="00886040" w:rsidRPr="00650D66">
        <w:rPr>
          <w:rFonts w:ascii="Times New Roman" w:eastAsia="Times New Roman" w:hAnsi="Times New Roman" w:cs="Times New Roman"/>
          <w:sz w:val="24"/>
          <w:szCs w:val="24"/>
          <w:lang w:val="ro-RO"/>
        </w:rPr>
        <w:t>veghere</w:t>
      </w:r>
      <w:r w:rsidRPr="00650D66">
        <w:rPr>
          <w:rFonts w:ascii="Times New Roman" w:eastAsia="Times New Roman" w:hAnsi="Times New Roman" w:cs="Times New Roman"/>
          <w:sz w:val="24"/>
          <w:szCs w:val="24"/>
          <w:lang w:val="ro-RO"/>
        </w:rPr>
        <w:t>;</w:t>
      </w:r>
      <w:r w:rsidR="00886040" w:rsidRPr="00650D66">
        <w:rPr>
          <w:rFonts w:ascii="Times New Roman" w:eastAsia="Times New Roman" w:hAnsi="Times New Roman" w:cs="Times New Roman"/>
          <w:i/>
          <w:sz w:val="24"/>
          <w:szCs w:val="24"/>
          <w:lang w:val="ro-RO"/>
        </w:rPr>
        <w:t xml:space="preserve"> (iii) </w:t>
      </w:r>
      <w:r w:rsidRPr="00650D66">
        <w:rPr>
          <w:rFonts w:ascii="Times New Roman" w:eastAsia="Times New Roman" w:hAnsi="Times New Roman" w:cs="Times New Roman"/>
          <w:sz w:val="24"/>
          <w:szCs w:val="24"/>
          <w:lang w:val="ro-RO"/>
        </w:rPr>
        <w:t xml:space="preserve">planifică activitatea curentă a </w:t>
      </w:r>
      <w:r w:rsidR="00886040" w:rsidRPr="00650D66">
        <w:rPr>
          <w:rFonts w:ascii="Times New Roman" w:eastAsia="Times New Roman" w:hAnsi="Times New Roman" w:cs="Times New Roman"/>
          <w:sz w:val="24"/>
          <w:szCs w:val="24"/>
          <w:lang w:val="ro-RO"/>
        </w:rPr>
        <w:t>BNM</w:t>
      </w:r>
      <w:r w:rsidRPr="00650D66">
        <w:rPr>
          <w:rFonts w:ascii="Times New Roman" w:eastAsia="Times New Roman" w:hAnsi="Times New Roman" w:cs="Times New Roman"/>
          <w:sz w:val="24"/>
          <w:szCs w:val="24"/>
          <w:lang w:val="ro-RO"/>
        </w:rPr>
        <w:t xml:space="preserve"> </w:t>
      </w:r>
      <w:r w:rsidR="00886040" w:rsidRPr="00650D66">
        <w:rPr>
          <w:rFonts w:ascii="Times New Roman" w:eastAsia="Times New Roman" w:hAnsi="Times New Roman" w:cs="Times New Roman"/>
          <w:sz w:val="24"/>
          <w:szCs w:val="24"/>
          <w:lang w:val="ro-RO"/>
        </w:rPr>
        <w:t>și</w:t>
      </w:r>
      <w:r w:rsidRPr="00650D66">
        <w:rPr>
          <w:rFonts w:ascii="Times New Roman" w:eastAsia="Times New Roman" w:hAnsi="Times New Roman" w:cs="Times New Roman"/>
          <w:sz w:val="24"/>
          <w:szCs w:val="24"/>
          <w:lang w:val="ro-RO"/>
        </w:rPr>
        <w:t xml:space="preserve"> adoptă reglementări interne cu privire la activita</w:t>
      </w:r>
      <w:r w:rsidR="00886040" w:rsidRPr="00650D66">
        <w:rPr>
          <w:rFonts w:ascii="Times New Roman" w:eastAsia="Times New Roman" w:hAnsi="Times New Roman" w:cs="Times New Roman"/>
          <w:sz w:val="24"/>
          <w:szCs w:val="24"/>
          <w:lang w:val="ro-RO"/>
        </w:rPr>
        <w:t>tea curentă a acesteia etc.</w:t>
      </w:r>
      <w:r w:rsidR="00264325" w:rsidRPr="00650D66">
        <w:rPr>
          <w:rFonts w:ascii="Times New Roman" w:eastAsia="Times New Roman" w:hAnsi="Times New Roman" w:cs="Times New Roman"/>
          <w:sz w:val="24"/>
          <w:szCs w:val="24"/>
          <w:lang w:val="ro-RO"/>
        </w:rPr>
        <w:t xml:space="preserve"> Astfel, Comitetul executiv este responsabil de modalitatea detaliată de planificare și executare a cheltuielilor și alocațiilor pentru investiții, de determinarea detaliată a tipurilor de cheltuieli planificate, de stabilirea subdiviziunilor responsabile, precum și de supravegherea întregului proces de planificare și luare a deciziilor de acceptare/respingere a cheltuielilor necesare a fi efectuate.</w:t>
      </w:r>
    </w:p>
    <w:p w14:paraId="151B2CF7" w14:textId="77777777" w:rsidR="0038052E" w:rsidRPr="00650D66" w:rsidRDefault="0038052E" w:rsidP="00886040">
      <w:pPr>
        <w:spacing w:after="0" w:line="276" w:lineRule="auto"/>
        <w:jc w:val="both"/>
        <w:rPr>
          <w:rFonts w:ascii="Times New Roman" w:eastAsia="Times New Roman" w:hAnsi="Times New Roman" w:cs="Times New Roman"/>
          <w:i/>
          <w:sz w:val="24"/>
          <w:szCs w:val="24"/>
          <w:lang w:val="ro-RO"/>
        </w:rPr>
      </w:pPr>
    </w:p>
    <w:p w14:paraId="0065B11F" w14:textId="62E37413" w:rsidR="00E218B1" w:rsidRPr="00E218B1" w:rsidRDefault="00AA35BD" w:rsidP="00E218B1">
      <w:pPr>
        <w:pStyle w:val="ListParagraph"/>
        <w:numPr>
          <w:ilvl w:val="0"/>
          <w:numId w:val="1"/>
        </w:numPr>
        <w:tabs>
          <w:tab w:val="left" w:pos="426"/>
        </w:tabs>
        <w:spacing w:after="240" w:line="276" w:lineRule="auto"/>
        <w:ind w:left="0" w:firstLine="0"/>
        <w:jc w:val="center"/>
        <w:outlineLvl w:val="0"/>
        <w:rPr>
          <w:rFonts w:ascii="Times New Roman" w:hAnsi="Times New Roman" w:cs="Times New Roman"/>
          <w:b/>
          <w:sz w:val="28"/>
          <w:szCs w:val="28"/>
          <w:lang w:val="ro-RO"/>
        </w:rPr>
      </w:pPr>
      <w:bookmarkStart w:id="10" w:name="_Toc159413637"/>
      <w:r w:rsidRPr="00650D66">
        <w:rPr>
          <w:rFonts w:ascii="Times New Roman" w:hAnsi="Times New Roman" w:cs="Times New Roman"/>
          <w:b/>
          <w:sz w:val="28"/>
          <w:szCs w:val="28"/>
          <w:lang w:val="ro-RO"/>
        </w:rPr>
        <w:t>SFERA ȘI ABORDAREA AUDITULUI</w:t>
      </w:r>
      <w:bookmarkEnd w:id="10"/>
    </w:p>
    <w:p w14:paraId="2137767F" w14:textId="77777777" w:rsidR="008D1C42" w:rsidRPr="00650D66" w:rsidRDefault="003077C5" w:rsidP="00BA120C">
      <w:pPr>
        <w:pStyle w:val="ListParagraph"/>
        <w:numPr>
          <w:ilvl w:val="1"/>
          <w:numId w:val="1"/>
        </w:numPr>
        <w:tabs>
          <w:tab w:val="left" w:pos="426"/>
        </w:tabs>
        <w:spacing w:after="240" w:line="276" w:lineRule="auto"/>
        <w:ind w:left="0" w:firstLine="0"/>
        <w:outlineLvl w:val="1"/>
        <w:rPr>
          <w:rFonts w:ascii="Times New Roman" w:hAnsi="Times New Roman" w:cs="Times New Roman"/>
          <w:b/>
          <w:sz w:val="24"/>
          <w:szCs w:val="24"/>
          <w:lang w:val="ro-RO"/>
        </w:rPr>
      </w:pPr>
      <w:bookmarkStart w:id="11" w:name="_Toc159413638"/>
      <w:r w:rsidRPr="00650D66">
        <w:rPr>
          <w:rFonts w:ascii="Times New Roman" w:hAnsi="Times New Roman" w:cs="Times New Roman"/>
          <w:b/>
          <w:sz w:val="24"/>
          <w:szCs w:val="24"/>
          <w:lang w:val="ro-RO"/>
        </w:rPr>
        <w:t>Temeiul și scopul auditului</w:t>
      </w:r>
      <w:bookmarkEnd w:id="11"/>
    </w:p>
    <w:p w14:paraId="67C9A23A" w14:textId="626C327B" w:rsidR="00680C50" w:rsidRPr="00650D66" w:rsidRDefault="00D71D5D" w:rsidP="00393B31">
      <w:pPr>
        <w:pStyle w:val="ListParagraph"/>
        <w:tabs>
          <w:tab w:val="left" w:pos="426"/>
        </w:tabs>
        <w:spacing w:line="276" w:lineRule="auto"/>
        <w:ind w:left="0"/>
        <w:jc w:val="both"/>
        <w:rPr>
          <w:rFonts w:ascii="Times New Roman" w:hAnsi="Times New Roman" w:cs="Times New Roman"/>
          <w:bCs/>
          <w:sz w:val="24"/>
          <w:szCs w:val="24"/>
          <w:lang w:val="ro-RO"/>
        </w:rPr>
      </w:pPr>
      <w:r w:rsidRPr="00650D66">
        <w:rPr>
          <w:rFonts w:ascii="Times New Roman" w:hAnsi="Times New Roman" w:cs="Times New Roman"/>
          <w:sz w:val="24"/>
          <w:szCs w:val="24"/>
          <w:lang w:val="ro-RO"/>
        </w:rPr>
        <w:t>Misiunea de audit public extern a fost desfășurată în temei</w:t>
      </w:r>
      <w:r w:rsidR="00D047A2" w:rsidRPr="00650D66">
        <w:rPr>
          <w:rFonts w:ascii="Times New Roman" w:hAnsi="Times New Roman" w:cs="Times New Roman"/>
          <w:sz w:val="24"/>
          <w:szCs w:val="24"/>
          <w:lang w:val="ro-RO"/>
        </w:rPr>
        <w:t xml:space="preserve">ul prevederilor art.31 și art.32 </w:t>
      </w:r>
      <w:r w:rsidRPr="00650D66">
        <w:rPr>
          <w:rFonts w:ascii="Times New Roman" w:hAnsi="Times New Roman" w:cs="Times New Roman"/>
          <w:sz w:val="24"/>
          <w:szCs w:val="24"/>
          <w:lang w:val="ro-RO"/>
        </w:rPr>
        <w:t>din Legea privind organizarea și funcționarea Curții de Conturi a Republicii Moldova</w:t>
      </w:r>
      <w:r w:rsidR="00D047A2" w:rsidRPr="00650D66">
        <w:rPr>
          <w:rStyle w:val="FootnoteReference"/>
          <w:rFonts w:ascii="Times New Roman" w:hAnsi="Times New Roman" w:cs="Times New Roman"/>
          <w:sz w:val="24"/>
          <w:szCs w:val="24"/>
          <w:lang w:val="ro-RO"/>
        </w:rPr>
        <w:footnoteReference w:id="21"/>
      </w:r>
      <w:r w:rsidR="00FA49C6"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ș</w:t>
      </w:r>
      <w:r w:rsidR="00EC39F7" w:rsidRPr="00650D66">
        <w:rPr>
          <w:rFonts w:ascii="Times New Roman" w:hAnsi="Times New Roman" w:cs="Times New Roman"/>
          <w:sz w:val="24"/>
          <w:szCs w:val="24"/>
          <w:lang w:val="ro-RO"/>
        </w:rPr>
        <w:t xml:space="preserve">i </w:t>
      </w:r>
      <w:r w:rsidRPr="00650D66">
        <w:rPr>
          <w:rFonts w:ascii="Times New Roman" w:hAnsi="Times New Roman" w:cs="Times New Roman"/>
          <w:sz w:val="24"/>
          <w:szCs w:val="24"/>
          <w:lang w:val="ro-RO"/>
        </w:rPr>
        <w:t>în conformitate cu Programul ac</w:t>
      </w:r>
      <w:r w:rsidR="00FA49C6" w:rsidRPr="00650D66">
        <w:rPr>
          <w:rFonts w:ascii="Times New Roman" w:hAnsi="Times New Roman" w:cs="Times New Roman"/>
          <w:sz w:val="24"/>
          <w:szCs w:val="24"/>
          <w:lang w:val="ro-RO"/>
        </w:rPr>
        <w:t>tivității de audit pe anul 2023</w:t>
      </w:r>
      <w:r w:rsidR="00364A6E" w:rsidRPr="00650D66">
        <w:rPr>
          <w:rStyle w:val="FootnoteReference"/>
          <w:rFonts w:ascii="Times New Roman" w:hAnsi="Times New Roman" w:cs="Times New Roman"/>
          <w:sz w:val="24"/>
          <w:szCs w:val="24"/>
          <w:lang w:val="ro-RO"/>
        </w:rPr>
        <w:footnoteReference w:id="22"/>
      </w:r>
      <w:r w:rsidRPr="00650D66">
        <w:rPr>
          <w:rFonts w:ascii="Times New Roman" w:hAnsi="Times New Roman" w:cs="Times New Roman"/>
          <w:sz w:val="24"/>
          <w:szCs w:val="24"/>
          <w:lang w:val="ro-RO"/>
        </w:rPr>
        <w:t xml:space="preserve">, având scopul </w:t>
      </w:r>
      <w:r w:rsidR="00EC3B82" w:rsidRPr="00650D66">
        <w:rPr>
          <w:rFonts w:ascii="Times New Roman" w:hAnsi="Times New Roman" w:cs="Times New Roman"/>
          <w:sz w:val="24"/>
          <w:szCs w:val="24"/>
          <w:lang w:val="ro-RO"/>
        </w:rPr>
        <w:t>evaluării conformității asupra</w:t>
      </w:r>
      <w:r w:rsidRPr="00650D66">
        <w:rPr>
          <w:rFonts w:ascii="Times New Roman" w:hAnsi="Times New Roman" w:cs="Times New Roman"/>
          <w:sz w:val="24"/>
          <w:szCs w:val="24"/>
          <w:lang w:val="ro-RO"/>
        </w:rPr>
        <w:t xml:space="preserve"> </w:t>
      </w:r>
      <w:r w:rsidR="00680C50" w:rsidRPr="00650D66">
        <w:rPr>
          <w:rFonts w:ascii="Times New Roman" w:hAnsi="Times New Roman" w:cs="Times New Roman"/>
          <w:bCs/>
          <w:sz w:val="24"/>
          <w:szCs w:val="24"/>
          <w:lang w:val="ro-RO"/>
        </w:rPr>
        <w:t>devizelor de cheltuieli și alocațiilor pentru investiții ale Băncii Naționale a Moldovei pe anii 2019</w:t>
      </w:r>
      <w:r w:rsidR="00F61B6D">
        <w:rPr>
          <w:rFonts w:ascii="Times New Roman" w:hAnsi="Times New Roman" w:cs="Times New Roman"/>
          <w:bCs/>
          <w:sz w:val="24"/>
          <w:szCs w:val="24"/>
          <w:lang w:val="ro-RO"/>
        </w:rPr>
        <w:t>-</w:t>
      </w:r>
      <w:r w:rsidR="00680C50" w:rsidRPr="00650D66">
        <w:rPr>
          <w:rFonts w:ascii="Times New Roman" w:hAnsi="Times New Roman" w:cs="Times New Roman"/>
          <w:bCs/>
          <w:sz w:val="24"/>
          <w:szCs w:val="24"/>
          <w:lang w:val="ro-RO"/>
        </w:rPr>
        <w:t>2022</w:t>
      </w:r>
      <w:r w:rsidR="00856C98" w:rsidRPr="00650D66">
        <w:rPr>
          <w:rFonts w:ascii="Times New Roman" w:hAnsi="Times New Roman" w:cs="Times New Roman"/>
          <w:bCs/>
          <w:sz w:val="24"/>
          <w:szCs w:val="24"/>
          <w:lang w:val="ro-RO"/>
        </w:rPr>
        <w:t>, în raport cu prevederile cadrului normativ aplicabil.</w:t>
      </w:r>
    </w:p>
    <w:p w14:paraId="3D617ED6" w14:textId="77777777" w:rsidR="004D4887" w:rsidRPr="00650D66" w:rsidRDefault="004D4887" w:rsidP="00393B31">
      <w:pPr>
        <w:pStyle w:val="ListParagraph"/>
        <w:tabs>
          <w:tab w:val="left" w:pos="426"/>
        </w:tabs>
        <w:spacing w:line="276" w:lineRule="auto"/>
        <w:ind w:left="0"/>
        <w:jc w:val="both"/>
        <w:rPr>
          <w:rFonts w:ascii="Times New Roman" w:hAnsi="Times New Roman" w:cs="Times New Roman"/>
          <w:sz w:val="6"/>
          <w:szCs w:val="6"/>
          <w:lang w:val="ro-RO"/>
        </w:rPr>
      </w:pPr>
    </w:p>
    <w:p w14:paraId="604BA391" w14:textId="77777777" w:rsidR="00FA2CFE" w:rsidRPr="00650D66" w:rsidRDefault="00680C50" w:rsidP="005D2B68">
      <w:pPr>
        <w:pStyle w:val="ListParagraph"/>
        <w:tabs>
          <w:tab w:val="left" w:pos="426"/>
        </w:tabs>
        <w:spacing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conformitate cu prevederile art.32, alin.(7) din Legea privind organizarea și funcționarea Curții de Conturi a R</w:t>
      </w:r>
      <w:r w:rsidR="00F61B6D">
        <w:rPr>
          <w:rFonts w:ascii="Times New Roman" w:hAnsi="Times New Roman" w:cs="Times New Roman"/>
          <w:sz w:val="24"/>
          <w:szCs w:val="24"/>
          <w:lang w:val="ro-RO"/>
        </w:rPr>
        <w:t xml:space="preserve">epublicii </w:t>
      </w:r>
      <w:r w:rsidRPr="00650D66">
        <w:rPr>
          <w:rFonts w:ascii="Times New Roman" w:hAnsi="Times New Roman" w:cs="Times New Roman"/>
          <w:sz w:val="24"/>
          <w:szCs w:val="24"/>
          <w:lang w:val="ro-RO"/>
        </w:rPr>
        <w:t>M</w:t>
      </w:r>
      <w:r w:rsidR="00F61B6D">
        <w:rPr>
          <w:rFonts w:ascii="Times New Roman" w:hAnsi="Times New Roman" w:cs="Times New Roman"/>
          <w:sz w:val="24"/>
          <w:szCs w:val="24"/>
          <w:lang w:val="ro-RO"/>
        </w:rPr>
        <w:t>oldova</w:t>
      </w:r>
      <w:r w:rsidRPr="00650D66">
        <w:rPr>
          <w:rFonts w:ascii="Times New Roman" w:hAnsi="Times New Roman" w:cs="Times New Roman"/>
          <w:sz w:val="24"/>
          <w:szCs w:val="24"/>
          <w:lang w:val="ro-RO"/>
        </w:rPr>
        <w:t>, Curtea de Conturi a efectuat auditul Băncii Naționale a Moldovei exclusiv în limitele și condițiile prevăzute de Legea nr.548/1995 cu privire la Banca Națională a Moldovei. Astfel, potrivit prevederi</w:t>
      </w:r>
      <w:r w:rsidR="00E7602D">
        <w:rPr>
          <w:rFonts w:ascii="Times New Roman" w:hAnsi="Times New Roman" w:cs="Times New Roman"/>
          <w:sz w:val="24"/>
          <w:szCs w:val="24"/>
          <w:lang w:val="ro-RO"/>
        </w:rPr>
        <w:t>lor art.21 din Legea nr.548</w:t>
      </w:r>
      <w:r w:rsidRPr="00650D66">
        <w:rPr>
          <w:rFonts w:ascii="Times New Roman" w:hAnsi="Times New Roman" w:cs="Times New Roman"/>
          <w:sz w:val="24"/>
          <w:szCs w:val="24"/>
          <w:lang w:val="ro-RO"/>
        </w:rPr>
        <w:t xml:space="preserve"> din 21.07.1995, </w:t>
      </w:r>
      <w:r w:rsidR="005A4B22" w:rsidRPr="00650D66">
        <w:rPr>
          <w:rFonts w:ascii="Times New Roman" w:hAnsi="Times New Roman" w:cs="Times New Roman"/>
          <w:sz w:val="24"/>
          <w:szCs w:val="24"/>
          <w:lang w:val="ro-RO"/>
        </w:rPr>
        <w:t>auditul a efectuat verificarea legalității și regularității devizelor de cheltuieli și a alocațiilor pentru investiții ale BNM și s-a limitat la examinarea eficienței operaționale a deciziilor luate de conducerea BNM, excluzându-se cele ce țin de implementarea politicii monetare și valutare a Băncii Naționale și de gestionarea rezervelor valutare ale statului.</w:t>
      </w:r>
      <w:r w:rsidR="005D2B68" w:rsidRPr="00650D66">
        <w:rPr>
          <w:rFonts w:ascii="Times New Roman" w:hAnsi="Times New Roman" w:cs="Times New Roman"/>
          <w:sz w:val="24"/>
          <w:szCs w:val="24"/>
          <w:lang w:val="ro-RO"/>
        </w:rPr>
        <w:t xml:space="preserve"> </w:t>
      </w:r>
    </w:p>
    <w:p w14:paraId="50CEEAFC" w14:textId="77777777" w:rsidR="00BE42FF" w:rsidRPr="00650D66" w:rsidRDefault="00BE42FF" w:rsidP="005D2B68">
      <w:pPr>
        <w:pStyle w:val="ListParagraph"/>
        <w:tabs>
          <w:tab w:val="left" w:pos="426"/>
        </w:tabs>
        <w:spacing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În contextul realizării scopului misiunii de </w:t>
      </w:r>
      <w:r w:rsidRPr="00650D66">
        <w:rPr>
          <w:rFonts w:ascii="Times New Roman" w:hAnsi="Times New Roman" w:cs="Times New Roman"/>
          <w:color w:val="000000" w:themeColor="text1"/>
          <w:sz w:val="24"/>
          <w:szCs w:val="24"/>
          <w:lang w:val="ro-RO"/>
        </w:rPr>
        <w:t>audit și luând în considerare riscurile identificate, au fost stabilite următoarele obiective specifice:</w:t>
      </w:r>
    </w:p>
    <w:p w14:paraId="2D19A24F" w14:textId="77777777" w:rsidR="00541990" w:rsidRPr="00650D66" w:rsidRDefault="003A0364" w:rsidP="00A32D00">
      <w:pPr>
        <w:pStyle w:val="ListParagraph"/>
        <w:numPr>
          <w:ilvl w:val="0"/>
          <w:numId w:val="2"/>
        </w:numPr>
        <w:tabs>
          <w:tab w:val="left" w:pos="142"/>
        </w:tabs>
        <w:spacing w:line="276" w:lineRule="auto"/>
        <w:ind w:left="0" w:firstLine="0"/>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 xml:space="preserve">Obiectivul nr.1: </w:t>
      </w:r>
      <w:r w:rsidR="00541990" w:rsidRPr="00650D66">
        <w:rPr>
          <w:rFonts w:ascii="Times New Roman" w:hAnsi="Times New Roman" w:cs="Times New Roman"/>
          <w:i/>
          <w:color w:val="000000" w:themeColor="text1"/>
          <w:sz w:val="24"/>
          <w:szCs w:val="24"/>
          <w:lang w:val="ro-RO"/>
        </w:rPr>
        <w:t>Există un cad</w:t>
      </w:r>
      <w:r w:rsidR="00A32D00" w:rsidRPr="00650D66">
        <w:rPr>
          <w:rFonts w:ascii="Times New Roman" w:hAnsi="Times New Roman" w:cs="Times New Roman"/>
          <w:i/>
          <w:color w:val="000000" w:themeColor="text1"/>
          <w:sz w:val="24"/>
          <w:szCs w:val="24"/>
          <w:lang w:val="ro-RO"/>
        </w:rPr>
        <w:t>ru normativ exhaustiv</w:t>
      </w:r>
      <w:r w:rsidR="00541990" w:rsidRPr="00650D66">
        <w:rPr>
          <w:rFonts w:ascii="Times New Roman" w:hAnsi="Times New Roman" w:cs="Times New Roman"/>
          <w:i/>
          <w:color w:val="000000" w:themeColor="text1"/>
          <w:sz w:val="24"/>
          <w:szCs w:val="24"/>
          <w:lang w:val="ro-RO"/>
        </w:rPr>
        <w:t xml:space="preserve"> și transparent, dezvoltat prin acte interne suficiente la </w:t>
      </w:r>
      <w:r w:rsidR="00DE4908" w:rsidRPr="00650D66">
        <w:rPr>
          <w:rFonts w:ascii="Times New Roman" w:hAnsi="Times New Roman" w:cs="Times New Roman"/>
          <w:i/>
          <w:color w:val="000000" w:themeColor="text1"/>
          <w:sz w:val="24"/>
          <w:szCs w:val="24"/>
          <w:lang w:val="ro-RO"/>
        </w:rPr>
        <w:t xml:space="preserve">planificarea și </w:t>
      </w:r>
      <w:r w:rsidR="00541990" w:rsidRPr="00650D66">
        <w:rPr>
          <w:rFonts w:ascii="Times New Roman" w:hAnsi="Times New Roman" w:cs="Times New Roman"/>
          <w:i/>
          <w:color w:val="000000" w:themeColor="text1"/>
          <w:sz w:val="24"/>
          <w:szCs w:val="24"/>
          <w:lang w:val="ro-RO"/>
        </w:rPr>
        <w:t>executarea de către BNM a devizului de cheltuieli și alocațiilor pentru investiții?</w:t>
      </w:r>
    </w:p>
    <w:p w14:paraId="4B748598" w14:textId="6BD99104" w:rsidR="005025C3" w:rsidRPr="00650D66" w:rsidRDefault="003A0364" w:rsidP="005025C3">
      <w:pPr>
        <w:pStyle w:val="ListParagraph"/>
        <w:numPr>
          <w:ilvl w:val="0"/>
          <w:numId w:val="2"/>
        </w:numPr>
        <w:tabs>
          <w:tab w:val="left" w:pos="142"/>
        </w:tabs>
        <w:spacing w:after="0" w:line="276" w:lineRule="auto"/>
        <w:ind w:left="0" w:firstLine="0"/>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 xml:space="preserve">Obiectivul nr.2: </w:t>
      </w:r>
      <w:r w:rsidR="00AD78C1" w:rsidRPr="00650D66">
        <w:rPr>
          <w:rFonts w:ascii="Times New Roman" w:hAnsi="Times New Roman" w:cs="Times New Roman"/>
          <w:i/>
          <w:color w:val="000000" w:themeColor="text1"/>
          <w:sz w:val="24"/>
          <w:szCs w:val="24"/>
          <w:lang w:val="ro-RO"/>
        </w:rPr>
        <w:t xml:space="preserve">A asigurat BNM </w:t>
      </w:r>
      <w:r w:rsidR="00F7511A" w:rsidRPr="00650D66">
        <w:rPr>
          <w:rFonts w:ascii="Times New Roman" w:hAnsi="Times New Roman" w:cs="Times New Roman"/>
          <w:i/>
          <w:color w:val="000000" w:themeColor="text1"/>
          <w:sz w:val="24"/>
          <w:szCs w:val="24"/>
          <w:lang w:val="ro-RO"/>
        </w:rPr>
        <w:t xml:space="preserve">elaborarea și </w:t>
      </w:r>
      <w:r w:rsidR="00AD78C1" w:rsidRPr="00650D66">
        <w:rPr>
          <w:rFonts w:ascii="Times New Roman" w:hAnsi="Times New Roman" w:cs="Times New Roman"/>
          <w:i/>
          <w:color w:val="000000" w:themeColor="text1"/>
          <w:sz w:val="24"/>
          <w:szCs w:val="24"/>
          <w:lang w:val="ro-RO"/>
        </w:rPr>
        <w:t xml:space="preserve">executarea devizelor de cheltuieli și alocațiilor pentru investiții conform cadrului normativ </w:t>
      </w:r>
      <w:r w:rsidR="00AE00CB" w:rsidRPr="00650D66">
        <w:rPr>
          <w:rFonts w:ascii="Times New Roman" w:hAnsi="Times New Roman" w:cs="Times New Roman"/>
          <w:i/>
          <w:color w:val="000000" w:themeColor="text1"/>
          <w:sz w:val="24"/>
          <w:szCs w:val="24"/>
          <w:lang w:val="ro-RO"/>
        </w:rPr>
        <w:t>aplicabil</w:t>
      </w:r>
      <w:r w:rsidR="00AD78C1" w:rsidRPr="00650D66">
        <w:rPr>
          <w:rFonts w:ascii="Times New Roman" w:hAnsi="Times New Roman" w:cs="Times New Roman"/>
          <w:i/>
          <w:color w:val="000000" w:themeColor="text1"/>
          <w:sz w:val="24"/>
          <w:szCs w:val="24"/>
          <w:lang w:val="ro-RO"/>
        </w:rPr>
        <w:t>?</w:t>
      </w:r>
    </w:p>
    <w:p w14:paraId="3F6BE871" w14:textId="0ED9C304" w:rsidR="003F4768" w:rsidRPr="0038052E" w:rsidRDefault="003A0364" w:rsidP="003F4768">
      <w:pPr>
        <w:pStyle w:val="ListParagraph"/>
        <w:numPr>
          <w:ilvl w:val="0"/>
          <w:numId w:val="2"/>
        </w:numPr>
        <w:tabs>
          <w:tab w:val="left" w:pos="142"/>
        </w:tabs>
        <w:spacing w:after="0" w:line="276" w:lineRule="auto"/>
        <w:ind w:left="0" w:firstLine="0"/>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 xml:space="preserve">Obiectivul nr.3: </w:t>
      </w:r>
      <w:r w:rsidR="005025C3" w:rsidRPr="00650D66">
        <w:rPr>
          <w:rFonts w:ascii="Times New Roman" w:eastAsia="MS Mincho" w:hAnsi="Times New Roman" w:cs="Times New Roman"/>
          <w:i/>
          <w:noProof/>
          <w:sz w:val="24"/>
          <w:szCs w:val="24"/>
          <w:lang w:val="ro-RO" w:eastAsia="zh-TW"/>
        </w:rPr>
        <w:t>Procedurile de achiziții publice de bunuri, lucrări și servicii au fost efectuate de către BNM în conformitate cu prevederile cadrului normativ aplicat?</w:t>
      </w:r>
    </w:p>
    <w:p w14:paraId="29C112EA" w14:textId="77777777" w:rsidR="00A16BF8" w:rsidRPr="00650D66" w:rsidRDefault="00634DA7" w:rsidP="00696ED5">
      <w:pPr>
        <w:pStyle w:val="ListParagraph"/>
        <w:numPr>
          <w:ilvl w:val="1"/>
          <w:numId w:val="1"/>
        </w:numPr>
        <w:tabs>
          <w:tab w:val="left" w:pos="426"/>
        </w:tabs>
        <w:spacing w:after="0" w:line="276" w:lineRule="auto"/>
        <w:ind w:left="0" w:firstLine="0"/>
        <w:outlineLvl w:val="1"/>
        <w:rPr>
          <w:rFonts w:ascii="Times New Roman" w:hAnsi="Times New Roman" w:cs="Times New Roman"/>
          <w:b/>
          <w:sz w:val="24"/>
          <w:szCs w:val="24"/>
          <w:lang w:val="ro-RO"/>
        </w:rPr>
      </w:pPr>
      <w:bookmarkStart w:id="12" w:name="_Toc159413639"/>
      <w:r w:rsidRPr="00650D66">
        <w:rPr>
          <w:rFonts w:ascii="Times New Roman" w:hAnsi="Times New Roman" w:cs="Times New Roman"/>
          <w:b/>
          <w:sz w:val="24"/>
          <w:szCs w:val="24"/>
          <w:lang w:val="ro-RO"/>
        </w:rPr>
        <w:lastRenderedPageBreak/>
        <w:t>Abordarea</w:t>
      </w:r>
      <w:r w:rsidR="006D3288" w:rsidRPr="00650D66">
        <w:rPr>
          <w:rFonts w:ascii="Times New Roman" w:hAnsi="Times New Roman" w:cs="Times New Roman"/>
          <w:b/>
          <w:sz w:val="24"/>
          <w:szCs w:val="24"/>
          <w:lang w:val="ro-RO"/>
        </w:rPr>
        <w:t xml:space="preserve"> auditului</w:t>
      </w:r>
      <w:bookmarkEnd w:id="12"/>
    </w:p>
    <w:p w14:paraId="6EFF6901" w14:textId="3DAD8A9D" w:rsidR="00634DA7" w:rsidRPr="00650D66" w:rsidRDefault="00634DA7" w:rsidP="00067A1E">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Misiunea de audit public extern a fost realizată în conformitate cu Standardele Internaționale ale Instituțiilor Supreme de Audit (ISSAI 100, ISSAI 400 și ISSAI 4000) aprobate de Curtea de Conturi</w:t>
      </w:r>
      <w:r w:rsidRPr="00650D66">
        <w:rPr>
          <w:rStyle w:val="FootnoteReference"/>
          <w:rFonts w:ascii="Times New Roman" w:hAnsi="Times New Roman" w:cs="Times New Roman"/>
          <w:sz w:val="24"/>
          <w:szCs w:val="24"/>
          <w:lang w:val="ro-RO"/>
        </w:rPr>
        <w:footnoteReference w:id="23"/>
      </w:r>
      <w:r w:rsidRPr="00650D66">
        <w:rPr>
          <w:rFonts w:ascii="Times New Roman" w:hAnsi="Times New Roman" w:cs="Times New Roman"/>
          <w:sz w:val="24"/>
          <w:szCs w:val="24"/>
          <w:lang w:val="ro-RO"/>
        </w:rPr>
        <w:t xml:space="preserve">. </w:t>
      </w:r>
    </w:p>
    <w:p w14:paraId="576C4EF0" w14:textId="5D586D90" w:rsidR="0024701C" w:rsidRPr="00650D66" w:rsidRDefault="00634DA7" w:rsidP="0024701C">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Abordarea de audit public extern s-a bazat pe evaluarea concentrată a proceselor de planif</w:t>
      </w:r>
      <w:r w:rsidR="00B43B8F" w:rsidRPr="00650D66">
        <w:rPr>
          <w:rFonts w:ascii="Times New Roman" w:hAnsi="Times New Roman" w:cs="Times New Roman"/>
          <w:sz w:val="24"/>
          <w:szCs w:val="24"/>
          <w:lang w:val="ro-RO"/>
        </w:rPr>
        <w:t>icare</w:t>
      </w:r>
      <w:r w:rsidR="00D23DBD" w:rsidRPr="00650D66">
        <w:rPr>
          <w:rFonts w:ascii="Times New Roman" w:hAnsi="Times New Roman" w:cs="Times New Roman"/>
          <w:sz w:val="24"/>
          <w:szCs w:val="24"/>
          <w:lang w:val="ro-RO"/>
        </w:rPr>
        <w:t>,</w:t>
      </w:r>
      <w:r w:rsidR="00B43B8F"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 xml:space="preserve">executare </w:t>
      </w:r>
      <w:r w:rsidR="00D23DBD" w:rsidRPr="00650D66">
        <w:rPr>
          <w:rFonts w:ascii="Times New Roman" w:hAnsi="Times New Roman" w:cs="Times New Roman"/>
          <w:sz w:val="24"/>
          <w:szCs w:val="24"/>
          <w:lang w:val="ro-RO"/>
        </w:rPr>
        <w:t xml:space="preserve">și raportare </w:t>
      </w:r>
      <w:r w:rsidRPr="00650D66">
        <w:rPr>
          <w:rFonts w:ascii="Times New Roman" w:hAnsi="Times New Roman" w:cs="Times New Roman"/>
          <w:sz w:val="24"/>
          <w:szCs w:val="24"/>
          <w:lang w:val="ro-RO"/>
        </w:rPr>
        <w:t xml:space="preserve">a </w:t>
      </w:r>
      <w:r w:rsidR="00003555" w:rsidRPr="00650D66">
        <w:rPr>
          <w:rFonts w:ascii="Times New Roman" w:hAnsi="Times New Roman" w:cs="Times New Roman"/>
          <w:bCs/>
          <w:sz w:val="24"/>
          <w:szCs w:val="24"/>
          <w:lang w:val="ro-RO"/>
        </w:rPr>
        <w:t>devizelor de cheltuieli și alocațiilor pentru investiții ale Băncii Naționale a Moldovei</w:t>
      </w:r>
      <w:r w:rsidR="00AF1907" w:rsidRPr="00650D66">
        <w:rPr>
          <w:rFonts w:ascii="Times New Roman" w:hAnsi="Times New Roman" w:cs="Times New Roman"/>
          <w:bCs/>
          <w:sz w:val="24"/>
          <w:szCs w:val="24"/>
          <w:lang w:val="ro-RO"/>
        </w:rPr>
        <w:t xml:space="preserve"> pe anii 2019</w:t>
      </w:r>
      <w:r w:rsidR="009F0E5A">
        <w:rPr>
          <w:rFonts w:ascii="Times New Roman" w:hAnsi="Times New Roman" w:cs="Times New Roman"/>
          <w:bCs/>
          <w:sz w:val="24"/>
          <w:szCs w:val="24"/>
          <w:lang w:val="ro-RO"/>
        </w:rPr>
        <w:t>-</w:t>
      </w:r>
      <w:r w:rsidR="00003555" w:rsidRPr="00650D66">
        <w:rPr>
          <w:rFonts w:ascii="Times New Roman" w:hAnsi="Times New Roman" w:cs="Times New Roman"/>
          <w:bCs/>
          <w:sz w:val="24"/>
          <w:szCs w:val="24"/>
          <w:lang w:val="ro-RO"/>
        </w:rPr>
        <w:t>2022</w:t>
      </w:r>
      <w:r w:rsidRPr="00650D66">
        <w:rPr>
          <w:rFonts w:ascii="Times New Roman" w:hAnsi="Times New Roman" w:cs="Times New Roman"/>
          <w:sz w:val="24"/>
          <w:szCs w:val="24"/>
          <w:lang w:val="ro-RO"/>
        </w:rPr>
        <w:t xml:space="preserve">. </w:t>
      </w:r>
      <w:r w:rsidR="0024701C" w:rsidRPr="00650D66">
        <w:rPr>
          <w:rFonts w:ascii="Times New Roman" w:hAnsi="Times New Roman" w:cs="Times New Roman"/>
          <w:sz w:val="24"/>
          <w:szCs w:val="24"/>
          <w:lang w:val="ro-RO"/>
        </w:rPr>
        <w:t>Angajamentul auditului a fost cel de raportare directă, prin urmare procesele auditate au fost evaluate în raport cu criteriile de audit extrase din prevederile cadrului normativ aplicabil, iar asigurarea limitată oferită permite</w:t>
      </w:r>
      <w:r w:rsidR="009F0E5A">
        <w:rPr>
          <w:rFonts w:ascii="Times New Roman" w:hAnsi="Times New Roman" w:cs="Times New Roman"/>
          <w:sz w:val="24"/>
          <w:szCs w:val="24"/>
          <w:lang w:val="ro-RO"/>
        </w:rPr>
        <w:t>,</w:t>
      </w:r>
      <w:r w:rsidR="0024701C" w:rsidRPr="00650D66">
        <w:rPr>
          <w:rFonts w:ascii="Times New Roman" w:hAnsi="Times New Roman" w:cs="Times New Roman"/>
          <w:sz w:val="24"/>
          <w:szCs w:val="24"/>
          <w:lang w:val="ro-RO"/>
        </w:rPr>
        <w:t xml:space="preserve"> în baza constatărilor susținute de probele de audit</w:t>
      </w:r>
      <w:r w:rsidR="009F0E5A">
        <w:rPr>
          <w:rFonts w:ascii="Times New Roman" w:hAnsi="Times New Roman" w:cs="Times New Roman"/>
          <w:sz w:val="24"/>
          <w:szCs w:val="24"/>
          <w:lang w:val="ro-RO"/>
        </w:rPr>
        <w:t>,</w:t>
      </w:r>
      <w:r w:rsidR="0024701C" w:rsidRPr="00650D66">
        <w:rPr>
          <w:rFonts w:ascii="Times New Roman" w:hAnsi="Times New Roman" w:cs="Times New Roman"/>
          <w:sz w:val="24"/>
          <w:szCs w:val="24"/>
          <w:lang w:val="ro-RO"/>
        </w:rPr>
        <w:t xml:space="preserve"> să formulăm concluzia generală.</w:t>
      </w:r>
    </w:p>
    <w:p w14:paraId="711D2586" w14:textId="77777777" w:rsidR="005C1CE0" w:rsidRPr="00650D66" w:rsidRDefault="005C1CE0" w:rsidP="0024701C">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Probele de audit au fost obținute la BNM prin testarea controalelor și procedurile de fond, </w:t>
      </w:r>
      <w:r w:rsidR="00D41D9F" w:rsidRPr="00650D66">
        <w:rPr>
          <w:rFonts w:ascii="Times New Roman" w:hAnsi="Times New Roman" w:cs="Times New Roman"/>
          <w:sz w:val="24"/>
          <w:szCs w:val="24"/>
          <w:lang w:val="ro-RO"/>
        </w:rPr>
        <w:t>prin examinarea rapoartelor, documentelor primare și extraselor din înregistrările în sistemele informaționale ale entității; intervievarea persoanelor responsabile de domeniile auditate; calcularea și compararea informațiilor prezentate; analiza dosarelor de achiziții; suprapunerea informațiilor din documentele primare cu informațiile înregistrate în devizele de cheltuieli și în alocațiile pentru investiții.</w:t>
      </w:r>
    </w:p>
    <w:p w14:paraId="06358BCE" w14:textId="77777777" w:rsidR="00E44244" w:rsidRPr="00650D66" w:rsidRDefault="00067A1E" w:rsidP="00067A1E">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BNM deține independența instituțională, funcțională, organizatorică și financiară, călăuzindu-se de prevederile legii speciale</w:t>
      </w:r>
      <w:r w:rsidRPr="00650D66">
        <w:rPr>
          <w:rFonts w:ascii="Times New Roman" w:hAnsi="Times New Roman" w:cs="Times New Roman"/>
          <w:sz w:val="24"/>
          <w:szCs w:val="24"/>
          <w:vertAlign w:val="superscript"/>
          <w:lang w:val="ro-RO"/>
        </w:rPr>
        <w:footnoteReference w:id="24"/>
      </w:r>
      <w:r w:rsidRPr="00650D66">
        <w:rPr>
          <w:rFonts w:ascii="Times New Roman" w:hAnsi="Times New Roman" w:cs="Times New Roman"/>
          <w:sz w:val="24"/>
          <w:szCs w:val="24"/>
          <w:lang w:val="ro-RO"/>
        </w:rPr>
        <w:t>.</w:t>
      </w:r>
      <w:r w:rsidRPr="00650D66">
        <w:rPr>
          <w:rFonts w:ascii="Times New Roman" w:hAnsi="Times New Roman" w:cs="Times New Roman"/>
          <w:b/>
          <w:sz w:val="24"/>
          <w:szCs w:val="24"/>
          <w:lang w:val="ro-RO"/>
        </w:rPr>
        <w:t xml:space="preserve"> </w:t>
      </w:r>
      <w:r w:rsidRPr="00650D66">
        <w:rPr>
          <w:rFonts w:ascii="Times New Roman" w:hAnsi="Times New Roman" w:cs="Times New Roman"/>
          <w:sz w:val="24"/>
          <w:szCs w:val="24"/>
          <w:lang w:val="ro-RO"/>
        </w:rPr>
        <w:t>Astfel, d</w:t>
      </w:r>
      <w:r w:rsidR="00255667" w:rsidRPr="00650D66">
        <w:rPr>
          <w:rFonts w:ascii="Times New Roman" w:hAnsi="Times New Roman" w:cs="Times New Roman"/>
          <w:sz w:val="24"/>
          <w:szCs w:val="24"/>
          <w:lang w:val="ro-RO"/>
        </w:rPr>
        <w:t xml:space="preserve">rept surse de criterii au servit actele normative </w:t>
      </w:r>
      <w:r w:rsidR="00F3440F" w:rsidRPr="00650D66">
        <w:rPr>
          <w:rFonts w:ascii="Times New Roman" w:hAnsi="Times New Roman" w:cs="Times New Roman"/>
          <w:sz w:val="24"/>
          <w:szCs w:val="24"/>
          <w:lang w:val="ro-RO"/>
        </w:rPr>
        <w:t xml:space="preserve">aferente tematicii misiunii de audit, </w:t>
      </w:r>
      <w:r w:rsidR="004A244B" w:rsidRPr="00650D66">
        <w:rPr>
          <w:rFonts w:ascii="Times New Roman" w:hAnsi="Times New Roman" w:cs="Times New Roman"/>
          <w:sz w:val="24"/>
          <w:szCs w:val="24"/>
          <w:lang w:val="ro-RO"/>
        </w:rPr>
        <w:t xml:space="preserve">aplicate de către BNM </w:t>
      </w:r>
      <w:r w:rsidRPr="00650D66">
        <w:rPr>
          <w:rFonts w:ascii="Times New Roman" w:hAnsi="Times New Roman" w:cs="Times New Roman"/>
          <w:sz w:val="24"/>
          <w:szCs w:val="24"/>
          <w:lang w:val="ro-RO"/>
        </w:rPr>
        <w:t>dar, în același timp, regulamentele interne aferente exercitării competențelor atribuite prin lege.</w:t>
      </w:r>
    </w:p>
    <w:p w14:paraId="4F4116B5" w14:textId="77777777" w:rsidR="00B960F0" w:rsidRPr="00A3288E" w:rsidRDefault="00255667" w:rsidP="00067A1E">
      <w:pPr>
        <w:spacing w:after="0" w:line="276" w:lineRule="auto"/>
        <w:jc w:val="both"/>
        <w:rPr>
          <w:rFonts w:ascii="Times New Roman" w:hAnsi="Times New Roman" w:cs="Times New Roman"/>
          <w:i/>
          <w:sz w:val="24"/>
          <w:szCs w:val="24"/>
          <w:lang w:val="ro-RO"/>
        </w:rPr>
      </w:pPr>
      <w:r w:rsidRPr="00A3288E">
        <w:rPr>
          <w:rFonts w:ascii="Times New Roman" w:hAnsi="Times New Roman" w:cs="Times New Roman"/>
          <w:sz w:val="24"/>
          <w:szCs w:val="24"/>
          <w:lang w:val="ro-RO"/>
        </w:rPr>
        <w:t xml:space="preserve">Sfera și abordarea auditului, criteriile de audit și procedurile de audit aplicate </w:t>
      </w:r>
      <w:r w:rsidRPr="00A3288E">
        <w:rPr>
          <w:rFonts w:ascii="Times New Roman" w:hAnsi="Times New Roman" w:cs="Times New Roman"/>
          <w:i/>
          <w:sz w:val="24"/>
          <w:szCs w:val="24"/>
          <w:lang w:val="ro-RO"/>
        </w:rPr>
        <w:t>se prezintă în Anexa nr.2 la prezentul Raport de audit.</w:t>
      </w:r>
    </w:p>
    <w:p w14:paraId="0F10F26D" w14:textId="77777777" w:rsidR="00D720EC" w:rsidRPr="00A3288E" w:rsidRDefault="00D720EC" w:rsidP="00067A1E">
      <w:pPr>
        <w:spacing w:after="0" w:line="276" w:lineRule="auto"/>
        <w:jc w:val="both"/>
        <w:rPr>
          <w:rFonts w:ascii="Times New Roman" w:hAnsi="Times New Roman" w:cs="Times New Roman"/>
          <w:i/>
          <w:sz w:val="6"/>
          <w:szCs w:val="6"/>
          <w:lang w:val="ro-RO"/>
        </w:rPr>
      </w:pPr>
    </w:p>
    <w:p w14:paraId="1830FCD1" w14:textId="77777777" w:rsidR="00FA3596" w:rsidRPr="00A3288E" w:rsidRDefault="00F62AF8" w:rsidP="00D720EC">
      <w:pPr>
        <w:pStyle w:val="ListParagraph"/>
        <w:tabs>
          <w:tab w:val="left" w:pos="567"/>
        </w:tabs>
        <w:spacing w:after="0" w:line="276" w:lineRule="auto"/>
        <w:ind w:left="0"/>
        <w:jc w:val="both"/>
        <w:rPr>
          <w:rFonts w:ascii="Times New Roman" w:hAnsi="Times New Roman" w:cs="Times New Roman"/>
          <w:sz w:val="24"/>
          <w:szCs w:val="24"/>
          <w:lang w:val="ro-RO"/>
        </w:rPr>
      </w:pPr>
      <w:r w:rsidRPr="00A3288E">
        <w:rPr>
          <w:rFonts w:ascii="Times New Roman" w:hAnsi="Times New Roman" w:cs="Times New Roman"/>
          <w:sz w:val="24"/>
          <w:szCs w:val="24"/>
          <w:lang w:val="ro-RO"/>
        </w:rPr>
        <w:t>P</w:t>
      </w:r>
      <w:r w:rsidR="00FA3596" w:rsidRPr="00A3288E">
        <w:rPr>
          <w:rFonts w:ascii="Times New Roman" w:hAnsi="Times New Roman" w:cs="Times New Roman"/>
          <w:sz w:val="24"/>
          <w:szCs w:val="24"/>
          <w:lang w:val="ro-RO"/>
        </w:rPr>
        <w:t xml:space="preserve">rin prisma prevederilor cadrului </w:t>
      </w:r>
      <w:r w:rsidRPr="00A3288E">
        <w:rPr>
          <w:rFonts w:ascii="Times New Roman" w:hAnsi="Times New Roman" w:cs="Times New Roman"/>
          <w:sz w:val="24"/>
          <w:szCs w:val="24"/>
          <w:lang w:val="ro-RO"/>
        </w:rPr>
        <w:t>normativ</w:t>
      </w:r>
      <w:r w:rsidR="00FA3596" w:rsidRPr="00A3288E">
        <w:rPr>
          <w:rFonts w:ascii="Times New Roman" w:hAnsi="Times New Roman" w:cs="Times New Roman"/>
          <w:sz w:val="24"/>
          <w:szCs w:val="24"/>
          <w:lang w:val="ro-RO"/>
        </w:rPr>
        <w:t xml:space="preserve"> actual, auditul </w:t>
      </w:r>
      <w:r w:rsidR="00817945" w:rsidRPr="00A3288E">
        <w:rPr>
          <w:rFonts w:ascii="Times New Roman" w:hAnsi="Times New Roman" w:cs="Times New Roman"/>
          <w:sz w:val="24"/>
          <w:szCs w:val="24"/>
          <w:lang w:val="ro-RO"/>
        </w:rPr>
        <w:t>verific</w:t>
      </w:r>
      <w:r w:rsidRPr="00A3288E">
        <w:rPr>
          <w:rFonts w:ascii="Times New Roman" w:hAnsi="Times New Roman" w:cs="Times New Roman"/>
          <w:sz w:val="24"/>
          <w:szCs w:val="24"/>
          <w:lang w:val="ro-RO"/>
        </w:rPr>
        <w:t>ă</w:t>
      </w:r>
      <w:r w:rsidR="00FA3596" w:rsidRPr="00A3288E">
        <w:rPr>
          <w:rFonts w:ascii="Times New Roman" w:hAnsi="Times New Roman" w:cs="Times New Roman"/>
          <w:sz w:val="24"/>
          <w:szCs w:val="24"/>
          <w:lang w:val="ro-RO"/>
        </w:rPr>
        <w:t xml:space="preserve"> </w:t>
      </w:r>
      <w:r w:rsidR="00D960ED" w:rsidRPr="00A3288E">
        <w:rPr>
          <w:rFonts w:ascii="Times New Roman" w:hAnsi="Times New Roman" w:cs="Times New Roman"/>
          <w:sz w:val="24"/>
          <w:szCs w:val="24"/>
          <w:lang w:val="ro-RO"/>
        </w:rPr>
        <w:t>devizel</w:t>
      </w:r>
      <w:r w:rsidRPr="00A3288E">
        <w:rPr>
          <w:rFonts w:ascii="Times New Roman" w:hAnsi="Times New Roman" w:cs="Times New Roman"/>
          <w:sz w:val="24"/>
          <w:szCs w:val="24"/>
          <w:lang w:val="ro-RO"/>
        </w:rPr>
        <w:t>e</w:t>
      </w:r>
      <w:r w:rsidR="00D960ED" w:rsidRPr="00A3288E">
        <w:rPr>
          <w:rFonts w:ascii="Times New Roman" w:hAnsi="Times New Roman" w:cs="Times New Roman"/>
          <w:sz w:val="24"/>
          <w:szCs w:val="24"/>
          <w:lang w:val="ro-RO"/>
        </w:rPr>
        <w:t xml:space="preserve"> de </w:t>
      </w:r>
      <w:r w:rsidR="00FA3596" w:rsidRPr="00A3288E">
        <w:rPr>
          <w:rFonts w:ascii="Times New Roman" w:hAnsi="Times New Roman" w:cs="Times New Roman"/>
          <w:sz w:val="24"/>
          <w:szCs w:val="24"/>
          <w:lang w:val="ro-RO"/>
        </w:rPr>
        <w:t>cheltuieli și alocațiil</w:t>
      </w:r>
      <w:r w:rsidRPr="00A3288E">
        <w:rPr>
          <w:rFonts w:ascii="Times New Roman" w:hAnsi="Times New Roman" w:cs="Times New Roman"/>
          <w:sz w:val="24"/>
          <w:szCs w:val="24"/>
          <w:lang w:val="ro-RO"/>
        </w:rPr>
        <w:t>e</w:t>
      </w:r>
      <w:r w:rsidR="00FA3596" w:rsidRPr="00A3288E">
        <w:rPr>
          <w:rFonts w:ascii="Times New Roman" w:hAnsi="Times New Roman" w:cs="Times New Roman"/>
          <w:sz w:val="24"/>
          <w:szCs w:val="24"/>
          <w:lang w:val="ro-RO"/>
        </w:rPr>
        <w:t xml:space="preserve"> pentru investiții,</w:t>
      </w:r>
      <w:r w:rsidR="00817945" w:rsidRPr="00A3288E">
        <w:rPr>
          <w:rFonts w:ascii="Times New Roman" w:hAnsi="Times New Roman" w:cs="Times New Roman"/>
          <w:sz w:val="24"/>
          <w:szCs w:val="24"/>
          <w:lang w:val="ro-RO"/>
        </w:rPr>
        <w:t xml:space="preserve"> </w:t>
      </w:r>
      <w:r w:rsidRPr="00A3288E">
        <w:rPr>
          <w:rFonts w:ascii="Times New Roman" w:hAnsi="Times New Roman" w:cs="Times New Roman"/>
          <w:sz w:val="24"/>
          <w:szCs w:val="24"/>
          <w:lang w:val="ro-RO"/>
        </w:rPr>
        <w:t>fără a s</w:t>
      </w:r>
      <w:r w:rsidR="006F5054">
        <w:rPr>
          <w:rFonts w:ascii="Times New Roman" w:hAnsi="Times New Roman" w:cs="Times New Roman"/>
          <w:sz w:val="24"/>
          <w:szCs w:val="24"/>
          <w:lang w:val="ro-RO"/>
        </w:rPr>
        <w:t>e</w:t>
      </w:r>
      <w:r w:rsidR="00817945" w:rsidRPr="00A3288E">
        <w:rPr>
          <w:rFonts w:ascii="Times New Roman" w:hAnsi="Times New Roman" w:cs="Times New Roman"/>
          <w:sz w:val="24"/>
          <w:szCs w:val="24"/>
          <w:lang w:val="ro-RO"/>
        </w:rPr>
        <w:t xml:space="preserve"> expune </w:t>
      </w:r>
      <w:r w:rsidRPr="00A3288E">
        <w:rPr>
          <w:rFonts w:ascii="Times New Roman" w:hAnsi="Times New Roman" w:cs="Times New Roman"/>
          <w:sz w:val="24"/>
          <w:szCs w:val="24"/>
          <w:lang w:val="ro-RO"/>
        </w:rPr>
        <w:t xml:space="preserve">exhaustiv </w:t>
      </w:r>
      <w:r w:rsidR="0050086A" w:rsidRPr="00A3288E">
        <w:rPr>
          <w:rFonts w:ascii="Times New Roman" w:hAnsi="Times New Roman" w:cs="Times New Roman"/>
          <w:sz w:val="24"/>
          <w:szCs w:val="24"/>
          <w:lang w:val="ro-RO"/>
        </w:rPr>
        <w:t xml:space="preserve">asupra </w:t>
      </w:r>
      <w:r w:rsidR="00817945" w:rsidRPr="00A3288E">
        <w:rPr>
          <w:rFonts w:ascii="Times New Roman" w:hAnsi="Times New Roman" w:cs="Times New Roman"/>
          <w:sz w:val="24"/>
          <w:szCs w:val="24"/>
          <w:lang w:val="ro-RO"/>
        </w:rPr>
        <w:t>următoarel</w:t>
      </w:r>
      <w:r w:rsidR="0050086A" w:rsidRPr="00A3288E">
        <w:rPr>
          <w:rFonts w:ascii="Times New Roman" w:hAnsi="Times New Roman" w:cs="Times New Roman"/>
          <w:sz w:val="24"/>
          <w:szCs w:val="24"/>
          <w:lang w:val="ro-RO"/>
        </w:rPr>
        <w:t>or</w:t>
      </w:r>
      <w:r w:rsidR="00817945" w:rsidRPr="00A3288E">
        <w:rPr>
          <w:rFonts w:ascii="Times New Roman" w:hAnsi="Times New Roman" w:cs="Times New Roman"/>
          <w:sz w:val="24"/>
          <w:szCs w:val="24"/>
          <w:lang w:val="ro-RO"/>
        </w:rPr>
        <w:t xml:space="preserve"> aspecte</w:t>
      </w:r>
      <w:r w:rsidR="0050086A" w:rsidRPr="00A3288E">
        <w:rPr>
          <w:rFonts w:ascii="Times New Roman" w:hAnsi="Times New Roman" w:cs="Times New Roman"/>
          <w:sz w:val="24"/>
          <w:szCs w:val="24"/>
          <w:lang w:val="ro-RO"/>
        </w:rPr>
        <w:t xml:space="preserve"> aferente</w:t>
      </w:r>
      <w:r w:rsidR="00FA3596" w:rsidRPr="00A3288E">
        <w:rPr>
          <w:rFonts w:ascii="Times New Roman" w:hAnsi="Times New Roman" w:cs="Times New Roman"/>
          <w:sz w:val="24"/>
          <w:szCs w:val="24"/>
          <w:lang w:val="ro-RO"/>
        </w:rPr>
        <w:t xml:space="preserve">: </w:t>
      </w:r>
    </w:p>
    <w:p w14:paraId="2A5FA0C3" w14:textId="77777777" w:rsidR="00FA3596" w:rsidRPr="00A3288E" w:rsidRDefault="00FA3596" w:rsidP="00FA3596">
      <w:pPr>
        <w:pStyle w:val="ListParagraph"/>
        <w:numPr>
          <w:ilvl w:val="0"/>
          <w:numId w:val="4"/>
        </w:numPr>
        <w:tabs>
          <w:tab w:val="left" w:pos="142"/>
          <w:tab w:val="left" w:pos="851"/>
        </w:tabs>
        <w:spacing w:after="0" w:line="276" w:lineRule="auto"/>
        <w:ind w:left="0" w:firstLine="0"/>
        <w:jc w:val="both"/>
        <w:rPr>
          <w:rFonts w:ascii="Times New Roman" w:hAnsi="Times New Roman" w:cs="Times New Roman"/>
          <w:sz w:val="24"/>
          <w:szCs w:val="24"/>
          <w:lang w:val="ro-RO"/>
        </w:rPr>
      </w:pPr>
      <w:r w:rsidRPr="00A3288E">
        <w:rPr>
          <w:rFonts w:ascii="Times New Roman" w:hAnsi="Times New Roman" w:cs="Times New Roman"/>
          <w:sz w:val="24"/>
          <w:szCs w:val="24"/>
          <w:lang w:val="ro-RO"/>
        </w:rPr>
        <w:t>alocațiilor pentru investiții, în scopul achiziționării și modernizării fondului de imobilizări corporale și necorporale ale BNM, în lipsa</w:t>
      </w:r>
      <w:r w:rsidR="0050086A" w:rsidRPr="00A3288E">
        <w:rPr>
          <w:rFonts w:ascii="Times New Roman" w:hAnsi="Times New Roman" w:cs="Times New Roman"/>
          <w:sz w:val="24"/>
          <w:szCs w:val="24"/>
          <w:lang w:val="ro-RO"/>
        </w:rPr>
        <w:t xml:space="preserve"> auditării</w:t>
      </w:r>
      <w:r w:rsidRPr="00A3288E">
        <w:rPr>
          <w:rFonts w:ascii="Times New Roman" w:hAnsi="Times New Roman" w:cs="Times New Roman"/>
          <w:sz w:val="24"/>
          <w:szCs w:val="24"/>
          <w:lang w:val="ro-RO"/>
        </w:rPr>
        <w:t xml:space="preserve"> Bilanțului contabil;</w:t>
      </w:r>
    </w:p>
    <w:p w14:paraId="31A73394" w14:textId="77777777" w:rsidR="00FA3596" w:rsidRPr="00650D66" w:rsidRDefault="00FA3596" w:rsidP="00FA3596">
      <w:pPr>
        <w:pStyle w:val="ListParagraph"/>
        <w:numPr>
          <w:ilvl w:val="0"/>
          <w:numId w:val="4"/>
        </w:numPr>
        <w:tabs>
          <w:tab w:val="left" w:pos="142"/>
        </w:tabs>
        <w:spacing w:after="0" w:line="276" w:lineRule="auto"/>
        <w:ind w:left="0" w:firstLine="0"/>
        <w:jc w:val="both"/>
        <w:rPr>
          <w:rFonts w:ascii="Times New Roman" w:hAnsi="Times New Roman" w:cs="Times New Roman"/>
          <w:sz w:val="24"/>
          <w:szCs w:val="24"/>
          <w:lang w:val="ro-RO"/>
        </w:rPr>
      </w:pPr>
      <w:r w:rsidRPr="00A3288E">
        <w:rPr>
          <w:rFonts w:ascii="Times New Roman" w:hAnsi="Times New Roman" w:cs="Times New Roman"/>
          <w:sz w:val="24"/>
          <w:szCs w:val="24"/>
          <w:lang w:val="ro-RO"/>
        </w:rPr>
        <w:t>cheltuielilor pentru cantina BNM, care includ cheltuielile directe (costul</w:t>
      </w:r>
      <w:r w:rsidRPr="00650D66">
        <w:rPr>
          <w:rFonts w:ascii="Times New Roman" w:hAnsi="Times New Roman" w:cs="Times New Roman"/>
          <w:sz w:val="24"/>
          <w:szCs w:val="24"/>
          <w:lang w:val="ro-RO"/>
        </w:rPr>
        <w:t xml:space="preserve"> de achiziție al produselor alimentare) și cheltuielile indirecte (pentru procurarea materialelor de uz casnic, bunuri</w:t>
      </w:r>
      <w:r w:rsidR="00AF57CE">
        <w:rPr>
          <w:rFonts w:ascii="Times New Roman" w:hAnsi="Times New Roman" w:cs="Times New Roman"/>
          <w:sz w:val="24"/>
          <w:szCs w:val="24"/>
          <w:lang w:val="ro-RO"/>
        </w:rPr>
        <w:t>lor</w:t>
      </w:r>
      <w:r w:rsidRPr="00650D66">
        <w:rPr>
          <w:rFonts w:ascii="Times New Roman" w:hAnsi="Times New Roman" w:cs="Times New Roman"/>
          <w:sz w:val="24"/>
          <w:szCs w:val="24"/>
          <w:lang w:val="ro-RO"/>
        </w:rPr>
        <w:t>, reparația utilajului cantinei, întreținerea cantinei), neavând dreptul de verificare a veniturilor încasate din contul angajaților BNM și stocurilor de produse alimentare;</w:t>
      </w:r>
    </w:p>
    <w:p w14:paraId="76728D54" w14:textId="1DC46D6B" w:rsidR="00FA3596" w:rsidRPr="00650D66" w:rsidRDefault="00FA3596" w:rsidP="00FA3596">
      <w:pPr>
        <w:pStyle w:val="ListParagraph"/>
        <w:numPr>
          <w:ilvl w:val="0"/>
          <w:numId w:val="4"/>
        </w:numPr>
        <w:tabs>
          <w:tab w:val="left" w:pos="142"/>
          <w:tab w:val="left" w:pos="851"/>
        </w:tabs>
        <w:spacing w:after="0" w:line="276" w:lineRule="auto"/>
        <w:ind w:left="0" w:firstLine="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cheltuielilor pentru întreținerea obiect</w:t>
      </w:r>
      <w:r w:rsidR="00CE0897">
        <w:rPr>
          <w:rFonts w:ascii="Times New Roman" w:hAnsi="Times New Roman" w:cs="Times New Roman"/>
          <w:sz w:val="24"/>
          <w:szCs w:val="24"/>
          <w:lang w:val="ro-RO"/>
        </w:rPr>
        <w:t>iv</w:t>
      </w:r>
      <w:r w:rsidRPr="00650D66">
        <w:rPr>
          <w:rFonts w:ascii="Times New Roman" w:hAnsi="Times New Roman" w:cs="Times New Roman"/>
          <w:sz w:val="24"/>
          <w:szCs w:val="24"/>
          <w:lang w:val="ro-RO"/>
        </w:rPr>
        <w:t>elor social-culturale, nevizualizând și veniturile încasate din biletele vândute angajaț</w:t>
      </w:r>
      <w:r w:rsidR="00E8459E" w:rsidRPr="00650D66">
        <w:rPr>
          <w:rFonts w:ascii="Times New Roman" w:hAnsi="Times New Roman" w:cs="Times New Roman"/>
          <w:sz w:val="24"/>
          <w:szCs w:val="24"/>
          <w:lang w:val="ro-RO"/>
        </w:rPr>
        <w:t>ilor BNM și familiilor acestora;</w:t>
      </w:r>
    </w:p>
    <w:p w14:paraId="23A4C42E" w14:textId="77777777" w:rsidR="0050086A" w:rsidRDefault="00E8459E" w:rsidP="003402BC">
      <w:pPr>
        <w:pStyle w:val="ListParagraph"/>
        <w:tabs>
          <w:tab w:val="left" w:pos="142"/>
          <w:tab w:val="left" w:pos="851"/>
        </w:tabs>
        <w:spacing w:after="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w:t>
      </w:r>
      <w:r w:rsidR="00D14956" w:rsidRPr="00650D66">
        <w:rPr>
          <w:rFonts w:ascii="Times New Roman" w:hAnsi="Times New Roman" w:cs="Times New Roman"/>
          <w:sz w:val="24"/>
          <w:szCs w:val="24"/>
          <w:lang w:val="ro-RO"/>
        </w:rPr>
        <w:t xml:space="preserve"> sistemelor informaționale modernizate și </w:t>
      </w:r>
      <w:r w:rsidR="0050086A" w:rsidRPr="006C78F0">
        <w:rPr>
          <w:rFonts w:ascii="Times New Roman" w:hAnsi="Times New Roman" w:cs="Times New Roman"/>
          <w:sz w:val="24"/>
          <w:szCs w:val="24"/>
          <w:lang w:val="ro-RO"/>
        </w:rPr>
        <w:t xml:space="preserve">a </w:t>
      </w:r>
      <w:r w:rsidR="00D14956" w:rsidRPr="006C78F0">
        <w:rPr>
          <w:rFonts w:ascii="Times New Roman" w:hAnsi="Times New Roman" w:cs="Times New Roman"/>
          <w:sz w:val="24"/>
          <w:szCs w:val="24"/>
          <w:lang w:val="ro-RO"/>
        </w:rPr>
        <w:t>licențelor procurate în perioada auditată</w:t>
      </w:r>
      <w:r w:rsidR="00505181" w:rsidRPr="006C78F0">
        <w:rPr>
          <w:rFonts w:ascii="Times New Roman" w:hAnsi="Times New Roman" w:cs="Times New Roman"/>
          <w:sz w:val="24"/>
          <w:szCs w:val="24"/>
          <w:lang w:val="ro-RO"/>
        </w:rPr>
        <w:t xml:space="preserve"> la valori semnificative</w:t>
      </w:r>
      <w:r w:rsidR="001779C6" w:rsidRPr="006C78F0">
        <w:rPr>
          <w:rFonts w:ascii="Times New Roman" w:hAnsi="Times New Roman" w:cs="Times New Roman"/>
          <w:sz w:val="24"/>
          <w:szCs w:val="24"/>
          <w:lang w:val="ro-RO"/>
        </w:rPr>
        <w:t xml:space="preserve"> (41,5%)</w:t>
      </w:r>
      <w:r w:rsidR="00505181" w:rsidRPr="006C78F0">
        <w:rPr>
          <w:rFonts w:ascii="Times New Roman" w:hAnsi="Times New Roman" w:cs="Times New Roman"/>
          <w:sz w:val="24"/>
          <w:szCs w:val="24"/>
          <w:lang w:val="ro-RO"/>
        </w:rPr>
        <w:t xml:space="preserve"> </w:t>
      </w:r>
      <w:r w:rsidR="0050086A" w:rsidRPr="006C78F0">
        <w:rPr>
          <w:rFonts w:ascii="Times New Roman" w:hAnsi="Times New Roman" w:cs="Times New Roman"/>
          <w:sz w:val="24"/>
          <w:szCs w:val="24"/>
          <w:lang w:val="ro-RO"/>
        </w:rPr>
        <w:t>din</w:t>
      </w:r>
      <w:r w:rsidR="00505181" w:rsidRPr="006C78F0">
        <w:rPr>
          <w:rFonts w:ascii="Times New Roman" w:hAnsi="Times New Roman" w:cs="Times New Roman"/>
          <w:sz w:val="24"/>
          <w:szCs w:val="24"/>
          <w:lang w:val="ro-RO"/>
        </w:rPr>
        <w:t xml:space="preserve"> valoarea totală a alocațiilor pentru investiții</w:t>
      </w:r>
      <w:r w:rsidR="00D14956" w:rsidRPr="006C78F0">
        <w:rPr>
          <w:rFonts w:ascii="Times New Roman" w:hAnsi="Times New Roman" w:cs="Times New Roman"/>
          <w:sz w:val="24"/>
          <w:szCs w:val="24"/>
          <w:lang w:val="ro-RO"/>
        </w:rPr>
        <w:t xml:space="preserve">, </w:t>
      </w:r>
      <w:r w:rsidR="0050086A" w:rsidRPr="006C78F0">
        <w:rPr>
          <w:rFonts w:ascii="Times New Roman" w:hAnsi="Times New Roman" w:cs="Times New Roman"/>
          <w:sz w:val="24"/>
          <w:szCs w:val="24"/>
          <w:lang w:val="ro-RO"/>
        </w:rPr>
        <w:t>având în vedere că</w:t>
      </w:r>
      <w:r w:rsidR="00D14956" w:rsidRPr="006C78F0">
        <w:rPr>
          <w:rFonts w:ascii="Times New Roman" w:hAnsi="Times New Roman" w:cs="Times New Roman"/>
          <w:sz w:val="24"/>
          <w:szCs w:val="24"/>
          <w:lang w:val="ro-RO"/>
        </w:rPr>
        <w:t xml:space="preserve"> </w:t>
      </w:r>
      <w:r w:rsidR="0050086A" w:rsidRPr="006C78F0">
        <w:rPr>
          <w:rFonts w:ascii="Times New Roman" w:hAnsi="Times New Roman" w:cs="Times New Roman"/>
          <w:sz w:val="24"/>
          <w:szCs w:val="24"/>
          <w:lang w:val="ro-RO"/>
        </w:rPr>
        <w:t>sfera prezentului audit nu cuprinde evaluarea funcționalității și aplicabilității acestora.</w:t>
      </w:r>
    </w:p>
    <w:p w14:paraId="0306EB83" w14:textId="77777777" w:rsidR="003402BC" w:rsidRPr="00650D66" w:rsidRDefault="0050086A" w:rsidP="003402BC">
      <w:pPr>
        <w:pStyle w:val="ListParagraph"/>
        <w:tabs>
          <w:tab w:val="left" w:pos="142"/>
          <w:tab w:val="left" w:pos="851"/>
        </w:tabs>
        <w:spacing w:after="0"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3B85A90D" w14:textId="77777777" w:rsidR="00AE7049" w:rsidRPr="00650D66" w:rsidRDefault="00B960F0" w:rsidP="00696ED5">
      <w:pPr>
        <w:pStyle w:val="ListParagraph"/>
        <w:tabs>
          <w:tab w:val="left" w:pos="426"/>
        </w:tabs>
        <w:spacing w:after="0" w:line="276" w:lineRule="auto"/>
        <w:ind w:left="0" w:right="68"/>
        <w:jc w:val="both"/>
        <w:outlineLvl w:val="1"/>
        <w:rPr>
          <w:rFonts w:ascii="Times New Roman" w:eastAsia="Arial" w:hAnsi="Times New Roman" w:cs="Times New Roman"/>
          <w:spacing w:val="1"/>
          <w:sz w:val="24"/>
          <w:szCs w:val="24"/>
          <w:lang w:val="ro-RO"/>
        </w:rPr>
      </w:pPr>
      <w:bookmarkStart w:id="13" w:name="_Toc159413640"/>
      <w:r w:rsidRPr="00650D66">
        <w:rPr>
          <w:rFonts w:ascii="Times New Roman" w:hAnsi="Times New Roman" w:cs="Times New Roman"/>
          <w:b/>
          <w:sz w:val="24"/>
          <w:szCs w:val="24"/>
          <w:lang w:val="ro-RO"/>
        </w:rPr>
        <w:t>3.3</w:t>
      </w:r>
      <w:r w:rsidRPr="00650D66">
        <w:rPr>
          <w:rFonts w:ascii="Times New Roman" w:hAnsi="Times New Roman" w:cs="Times New Roman"/>
          <w:sz w:val="24"/>
          <w:szCs w:val="24"/>
          <w:lang w:val="ro-RO"/>
        </w:rPr>
        <w:t xml:space="preserve"> </w:t>
      </w:r>
      <w:bookmarkStart w:id="14" w:name="_Toc79403046"/>
      <w:bookmarkStart w:id="15" w:name="_Toc95838713"/>
      <w:r w:rsidR="00AE7049" w:rsidRPr="00650D66">
        <w:rPr>
          <w:rFonts w:ascii="Times New Roman" w:eastAsia="Arial" w:hAnsi="Times New Roman" w:cs="Times New Roman"/>
          <w:b/>
          <w:spacing w:val="1"/>
          <w:sz w:val="24"/>
          <w:szCs w:val="24"/>
          <w:lang w:val="ro-RO"/>
        </w:rPr>
        <w:t>Responsabilitatea auditorului</w:t>
      </w:r>
      <w:bookmarkEnd w:id="13"/>
      <w:bookmarkEnd w:id="14"/>
      <w:bookmarkEnd w:id="15"/>
    </w:p>
    <w:p w14:paraId="22FFC44D" w14:textId="59C78ADF" w:rsidR="00D803E2" w:rsidRPr="0038052E" w:rsidRDefault="00AE7049" w:rsidP="00FE6F48">
      <w:pPr>
        <w:spacing w:after="0" w:line="276" w:lineRule="auto"/>
        <w:ind w:right="68"/>
        <w:jc w:val="both"/>
        <w:rPr>
          <w:rFonts w:ascii="Times New Roman" w:eastAsia="Arial" w:hAnsi="Times New Roman" w:cs="Times New Roman"/>
          <w:spacing w:val="1"/>
          <w:sz w:val="24"/>
          <w:szCs w:val="24"/>
          <w:lang w:val="ro-RO"/>
        </w:rPr>
      </w:pPr>
      <w:r w:rsidRPr="00650D66">
        <w:rPr>
          <w:rFonts w:ascii="Times New Roman" w:eastAsia="Arial" w:hAnsi="Times New Roman" w:cs="Times New Roman"/>
          <w:spacing w:val="1"/>
          <w:sz w:val="24"/>
          <w:szCs w:val="24"/>
          <w:lang w:val="ro-RO"/>
        </w:rPr>
        <w:t xml:space="preserve">Responsabilitatea auditorului </w:t>
      </w:r>
      <w:r w:rsidR="005D4474" w:rsidRPr="00650D66">
        <w:rPr>
          <w:rFonts w:ascii="Times New Roman" w:eastAsia="Arial" w:hAnsi="Times New Roman" w:cs="Times New Roman"/>
          <w:spacing w:val="1"/>
          <w:sz w:val="24"/>
          <w:szCs w:val="24"/>
          <w:lang w:val="ro-RO"/>
        </w:rPr>
        <w:t xml:space="preserve">într-un audit al conformității </w:t>
      </w:r>
      <w:r w:rsidR="00791771" w:rsidRPr="00650D66">
        <w:rPr>
          <w:rFonts w:ascii="Times New Roman" w:eastAsia="Arial" w:hAnsi="Times New Roman" w:cs="Times New Roman"/>
          <w:spacing w:val="1"/>
          <w:sz w:val="24"/>
          <w:szCs w:val="24"/>
          <w:lang w:val="ro-RO"/>
        </w:rPr>
        <w:t>constă în evaluarea conformității subiectului auditat, în raport cu prevederile cadrului normativ aplicabil, prin obținerea probelor de audit suficiente și adecvate pentru susținerea constatărilor de audit și concluziei generale. Auditorul nu este responsabil de prevenirea faptelor de fraudă și eroare. Auditorul public a fost independent față de entitate și a îndeplinit responsabilitățile de etică în conformitate cu cerințele Codului etic al Curții de Conturi</w:t>
      </w:r>
      <w:r w:rsidR="00791771" w:rsidRPr="00650D66">
        <w:rPr>
          <w:rStyle w:val="FootnoteReference"/>
          <w:rFonts w:ascii="Times New Roman" w:eastAsia="Times New Roman" w:hAnsi="Times New Roman" w:cs="Times New Roman"/>
          <w:szCs w:val="24"/>
          <w:lang w:val="ro-RO"/>
        </w:rPr>
        <w:footnoteReference w:id="25"/>
      </w:r>
      <w:r w:rsidR="00791771" w:rsidRPr="00650D66">
        <w:rPr>
          <w:rFonts w:ascii="Times New Roman" w:eastAsia="Arial" w:hAnsi="Times New Roman" w:cs="Times New Roman"/>
          <w:spacing w:val="1"/>
          <w:sz w:val="24"/>
          <w:szCs w:val="24"/>
          <w:lang w:val="ro-RO"/>
        </w:rPr>
        <w:t>.</w:t>
      </w:r>
    </w:p>
    <w:p w14:paraId="491A726C" w14:textId="77777777" w:rsidR="005B1263" w:rsidRPr="00650D66" w:rsidRDefault="005B1263" w:rsidP="00696ED5">
      <w:pPr>
        <w:pStyle w:val="ListParagraph"/>
        <w:numPr>
          <w:ilvl w:val="0"/>
          <w:numId w:val="1"/>
        </w:numPr>
        <w:tabs>
          <w:tab w:val="left" w:pos="426"/>
        </w:tabs>
        <w:spacing w:after="0" w:line="276" w:lineRule="auto"/>
        <w:ind w:left="0" w:firstLine="0"/>
        <w:jc w:val="center"/>
        <w:outlineLvl w:val="0"/>
        <w:rPr>
          <w:rFonts w:ascii="Times New Roman" w:hAnsi="Times New Roman" w:cs="Times New Roman"/>
          <w:b/>
          <w:sz w:val="28"/>
          <w:szCs w:val="28"/>
          <w:lang w:val="ro-RO"/>
        </w:rPr>
      </w:pPr>
      <w:bookmarkStart w:id="16" w:name="_Toc159413641"/>
      <w:r w:rsidRPr="00650D66">
        <w:rPr>
          <w:rFonts w:ascii="Times New Roman" w:hAnsi="Times New Roman" w:cs="Times New Roman"/>
          <w:b/>
          <w:sz w:val="28"/>
          <w:szCs w:val="28"/>
          <w:lang w:val="ro-RO"/>
        </w:rPr>
        <w:lastRenderedPageBreak/>
        <w:t>CONSTATĂRI</w:t>
      </w:r>
      <w:bookmarkEnd w:id="16"/>
    </w:p>
    <w:p w14:paraId="16A478C5" w14:textId="77777777" w:rsidR="003502D6" w:rsidRPr="00650D66" w:rsidRDefault="004B5BDF" w:rsidP="00D8347B">
      <w:pPr>
        <w:pStyle w:val="ListParagraph"/>
        <w:numPr>
          <w:ilvl w:val="1"/>
          <w:numId w:val="1"/>
        </w:numPr>
        <w:tabs>
          <w:tab w:val="left" w:pos="142"/>
          <w:tab w:val="left" w:pos="426"/>
        </w:tabs>
        <w:spacing w:after="0" w:line="276" w:lineRule="auto"/>
        <w:ind w:left="0" w:firstLine="0"/>
        <w:jc w:val="both"/>
        <w:outlineLvl w:val="1"/>
        <w:rPr>
          <w:rFonts w:ascii="Times New Roman" w:hAnsi="Times New Roman" w:cs="Times New Roman"/>
          <w:b/>
          <w:color w:val="000000" w:themeColor="text1"/>
          <w:sz w:val="24"/>
          <w:szCs w:val="24"/>
          <w:lang w:val="ro-RO"/>
        </w:rPr>
      </w:pPr>
      <w:bookmarkStart w:id="17" w:name="_Toc159413642"/>
      <w:r w:rsidRPr="00650D66">
        <w:rPr>
          <w:rFonts w:ascii="Times New Roman" w:hAnsi="Times New Roman" w:cs="Times New Roman"/>
          <w:b/>
          <w:color w:val="000000" w:themeColor="text1"/>
          <w:sz w:val="24"/>
          <w:szCs w:val="24"/>
          <w:lang w:val="ro-RO"/>
        </w:rPr>
        <w:t xml:space="preserve">Obiectivul nr.1: </w:t>
      </w:r>
      <w:r w:rsidR="001A1032" w:rsidRPr="00650D66">
        <w:rPr>
          <w:rFonts w:ascii="Times New Roman" w:hAnsi="Times New Roman" w:cs="Times New Roman"/>
          <w:b/>
          <w:color w:val="000000" w:themeColor="text1"/>
          <w:sz w:val="24"/>
          <w:szCs w:val="24"/>
          <w:lang w:val="ro-RO"/>
        </w:rPr>
        <w:t>Există un cad</w:t>
      </w:r>
      <w:r w:rsidR="00F312EB" w:rsidRPr="00650D66">
        <w:rPr>
          <w:rFonts w:ascii="Times New Roman" w:hAnsi="Times New Roman" w:cs="Times New Roman"/>
          <w:b/>
          <w:color w:val="000000" w:themeColor="text1"/>
          <w:sz w:val="24"/>
          <w:szCs w:val="24"/>
          <w:lang w:val="ro-RO"/>
        </w:rPr>
        <w:t>ru normativ exhaustiv</w:t>
      </w:r>
      <w:r w:rsidR="001A1032" w:rsidRPr="00650D66">
        <w:rPr>
          <w:rFonts w:ascii="Times New Roman" w:hAnsi="Times New Roman" w:cs="Times New Roman"/>
          <w:b/>
          <w:color w:val="000000" w:themeColor="text1"/>
          <w:sz w:val="24"/>
          <w:szCs w:val="24"/>
          <w:lang w:val="ro-RO"/>
        </w:rPr>
        <w:t xml:space="preserve"> și transparent, dezvoltat prin acte interne suficiente la </w:t>
      </w:r>
      <w:r w:rsidR="00876568" w:rsidRPr="00650D66">
        <w:rPr>
          <w:rFonts w:ascii="Times New Roman" w:hAnsi="Times New Roman" w:cs="Times New Roman"/>
          <w:b/>
          <w:color w:val="000000" w:themeColor="text1"/>
          <w:sz w:val="24"/>
          <w:szCs w:val="24"/>
          <w:lang w:val="ro-RO"/>
        </w:rPr>
        <w:t xml:space="preserve">planificarea și </w:t>
      </w:r>
      <w:r w:rsidR="001A1032" w:rsidRPr="00650D66">
        <w:rPr>
          <w:rFonts w:ascii="Times New Roman" w:hAnsi="Times New Roman" w:cs="Times New Roman"/>
          <w:b/>
          <w:color w:val="000000" w:themeColor="text1"/>
          <w:sz w:val="24"/>
          <w:szCs w:val="24"/>
          <w:lang w:val="ro-RO"/>
        </w:rPr>
        <w:t xml:space="preserve">executarea </w:t>
      </w:r>
      <w:r w:rsidR="007E61FF" w:rsidRPr="00650D66">
        <w:rPr>
          <w:rFonts w:ascii="Times New Roman" w:hAnsi="Times New Roman" w:cs="Times New Roman"/>
          <w:b/>
          <w:color w:val="000000" w:themeColor="text1"/>
          <w:sz w:val="24"/>
          <w:szCs w:val="24"/>
          <w:lang w:val="ro-RO"/>
        </w:rPr>
        <w:t xml:space="preserve">de către BNM a </w:t>
      </w:r>
      <w:r w:rsidR="001A1032" w:rsidRPr="00650D66">
        <w:rPr>
          <w:rFonts w:ascii="Times New Roman" w:hAnsi="Times New Roman" w:cs="Times New Roman"/>
          <w:b/>
          <w:color w:val="000000" w:themeColor="text1"/>
          <w:sz w:val="24"/>
          <w:szCs w:val="24"/>
          <w:lang w:val="ro-RO"/>
        </w:rPr>
        <w:t>devizului de cheltuieli și alocațiilor pentru investiții</w:t>
      </w:r>
      <w:r w:rsidR="00F973AD" w:rsidRPr="00650D66">
        <w:rPr>
          <w:rFonts w:ascii="Times New Roman" w:hAnsi="Times New Roman" w:cs="Times New Roman"/>
          <w:b/>
          <w:color w:val="000000" w:themeColor="text1"/>
          <w:sz w:val="24"/>
          <w:szCs w:val="24"/>
          <w:lang w:val="ro-RO"/>
        </w:rPr>
        <w:t>?</w:t>
      </w:r>
      <w:bookmarkEnd w:id="17"/>
    </w:p>
    <w:p w14:paraId="3EB9E7BF" w14:textId="7BC8F291" w:rsidR="00E869E5" w:rsidRPr="00650D66" w:rsidRDefault="001B5817" w:rsidP="00B33DD1">
      <w:pPr>
        <w:pStyle w:val="ListParagraph"/>
        <w:tabs>
          <w:tab w:val="left" w:pos="142"/>
        </w:tabs>
        <w:spacing w:after="0" w:line="276" w:lineRule="auto"/>
        <w:ind w:left="0"/>
        <w:jc w:val="both"/>
        <w:rPr>
          <w:rFonts w:ascii="Times New Roman" w:hAnsi="Times New Roman" w:cs="Times New Roman"/>
          <w:sz w:val="24"/>
          <w:szCs w:val="24"/>
          <w:lang w:val="ro-RO"/>
        </w:rPr>
      </w:pPr>
      <w:r w:rsidRPr="00650D66">
        <w:rPr>
          <w:rFonts w:ascii="Times New Roman" w:eastAsia="Times New Roman" w:hAnsi="Times New Roman" w:cs="Times New Roman"/>
          <w:color w:val="000000"/>
          <w:sz w:val="24"/>
          <w:szCs w:val="24"/>
          <w:lang w:val="ro-RO" w:eastAsia="ro-RO" w:bidi="ro-RO"/>
        </w:rPr>
        <w:t xml:space="preserve">Auditul  evidențiază  că </w:t>
      </w:r>
      <w:r w:rsidR="00B33DD1" w:rsidRPr="00650D66">
        <w:rPr>
          <w:rFonts w:ascii="Times New Roman" w:eastAsia="Times New Roman" w:hAnsi="Times New Roman" w:cs="Times New Roman"/>
          <w:color w:val="000000"/>
          <w:sz w:val="24"/>
          <w:szCs w:val="24"/>
          <w:lang w:val="ro-RO" w:eastAsia="ro-RO" w:bidi="ro-RO"/>
        </w:rPr>
        <w:t xml:space="preserve">nu </w:t>
      </w:r>
      <w:r w:rsidR="00D27166" w:rsidRPr="00650D66">
        <w:rPr>
          <w:rFonts w:ascii="Times New Roman" w:hAnsi="Times New Roman" w:cs="Times New Roman"/>
          <w:sz w:val="24"/>
          <w:szCs w:val="24"/>
          <w:lang w:val="ro-RO"/>
        </w:rPr>
        <w:t>se asigură în totalitate revizuirea actelor normative interne ale BNM ce țin de executarea devizului de cheltuieli și alocațiilor pentru investiții.</w:t>
      </w:r>
    </w:p>
    <w:p w14:paraId="7CFC5D7B" w14:textId="77777777" w:rsidR="00B33DD1" w:rsidRPr="00650D66" w:rsidRDefault="00B33DD1" w:rsidP="00B33DD1">
      <w:pPr>
        <w:pStyle w:val="ListParagraph"/>
        <w:tabs>
          <w:tab w:val="left" w:pos="142"/>
        </w:tabs>
        <w:spacing w:after="0" w:line="276" w:lineRule="auto"/>
        <w:ind w:left="0"/>
        <w:jc w:val="both"/>
        <w:rPr>
          <w:rFonts w:ascii="Times New Roman" w:hAnsi="Times New Roman" w:cs="Times New Roman"/>
          <w:sz w:val="24"/>
          <w:szCs w:val="24"/>
          <w:lang w:val="ro-RO"/>
        </w:rPr>
      </w:pPr>
    </w:p>
    <w:p w14:paraId="789B2261" w14:textId="6F8F870F" w:rsidR="00F03B14" w:rsidRPr="0076703D" w:rsidRDefault="00AA0D5F" w:rsidP="00766DDF">
      <w:pPr>
        <w:spacing w:after="0"/>
        <w:jc w:val="both"/>
        <w:rPr>
          <w:rFonts w:ascii="Times New Roman" w:hAnsi="Times New Roman" w:cs="Times New Roman"/>
          <w:b/>
          <w:sz w:val="24"/>
          <w:szCs w:val="24"/>
          <w:lang w:val="ro-RO"/>
        </w:rPr>
      </w:pPr>
      <w:r w:rsidRPr="0076703D">
        <w:rPr>
          <w:rFonts w:ascii="Times New Roman" w:hAnsi="Times New Roman" w:cs="Times New Roman"/>
          <w:b/>
          <w:sz w:val="24"/>
          <w:szCs w:val="24"/>
          <w:lang w:val="ro-RO"/>
        </w:rPr>
        <w:t>4</w:t>
      </w:r>
      <w:r w:rsidR="00B33DD1" w:rsidRPr="0076703D">
        <w:rPr>
          <w:rFonts w:ascii="Times New Roman" w:hAnsi="Times New Roman" w:cs="Times New Roman"/>
          <w:b/>
          <w:sz w:val="24"/>
          <w:szCs w:val="24"/>
          <w:lang w:val="ro-RO"/>
        </w:rPr>
        <w:t>.1.1</w:t>
      </w:r>
      <w:r w:rsidRPr="0076703D">
        <w:rPr>
          <w:rFonts w:ascii="Times New Roman" w:hAnsi="Times New Roman" w:cs="Times New Roman"/>
          <w:b/>
          <w:sz w:val="24"/>
          <w:szCs w:val="24"/>
          <w:lang w:val="ro-RO"/>
        </w:rPr>
        <w:t xml:space="preserve"> </w:t>
      </w:r>
      <w:r w:rsidR="00F63C52" w:rsidRPr="0076703D">
        <w:rPr>
          <w:rFonts w:ascii="Times New Roman" w:hAnsi="Times New Roman" w:cs="Times New Roman"/>
          <w:b/>
          <w:sz w:val="24"/>
          <w:szCs w:val="24"/>
          <w:lang w:val="ro-RO"/>
        </w:rPr>
        <w:t>U</w:t>
      </w:r>
      <w:r w:rsidR="00D608EF" w:rsidRPr="0076703D">
        <w:rPr>
          <w:rFonts w:ascii="Times New Roman" w:hAnsi="Times New Roman" w:cs="Times New Roman"/>
          <w:b/>
          <w:sz w:val="24"/>
          <w:szCs w:val="24"/>
          <w:lang w:val="ro-RO"/>
        </w:rPr>
        <w:t>nele din r</w:t>
      </w:r>
      <w:r w:rsidR="00DE4B22" w:rsidRPr="0076703D">
        <w:rPr>
          <w:rFonts w:ascii="Times New Roman" w:hAnsi="Times New Roman" w:cs="Times New Roman"/>
          <w:b/>
          <w:sz w:val="24"/>
          <w:szCs w:val="24"/>
          <w:lang w:val="ro-RO"/>
        </w:rPr>
        <w:t>eglementările privind</w:t>
      </w:r>
      <w:r w:rsidR="00544107" w:rsidRPr="0076703D">
        <w:rPr>
          <w:rFonts w:ascii="Times New Roman" w:hAnsi="Times New Roman" w:cs="Times New Roman"/>
          <w:b/>
          <w:sz w:val="24"/>
          <w:szCs w:val="24"/>
          <w:lang w:val="ro-RO"/>
        </w:rPr>
        <w:t xml:space="preserve"> planificarea și executarea devizului de cheltuieli și alocațiilor pentru investiții</w:t>
      </w:r>
      <w:r w:rsidR="001A55F9" w:rsidRPr="0076703D">
        <w:rPr>
          <w:rFonts w:ascii="Times New Roman" w:hAnsi="Times New Roman" w:cs="Times New Roman"/>
          <w:b/>
          <w:sz w:val="24"/>
          <w:szCs w:val="24"/>
          <w:lang w:val="ro-RO"/>
        </w:rPr>
        <w:t xml:space="preserve"> necesită </w:t>
      </w:r>
      <w:r w:rsidR="00F63C52" w:rsidRPr="0076703D">
        <w:rPr>
          <w:rFonts w:ascii="Times New Roman" w:hAnsi="Times New Roman" w:cs="Times New Roman"/>
          <w:b/>
          <w:sz w:val="24"/>
          <w:szCs w:val="24"/>
          <w:lang w:val="ro-RO"/>
        </w:rPr>
        <w:t xml:space="preserve">a fi </w:t>
      </w:r>
      <w:r w:rsidR="001A55F9" w:rsidRPr="0076703D">
        <w:rPr>
          <w:rFonts w:ascii="Times New Roman" w:hAnsi="Times New Roman" w:cs="Times New Roman"/>
          <w:b/>
          <w:sz w:val="24"/>
          <w:szCs w:val="24"/>
          <w:lang w:val="ro-RO"/>
        </w:rPr>
        <w:t>revizui</w:t>
      </w:r>
      <w:r w:rsidR="00F63C52" w:rsidRPr="0076703D">
        <w:rPr>
          <w:rFonts w:ascii="Times New Roman" w:hAnsi="Times New Roman" w:cs="Times New Roman"/>
          <w:b/>
          <w:sz w:val="24"/>
          <w:szCs w:val="24"/>
          <w:lang w:val="ro-RO"/>
        </w:rPr>
        <w:t>t</w:t>
      </w:r>
      <w:r w:rsidR="001A55F9" w:rsidRPr="0076703D">
        <w:rPr>
          <w:rFonts w:ascii="Times New Roman" w:hAnsi="Times New Roman" w:cs="Times New Roman"/>
          <w:b/>
          <w:sz w:val="24"/>
          <w:szCs w:val="24"/>
          <w:lang w:val="ro-RO"/>
        </w:rPr>
        <w:t>e</w:t>
      </w:r>
      <w:r w:rsidR="00181F1A" w:rsidRPr="0076703D">
        <w:rPr>
          <w:rFonts w:ascii="Times New Roman" w:hAnsi="Times New Roman" w:cs="Times New Roman"/>
          <w:b/>
          <w:sz w:val="24"/>
          <w:szCs w:val="24"/>
          <w:lang w:val="ro-RO"/>
        </w:rPr>
        <w:t>.</w:t>
      </w:r>
    </w:p>
    <w:p w14:paraId="7282D640" w14:textId="0A242A19" w:rsidR="00525AD8" w:rsidRPr="00650D66" w:rsidRDefault="0095540F" w:rsidP="00766DDF">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scopul îndeplinirii atribuțiilor sale, BNM are dreptul să emită hotărâri, regulamente, instrucțiuni și ordonanțe</w:t>
      </w:r>
      <w:r w:rsidR="00B30F80" w:rsidRPr="00650D66">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w:t>
      </w:r>
      <w:r w:rsidR="00B30F80" w:rsidRPr="00650D66">
        <w:rPr>
          <w:rFonts w:ascii="Times New Roman" w:hAnsi="Times New Roman" w:cs="Times New Roman"/>
          <w:sz w:val="24"/>
          <w:szCs w:val="24"/>
          <w:lang w:val="ro-RO"/>
        </w:rPr>
        <w:t>dar</w:t>
      </w:r>
      <w:r w:rsidRPr="00650D66">
        <w:rPr>
          <w:rFonts w:ascii="Times New Roman" w:hAnsi="Times New Roman" w:cs="Times New Roman"/>
          <w:sz w:val="24"/>
          <w:szCs w:val="24"/>
          <w:lang w:val="ro-RO"/>
        </w:rPr>
        <w:t xml:space="preserve"> </w:t>
      </w:r>
      <w:r w:rsidR="00B30F80" w:rsidRPr="00650D66">
        <w:rPr>
          <w:rFonts w:ascii="Times New Roman" w:hAnsi="Times New Roman" w:cs="Times New Roman"/>
          <w:sz w:val="24"/>
          <w:szCs w:val="24"/>
          <w:lang w:val="ro-RO"/>
        </w:rPr>
        <w:t>numai</w:t>
      </w:r>
      <w:r w:rsidRPr="00650D66">
        <w:rPr>
          <w:rFonts w:ascii="Times New Roman" w:hAnsi="Times New Roman" w:cs="Times New Roman"/>
          <w:sz w:val="24"/>
          <w:szCs w:val="24"/>
          <w:lang w:val="ro-RO"/>
        </w:rPr>
        <w:t xml:space="preserve"> actele normative care s</w:t>
      </w:r>
      <w:r w:rsidR="00F63C52">
        <w:rPr>
          <w:rFonts w:ascii="Times New Roman" w:hAnsi="Times New Roman" w:cs="Times New Roman"/>
          <w:sz w:val="24"/>
          <w:szCs w:val="24"/>
          <w:lang w:val="ro-RO"/>
        </w:rPr>
        <w:t>u</w:t>
      </w:r>
      <w:r w:rsidRPr="00650D66">
        <w:rPr>
          <w:rFonts w:ascii="Times New Roman" w:hAnsi="Times New Roman" w:cs="Times New Roman"/>
          <w:sz w:val="24"/>
          <w:szCs w:val="24"/>
          <w:lang w:val="ro-RO"/>
        </w:rPr>
        <w:t>nt obligatorii pentru bănci și pentru alte persoane juridice și fizice se publică în Monitorul Oficial al R</w:t>
      </w:r>
      <w:r w:rsidR="00F63C52">
        <w:rPr>
          <w:rFonts w:ascii="Times New Roman" w:hAnsi="Times New Roman" w:cs="Times New Roman"/>
          <w:sz w:val="24"/>
          <w:szCs w:val="24"/>
          <w:lang w:val="ro-RO"/>
        </w:rPr>
        <w:t xml:space="preserve">epublicii </w:t>
      </w:r>
      <w:r w:rsidRPr="00650D66">
        <w:rPr>
          <w:rFonts w:ascii="Times New Roman" w:hAnsi="Times New Roman" w:cs="Times New Roman"/>
          <w:sz w:val="24"/>
          <w:szCs w:val="24"/>
          <w:lang w:val="ro-RO"/>
        </w:rPr>
        <w:t>M</w:t>
      </w:r>
      <w:r w:rsidR="00F63C52">
        <w:rPr>
          <w:rFonts w:ascii="Times New Roman" w:hAnsi="Times New Roman" w:cs="Times New Roman"/>
          <w:sz w:val="24"/>
          <w:szCs w:val="24"/>
          <w:lang w:val="ro-RO"/>
        </w:rPr>
        <w:t>oldova</w:t>
      </w:r>
      <w:r w:rsidR="00076475" w:rsidRPr="00650D66">
        <w:rPr>
          <w:rStyle w:val="FootnoteReference"/>
          <w:rFonts w:ascii="Times New Roman" w:hAnsi="Times New Roman" w:cs="Times New Roman"/>
          <w:sz w:val="24"/>
          <w:szCs w:val="24"/>
          <w:lang w:val="ro-RO"/>
        </w:rPr>
        <w:footnoteReference w:id="26"/>
      </w:r>
      <w:r w:rsidRPr="00650D66">
        <w:rPr>
          <w:rFonts w:ascii="Times New Roman" w:hAnsi="Times New Roman" w:cs="Times New Roman"/>
          <w:sz w:val="24"/>
          <w:szCs w:val="24"/>
          <w:lang w:val="ro-RO"/>
        </w:rPr>
        <w:t>.</w:t>
      </w:r>
    </w:p>
    <w:p w14:paraId="20624E90" w14:textId="0B462504" w:rsidR="00AA0D5F" w:rsidRPr="00650D66" w:rsidRDefault="00525AD8" w:rsidP="00221609">
      <w:pPr>
        <w:pStyle w:val="ListParagraph"/>
        <w:tabs>
          <w:tab w:val="left" w:pos="426"/>
        </w:tabs>
        <w:spacing w:after="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Astfel, a</w:t>
      </w:r>
      <w:r w:rsidR="00AA0D5F" w:rsidRPr="00650D66">
        <w:rPr>
          <w:rFonts w:ascii="Times New Roman" w:hAnsi="Times New Roman" w:cs="Times New Roman"/>
          <w:sz w:val="24"/>
          <w:szCs w:val="24"/>
          <w:lang w:val="ro-RO"/>
        </w:rPr>
        <w:t xml:space="preserve">ctele normative </w:t>
      </w:r>
      <w:r w:rsidR="00CB0DF9" w:rsidRPr="00650D66">
        <w:rPr>
          <w:rFonts w:ascii="Times New Roman" w:hAnsi="Times New Roman" w:cs="Times New Roman"/>
          <w:sz w:val="24"/>
          <w:szCs w:val="24"/>
          <w:lang w:val="ro-RO"/>
        </w:rPr>
        <w:t xml:space="preserve">aprobate de către BNM, </w:t>
      </w:r>
      <w:r w:rsidR="002E1EE7" w:rsidRPr="00650D66">
        <w:rPr>
          <w:rFonts w:ascii="Times New Roman" w:hAnsi="Times New Roman" w:cs="Times New Roman"/>
          <w:sz w:val="24"/>
          <w:szCs w:val="24"/>
          <w:lang w:val="ro-RO"/>
        </w:rPr>
        <w:t>ce reglementează planificarea și executarea devizului de cheltuieli și alocațiilor pentru investiții,</w:t>
      </w:r>
      <w:r w:rsidR="00AA0D5F" w:rsidRPr="00650D66">
        <w:rPr>
          <w:rFonts w:ascii="Times New Roman" w:hAnsi="Times New Roman" w:cs="Times New Roman"/>
          <w:sz w:val="24"/>
          <w:szCs w:val="24"/>
          <w:lang w:val="ro-RO"/>
        </w:rPr>
        <w:t xml:space="preserve"> </w:t>
      </w:r>
      <w:r w:rsidR="007D6287" w:rsidRPr="00650D66">
        <w:rPr>
          <w:rFonts w:ascii="Times New Roman" w:hAnsi="Times New Roman" w:cs="Times New Roman"/>
          <w:sz w:val="24"/>
          <w:szCs w:val="24"/>
          <w:lang w:val="ro-RO"/>
        </w:rPr>
        <w:t>s</w:t>
      </w:r>
      <w:r w:rsidR="00F63C52">
        <w:rPr>
          <w:rFonts w:ascii="Times New Roman" w:hAnsi="Times New Roman" w:cs="Times New Roman"/>
          <w:sz w:val="24"/>
          <w:szCs w:val="24"/>
          <w:lang w:val="ro-RO"/>
        </w:rPr>
        <w:t>u</w:t>
      </w:r>
      <w:r w:rsidR="007D6287" w:rsidRPr="00650D66">
        <w:rPr>
          <w:rFonts w:ascii="Times New Roman" w:hAnsi="Times New Roman" w:cs="Times New Roman"/>
          <w:sz w:val="24"/>
          <w:szCs w:val="24"/>
          <w:lang w:val="ro-RO"/>
        </w:rPr>
        <w:t xml:space="preserve">nt </w:t>
      </w:r>
      <w:r w:rsidR="00CB0DF9" w:rsidRPr="00650D66">
        <w:rPr>
          <w:rFonts w:ascii="Times New Roman" w:hAnsi="Times New Roman" w:cs="Times New Roman"/>
          <w:sz w:val="24"/>
          <w:szCs w:val="24"/>
          <w:lang w:val="ro-RO"/>
        </w:rPr>
        <w:t>de uz intern și s</w:t>
      </w:r>
      <w:r w:rsidR="00033F6D">
        <w:rPr>
          <w:rFonts w:ascii="Times New Roman" w:hAnsi="Times New Roman" w:cs="Times New Roman"/>
          <w:sz w:val="24"/>
          <w:szCs w:val="24"/>
          <w:lang w:val="ro-RO"/>
        </w:rPr>
        <w:t>u</w:t>
      </w:r>
      <w:r w:rsidR="00CB0DF9" w:rsidRPr="00650D66">
        <w:rPr>
          <w:rFonts w:ascii="Times New Roman" w:hAnsi="Times New Roman" w:cs="Times New Roman"/>
          <w:sz w:val="24"/>
          <w:szCs w:val="24"/>
          <w:lang w:val="ro-RO"/>
        </w:rPr>
        <w:t xml:space="preserve">nt </w:t>
      </w:r>
      <w:r w:rsidR="007D6287" w:rsidRPr="00650D66">
        <w:rPr>
          <w:rFonts w:ascii="Times New Roman" w:hAnsi="Times New Roman" w:cs="Times New Roman"/>
          <w:sz w:val="24"/>
          <w:szCs w:val="24"/>
          <w:lang w:val="ro-RO"/>
        </w:rPr>
        <w:t xml:space="preserve">disponibile </w:t>
      </w:r>
      <w:r w:rsidR="00F744BF" w:rsidRPr="00650D66">
        <w:rPr>
          <w:rFonts w:ascii="Times New Roman" w:hAnsi="Times New Roman" w:cs="Times New Roman"/>
          <w:sz w:val="24"/>
          <w:szCs w:val="24"/>
          <w:lang w:val="ro-RO"/>
        </w:rPr>
        <w:t>pe pagina</w:t>
      </w:r>
      <w:r w:rsidR="00033F6D">
        <w:rPr>
          <w:rFonts w:ascii="Times New Roman" w:hAnsi="Times New Roman" w:cs="Times New Roman"/>
          <w:sz w:val="24"/>
          <w:szCs w:val="24"/>
          <w:lang w:val="ro-RO"/>
        </w:rPr>
        <w:t xml:space="preserve"> </w:t>
      </w:r>
      <w:r w:rsidR="00F744BF" w:rsidRPr="00650D66">
        <w:rPr>
          <w:rFonts w:ascii="Times New Roman" w:hAnsi="Times New Roman" w:cs="Times New Roman"/>
          <w:sz w:val="24"/>
          <w:szCs w:val="24"/>
          <w:lang w:val="ro-RO"/>
        </w:rPr>
        <w:t>web internă a BNM</w:t>
      </w:r>
      <w:r w:rsidR="007D48F4" w:rsidRPr="00650D66">
        <w:rPr>
          <w:rFonts w:ascii="Times New Roman" w:hAnsi="Times New Roman" w:cs="Times New Roman"/>
          <w:sz w:val="24"/>
          <w:szCs w:val="24"/>
          <w:lang w:val="ro-RO"/>
        </w:rPr>
        <w:t>, în lipsa cerinței stabilite în actele normative naționale</w:t>
      </w:r>
      <w:r w:rsidR="00F744BF" w:rsidRPr="00650D66">
        <w:rPr>
          <w:rFonts w:ascii="Times New Roman" w:hAnsi="Times New Roman" w:cs="Times New Roman"/>
          <w:sz w:val="24"/>
          <w:szCs w:val="24"/>
          <w:lang w:val="ro-RO"/>
        </w:rPr>
        <w:t xml:space="preserve">. Totodată, în cadrul subdiviziunilor BNM se aplică acte cu statut </w:t>
      </w:r>
      <w:r w:rsidR="00CB2600" w:rsidRPr="00650D66">
        <w:rPr>
          <w:rFonts w:ascii="Times New Roman" w:hAnsi="Times New Roman" w:cs="Times New Roman"/>
          <w:sz w:val="24"/>
          <w:szCs w:val="24"/>
          <w:lang w:val="ro-RO"/>
        </w:rPr>
        <w:t xml:space="preserve">intern confidențial, </w:t>
      </w:r>
      <w:r w:rsidR="00F744BF" w:rsidRPr="00650D66">
        <w:rPr>
          <w:rFonts w:ascii="Times New Roman" w:hAnsi="Times New Roman" w:cs="Times New Roman"/>
          <w:sz w:val="24"/>
          <w:szCs w:val="24"/>
          <w:lang w:val="ro-RO"/>
        </w:rPr>
        <w:t xml:space="preserve">strict limitat, </w:t>
      </w:r>
      <w:r w:rsidR="00C57436" w:rsidRPr="00650D66">
        <w:rPr>
          <w:rFonts w:ascii="Times New Roman" w:hAnsi="Times New Roman" w:cs="Times New Roman"/>
          <w:sz w:val="24"/>
          <w:szCs w:val="24"/>
          <w:lang w:val="ro-RO"/>
        </w:rPr>
        <w:t>care se clasifică în funcție de gradul de confidențialitate în 3 nivele</w:t>
      </w:r>
      <w:r w:rsidR="00F00DC2" w:rsidRPr="00650D66">
        <w:rPr>
          <w:rFonts w:ascii="Times New Roman" w:hAnsi="Times New Roman" w:cs="Times New Roman"/>
          <w:sz w:val="24"/>
          <w:szCs w:val="24"/>
          <w:lang w:val="ro-RO"/>
        </w:rPr>
        <w:t xml:space="preserve"> în conformitate cu politica de securitate a informației în BNM</w:t>
      </w:r>
      <w:r w:rsidR="00F744BF" w:rsidRPr="00650D66">
        <w:rPr>
          <w:rFonts w:ascii="Times New Roman" w:hAnsi="Times New Roman" w:cs="Times New Roman"/>
          <w:sz w:val="24"/>
          <w:szCs w:val="24"/>
          <w:lang w:val="ro-RO"/>
        </w:rPr>
        <w:t>.</w:t>
      </w:r>
      <w:r w:rsidR="0022726F" w:rsidRPr="00650D66">
        <w:rPr>
          <w:rFonts w:ascii="Times New Roman" w:hAnsi="Times New Roman" w:cs="Times New Roman"/>
          <w:sz w:val="24"/>
          <w:szCs w:val="24"/>
          <w:lang w:val="ro-RO"/>
        </w:rPr>
        <w:t xml:space="preserve"> </w:t>
      </w:r>
      <w:r w:rsidR="00221609" w:rsidRPr="00D529E4">
        <w:rPr>
          <w:rFonts w:ascii="Times New Roman" w:hAnsi="Times New Roman" w:cs="Times New Roman"/>
          <w:sz w:val="24"/>
          <w:szCs w:val="24"/>
          <w:lang w:val="ro-RO"/>
        </w:rPr>
        <w:t>Astfel, la aprobarea actelor normative</w:t>
      </w:r>
      <w:r w:rsidR="00221609" w:rsidRPr="00650D66">
        <w:rPr>
          <w:rFonts w:ascii="Times New Roman" w:hAnsi="Times New Roman" w:cs="Times New Roman"/>
          <w:sz w:val="24"/>
          <w:szCs w:val="24"/>
          <w:lang w:val="ro-RO"/>
        </w:rPr>
        <w:t xml:space="preserve"> interne</w:t>
      </w:r>
      <w:r w:rsidR="00033F6D">
        <w:rPr>
          <w:rFonts w:ascii="Times New Roman" w:hAnsi="Times New Roman" w:cs="Times New Roman"/>
          <w:sz w:val="24"/>
          <w:szCs w:val="24"/>
          <w:lang w:val="ro-RO"/>
        </w:rPr>
        <w:t>,</w:t>
      </w:r>
      <w:r w:rsidR="00221609" w:rsidRPr="00650D66">
        <w:rPr>
          <w:rFonts w:ascii="Times New Roman" w:hAnsi="Times New Roman" w:cs="Times New Roman"/>
          <w:sz w:val="24"/>
          <w:szCs w:val="24"/>
          <w:lang w:val="ro-RO"/>
        </w:rPr>
        <w:t xml:space="preserve"> organele de conducere al</w:t>
      </w:r>
      <w:r w:rsidR="00033F6D">
        <w:rPr>
          <w:rFonts w:ascii="Times New Roman" w:hAnsi="Times New Roman" w:cs="Times New Roman"/>
          <w:sz w:val="24"/>
          <w:szCs w:val="24"/>
          <w:lang w:val="ro-RO"/>
        </w:rPr>
        <w:t>e</w:t>
      </w:r>
      <w:r w:rsidR="00221609" w:rsidRPr="00650D66">
        <w:rPr>
          <w:rFonts w:ascii="Times New Roman" w:hAnsi="Times New Roman" w:cs="Times New Roman"/>
          <w:sz w:val="24"/>
          <w:szCs w:val="24"/>
          <w:lang w:val="ro-RO"/>
        </w:rPr>
        <w:t xml:space="preserve"> BNM au transpus dispozițiile legislației europene și includ practici aferente altor </w:t>
      </w:r>
      <w:r w:rsidR="00033F6D">
        <w:rPr>
          <w:rFonts w:ascii="Times New Roman" w:hAnsi="Times New Roman" w:cs="Times New Roman"/>
          <w:sz w:val="24"/>
          <w:szCs w:val="24"/>
          <w:lang w:val="ro-RO"/>
        </w:rPr>
        <w:t>b</w:t>
      </w:r>
      <w:r w:rsidR="00221609" w:rsidRPr="00650D66">
        <w:rPr>
          <w:rFonts w:ascii="Times New Roman" w:hAnsi="Times New Roman" w:cs="Times New Roman"/>
          <w:sz w:val="24"/>
          <w:szCs w:val="24"/>
          <w:lang w:val="ro-RO"/>
        </w:rPr>
        <w:t>ănci centrale.</w:t>
      </w:r>
    </w:p>
    <w:p w14:paraId="766CA0C8" w14:textId="77777777" w:rsidR="00E03CA1" w:rsidRPr="00650D66" w:rsidRDefault="00E03CA1" w:rsidP="00760BEB">
      <w:pPr>
        <w:spacing w:after="0" w:line="276" w:lineRule="auto"/>
        <w:jc w:val="both"/>
        <w:rPr>
          <w:rFonts w:ascii="Times New Roman" w:hAnsi="Times New Roman" w:cs="Times New Roman"/>
          <w:sz w:val="6"/>
          <w:szCs w:val="6"/>
          <w:lang w:val="ro-RO"/>
        </w:rPr>
      </w:pPr>
    </w:p>
    <w:p w14:paraId="40611AE2" w14:textId="6B416484" w:rsidR="005C6F65" w:rsidRPr="00650D66" w:rsidRDefault="00E03CA1" w:rsidP="00760BEB">
      <w:pPr>
        <w:spacing w:after="0" w:line="276" w:lineRule="auto"/>
        <w:jc w:val="both"/>
        <w:rPr>
          <w:rFonts w:ascii="Times New Roman" w:hAnsi="Times New Roman" w:cs="Times New Roman"/>
          <w:i/>
          <w:sz w:val="24"/>
          <w:szCs w:val="24"/>
          <w:lang w:val="ro-RO"/>
        </w:rPr>
      </w:pPr>
      <w:r w:rsidRPr="00650D66">
        <w:rPr>
          <w:rFonts w:ascii="Times New Roman" w:hAnsi="Times New Roman" w:cs="Times New Roman"/>
          <w:sz w:val="24"/>
          <w:szCs w:val="24"/>
          <w:lang w:val="ro-RO"/>
        </w:rPr>
        <w:t xml:space="preserve">Auditul a constatat că </w:t>
      </w:r>
      <w:r w:rsidR="00775067" w:rsidRPr="00650D66">
        <w:rPr>
          <w:rFonts w:ascii="Times New Roman" w:hAnsi="Times New Roman" w:cs="Times New Roman"/>
          <w:sz w:val="24"/>
          <w:szCs w:val="24"/>
          <w:lang w:val="ro-RO"/>
        </w:rPr>
        <w:t>BNM deține un Registru al actelor interne repartizate pe departamente</w:t>
      </w:r>
      <w:r w:rsidR="00033F6D">
        <w:rPr>
          <w:rFonts w:ascii="Times New Roman" w:hAnsi="Times New Roman" w:cs="Times New Roman"/>
          <w:sz w:val="24"/>
          <w:szCs w:val="24"/>
          <w:lang w:val="ro-RO"/>
        </w:rPr>
        <w:t>,</w:t>
      </w:r>
      <w:r w:rsidR="00775067" w:rsidRPr="00650D66">
        <w:rPr>
          <w:rFonts w:ascii="Times New Roman" w:hAnsi="Times New Roman" w:cs="Times New Roman"/>
          <w:sz w:val="24"/>
          <w:szCs w:val="24"/>
          <w:lang w:val="ro-RO"/>
        </w:rPr>
        <w:t xml:space="preserve"> </w:t>
      </w:r>
      <w:r w:rsidR="00EE6A84" w:rsidRPr="00650D66">
        <w:rPr>
          <w:rFonts w:ascii="Times New Roman" w:hAnsi="Times New Roman" w:cs="Times New Roman"/>
          <w:sz w:val="24"/>
          <w:szCs w:val="24"/>
          <w:lang w:val="ro-RO"/>
        </w:rPr>
        <w:t xml:space="preserve">care </w:t>
      </w:r>
      <w:r w:rsidR="00220120" w:rsidRPr="00650D66">
        <w:rPr>
          <w:rFonts w:ascii="Times New Roman" w:hAnsi="Times New Roman" w:cs="Times New Roman"/>
          <w:sz w:val="24"/>
          <w:szCs w:val="24"/>
          <w:lang w:val="ro-RO"/>
        </w:rPr>
        <w:t>include</w:t>
      </w:r>
      <w:r w:rsidR="00EE6A84" w:rsidRPr="00650D66">
        <w:rPr>
          <w:rFonts w:ascii="Times New Roman" w:hAnsi="Times New Roman" w:cs="Times New Roman"/>
          <w:sz w:val="24"/>
          <w:szCs w:val="24"/>
          <w:lang w:val="ro-RO"/>
        </w:rPr>
        <w:t xml:space="preserve"> </w:t>
      </w:r>
      <w:r w:rsidR="00033F6D">
        <w:rPr>
          <w:rFonts w:ascii="Times New Roman" w:hAnsi="Times New Roman" w:cs="Times New Roman"/>
          <w:sz w:val="24"/>
          <w:szCs w:val="24"/>
          <w:lang w:val="ro-RO"/>
        </w:rPr>
        <w:t xml:space="preserve">atât </w:t>
      </w:r>
      <w:r w:rsidR="00EE6A84" w:rsidRPr="00650D66">
        <w:rPr>
          <w:rFonts w:ascii="Times New Roman" w:hAnsi="Times New Roman" w:cs="Times New Roman"/>
          <w:sz w:val="24"/>
          <w:szCs w:val="24"/>
          <w:lang w:val="ro-RO"/>
        </w:rPr>
        <w:t>actele BNM</w:t>
      </w:r>
      <w:r w:rsidR="00380B98" w:rsidRPr="00650D66">
        <w:rPr>
          <w:rFonts w:ascii="Times New Roman" w:hAnsi="Times New Roman" w:cs="Times New Roman"/>
          <w:sz w:val="24"/>
          <w:szCs w:val="24"/>
          <w:lang w:val="ro-RO"/>
        </w:rPr>
        <w:t xml:space="preserve"> (regulamente, instrucțiuni etc.)</w:t>
      </w:r>
      <w:r w:rsidR="00033F6D">
        <w:rPr>
          <w:rFonts w:ascii="Times New Roman" w:hAnsi="Times New Roman" w:cs="Times New Roman"/>
          <w:sz w:val="24"/>
          <w:szCs w:val="24"/>
          <w:lang w:val="ro-RO"/>
        </w:rPr>
        <w:t>,</w:t>
      </w:r>
      <w:r w:rsidR="00AB10E9" w:rsidRPr="00650D66">
        <w:rPr>
          <w:rFonts w:ascii="Times New Roman" w:hAnsi="Times New Roman" w:cs="Times New Roman"/>
          <w:sz w:val="24"/>
          <w:szCs w:val="24"/>
          <w:lang w:val="ro-RO"/>
        </w:rPr>
        <w:t xml:space="preserve"> </w:t>
      </w:r>
      <w:r w:rsidR="00033F6D">
        <w:rPr>
          <w:rFonts w:ascii="Times New Roman" w:hAnsi="Times New Roman" w:cs="Times New Roman"/>
          <w:sz w:val="24"/>
          <w:szCs w:val="24"/>
          <w:lang w:val="ro-RO"/>
        </w:rPr>
        <w:t xml:space="preserve">cât </w:t>
      </w:r>
      <w:r w:rsidR="00EE6A84" w:rsidRPr="00650D66">
        <w:rPr>
          <w:rFonts w:ascii="Times New Roman" w:hAnsi="Times New Roman" w:cs="Times New Roman"/>
          <w:sz w:val="24"/>
          <w:szCs w:val="24"/>
          <w:lang w:val="ro-RO"/>
        </w:rPr>
        <w:t xml:space="preserve">și </w:t>
      </w:r>
      <w:r w:rsidR="00033F6D">
        <w:rPr>
          <w:rFonts w:ascii="Times New Roman" w:hAnsi="Times New Roman" w:cs="Times New Roman"/>
          <w:sz w:val="24"/>
          <w:szCs w:val="24"/>
          <w:lang w:val="ro-RO"/>
        </w:rPr>
        <w:t>actele</w:t>
      </w:r>
      <w:r w:rsidR="00EE6A84" w:rsidRPr="00650D66">
        <w:rPr>
          <w:rFonts w:ascii="Times New Roman" w:hAnsi="Times New Roman" w:cs="Times New Roman"/>
          <w:sz w:val="24"/>
          <w:szCs w:val="24"/>
          <w:lang w:val="ro-RO"/>
        </w:rPr>
        <w:t xml:space="preserve"> ce</w:t>
      </w:r>
      <w:r w:rsidR="00AB10E9" w:rsidRPr="00650D66">
        <w:rPr>
          <w:rFonts w:ascii="Times New Roman" w:hAnsi="Times New Roman" w:cs="Times New Roman"/>
          <w:sz w:val="24"/>
          <w:szCs w:val="24"/>
          <w:lang w:val="ro-RO"/>
        </w:rPr>
        <w:t xml:space="preserve"> țin de planificarea și executarea devizului de cheltuieli și alocațiilor pentru investiții</w:t>
      </w:r>
      <w:r w:rsidR="006E499B" w:rsidRPr="00650D66">
        <w:rPr>
          <w:rFonts w:ascii="Times New Roman" w:hAnsi="Times New Roman" w:cs="Times New Roman"/>
          <w:sz w:val="24"/>
          <w:szCs w:val="24"/>
          <w:lang w:val="ro-RO"/>
        </w:rPr>
        <w:t>, prezentat auditului la data de 05.09.2023</w:t>
      </w:r>
      <w:r w:rsidR="00386983" w:rsidRPr="00650D66">
        <w:rPr>
          <w:rFonts w:ascii="Times New Roman" w:hAnsi="Times New Roman" w:cs="Times New Roman"/>
          <w:sz w:val="24"/>
          <w:szCs w:val="24"/>
          <w:lang w:val="ro-RO"/>
        </w:rPr>
        <w:t xml:space="preserve">. </w:t>
      </w:r>
      <w:r w:rsidR="004301E3" w:rsidRPr="00650D66">
        <w:rPr>
          <w:rFonts w:ascii="Times New Roman" w:hAnsi="Times New Roman" w:cs="Times New Roman"/>
          <w:color w:val="000000" w:themeColor="text1"/>
          <w:sz w:val="24"/>
          <w:szCs w:val="24"/>
          <w:lang w:val="ro-RO"/>
        </w:rPr>
        <w:t>L</w:t>
      </w:r>
      <w:r w:rsidR="004E04C9" w:rsidRPr="00650D66">
        <w:rPr>
          <w:rFonts w:ascii="Times New Roman" w:hAnsi="Times New Roman" w:cs="Times New Roman"/>
          <w:color w:val="000000" w:themeColor="text1"/>
          <w:sz w:val="24"/>
          <w:szCs w:val="24"/>
          <w:lang w:val="ro-RO"/>
        </w:rPr>
        <w:t xml:space="preserve">a solicitarea </w:t>
      </w:r>
      <w:r w:rsidR="006E45AF" w:rsidRPr="00650D66">
        <w:rPr>
          <w:rFonts w:ascii="Times New Roman" w:hAnsi="Times New Roman" w:cs="Times New Roman"/>
          <w:color w:val="000000" w:themeColor="text1"/>
          <w:sz w:val="24"/>
          <w:szCs w:val="24"/>
          <w:lang w:val="ro-RO"/>
        </w:rPr>
        <w:t xml:space="preserve">echipei de </w:t>
      </w:r>
      <w:r w:rsidR="004E04C9" w:rsidRPr="00650D66">
        <w:rPr>
          <w:rFonts w:ascii="Times New Roman" w:hAnsi="Times New Roman" w:cs="Times New Roman"/>
          <w:color w:val="000000" w:themeColor="text1"/>
          <w:sz w:val="24"/>
          <w:szCs w:val="24"/>
          <w:lang w:val="ro-RO"/>
        </w:rPr>
        <w:t>audit</w:t>
      </w:r>
      <w:r w:rsidR="005E4F4F" w:rsidRPr="00650D66">
        <w:rPr>
          <w:rFonts w:ascii="Times New Roman" w:hAnsi="Times New Roman" w:cs="Times New Roman"/>
          <w:color w:val="000000" w:themeColor="text1"/>
          <w:sz w:val="24"/>
          <w:szCs w:val="24"/>
          <w:lang w:val="ro-RO"/>
        </w:rPr>
        <w:t xml:space="preserve"> din data de 15.08.2023</w:t>
      </w:r>
      <w:r w:rsidR="004E04C9" w:rsidRPr="00650D66">
        <w:rPr>
          <w:rFonts w:ascii="Times New Roman" w:hAnsi="Times New Roman" w:cs="Times New Roman"/>
          <w:color w:val="000000" w:themeColor="text1"/>
          <w:sz w:val="24"/>
          <w:szCs w:val="24"/>
          <w:lang w:val="ro-RO"/>
        </w:rPr>
        <w:t xml:space="preserve">, </w:t>
      </w:r>
      <w:r w:rsidR="0048430E" w:rsidRPr="00650D66">
        <w:rPr>
          <w:rFonts w:ascii="Times New Roman" w:hAnsi="Times New Roman" w:cs="Times New Roman"/>
          <w:color w:val="000000" w:themeColor="text1"/>
          <w:sz w:val="24"/>
          <w:szCs w:val="24"/>
          <w:lang w:val="ro-RO"/>
        </w:rPr>
        <w:t>lista actelor normative</w:t>
      </w:r>
      <w:r w:rsidR="00641221" w:rsidRPr="00650D66">
        <w:rPr>
          <w:rFonts w:ascii="Times New Roman" w:hAnsi="Times New Roman" w:cs="Times New Roman"/>
          <w:color w:val="000000" w:themeColor="text1"/>
          <w:sz w:val="24"/>
          <w:szCs w:val="24"/>
          <w:lang w:val="ro-RO"/>
        </w:rPr>
        <w:t xml:space="preserve"> interne și externe</w:t>
      </w:r>
      <w:r w:rsidR="0048430E" w:rsidRPr="00650D66">
        <w:rPr>
          <w:rFonts w:ascii="Times New Roman" w:hAnsi="Times New Roman" w:cs="Times New Roman"/>
          <w:color w:val="000000" w:themeColor="text1"/>
          <w:sz w:val="24"/>
          <w:szCs w:val="24"/>
          <w:lang w:val="ro-RO"/>
        </w:rPr>
        <w:t xml:space="preserve"> aplicate </w:t>
      </w:r>
      <w:r w:rsidR="00047F9B" w:rsidRPr="00650D66">
        <w:rPr>
          <w:rFonts w:ascii="Times New Roman" w:hAnsi="Times New Roman" w:cs="Times New Roman"/>
          <w:color w:val="000000" w:themeColor="text1"/>
          <w:sz w:val="24"/>
          <w:szCs w:val="24"/>
          <w:lang w:val="ro-RO"/>
        </w:rPr>
        <w:t xml:space="preserve">la executarea devizului de cheltuieli, </w:t>
      </w:r>
      <w:r w:rsidR="006E45AF" w:rsidRPr="00650D66">
        <w:rPr>
          <w:rFonts w:ascii="Times New Roman" w:hAnsi="Times New Roman" w:cs="Times New Roman"/>
          <w:color w:val="000000" w:themeColor="text1"/>
          <w:sz w:val="24"/>
          <w:szCs w:val="24"/>
          <w:lang w:val="ro-RO"/>
        </w:rPr>
        <w:t xml:space="preserve">unele conținându-se în Registrul </w:t>
      </w:r>
      <w:r w:rsidR="006E45AF" w:rsidRPr="00AF25AE">
        <w:rPr>
          <w:rFonts w:ascii="Times New Roman" w:hAnsi="Times New Roman" w:cs="Times New Roman"/>
          <w:color w:val="000000" w:themeColor="text1"/>
          <w:sz w:val="24"/>
          <w:szCs w:val="24"/>
          <w:lang w:val="ro-RO"/>
        </w:rPr>
        <w:t xml:space="preserve">menționat, dar </w:t>
      </w:r>
      <w:r w:rsidR="0048430E" w:rsidRPr="00AF25AE">
        <w:rPr>
          <w:rFonts w:ascii="Times New Roman" w:hAnsi="Times New Roman" w:cs="Times New Roman"/>
          <w:color w:val="000000" w:themeColor="text1"/>
          <w:sz w:val="24"/>
          <w:szCs w:val="24"/>
          <w:lang w:val="ro-RO"/>
        </w:rPr>
        <w:t>conform modelului sol</w:t>
      </w:r>
      <w:r w:rsidR="00047F9B" w:rsidRPr="00AF25AE">
        <w:rPr>
          <w:rFonts w:ascii="Times New Roman" w:hAnsi="Times New Roman" w:cs="Times New Roman"/>
          <w:color w:val="000000" w:themeColor="text1"/>
          <w:sz w:val="24"/>
          <w:szCs w:val="24"/>
          <w:lang w:val="ro-RO"/>
        </w:rPr>
        <w:t xml:space="preserve">icitat </w:t>
      </w:r>
      <w:r w:rsidR="004301E3" w:rsidRPr="00AF25AE">
        <w:rPr>
          <w:rFonts w:ascii="Times New Roman" w:hAnsi="Times New Roman" w:cs="Times New Roman"/>
          <w:color w:val="000000" w:themeColor="text1"/>
          <w:sz w:val="24"/>
          <w:szCs w:val="24"/>
          <w:lang w:val="ro-RO"/>
        </w:rPr>
        <w:t xml:space="preserve">a fost </w:t>
      </w:r>
      <w:r w:rsidR="005E4F4F" w:rsidRPr="00AF25AE">
        <w:rPr>
          <w:rFonts w:ascii="Times New Roman" w:hAnsi="Times New Roman" w:cs="Times New Roman"/>
          <w:color w:val="000000" w:themeColor="text1"/>
          <w:sz w:val="24"/>
          <w:szCs w:val="24"/>
          <w:lang w:val="ro-RO"/>
        </w:rPr>
        <w:t>prezentată</w:t>
      </w:r>
      <w:r w:rsidR="004301E3" w:rsidRPr="00650D66">
        <w:rPr>
          <w:rFonts w:ascii="Times New Roman" w:hAnsi="Times New Roman" w:cs="Times New Roman"/>
          <w:color w:val="000000" w:themeColor="text1"/>
          <w:sz w:val="24"/>
          <w:szCs w:val="24"/>
          <w:lang w:val="ro-RO"/>
        </w:rPr>
        <w:t xml:space="preserve"> </w:t>
      </w:r>
      <w:r w:rsidR="005E4F4F" w:rsidRPr="00650D66">
        <w:rPr>
          <w:rFonts w:ascii="Times New Roman" w:hAnsi="Times New Roman" w:cs="Times New Roman"/>
          <w:color w:val="000000" w:themeColor="text1"/>
          <w:sz w:val="24"/>
          <w:szCs w:val="24"/>
          <w:lang w:val="ro-RO"/>
        </w:rPr>
        <w:t>de către BNM</w:t>
      </w:r>
      <w:r w:rsidR="00DE7BEA" w:rsidRPr="00650D66">
        <w:rPr>
          <w:rFonts w:ascii="Times New Roman" w:hAnsi="Times New Roman" w:cs="Times New Roman"/>
          <w:color w:val="000000" w:themeColor="text1"/>
          <w:sz w:val="24"/>
          <w:szCs w:val="24"/>
          <w:lang w:val="ro-RO"/>
        </w:rPr>
        <w:t xml:space="preserve"> într-un termen</w:t>
      </w:r>
      <w:r w:rsidR="00033F6D">
        <w:rPr>
          <w:rFonts w:ascii="Times New Roman" w:hAnsi="Times New Roman" w:cs="Times New Roman"/>
          <w:color w:val="000000" w:themeColor="text1"/>
          <w:sz w:val="24"/>
          <w:szCs w:val="24"/>
          <w:lang w:val="ro-RO"/>
        </w:rPr>
        <w:t xml:space="preserve"> extins,</w:t>
      </w:r>
      <w:r w:rsidR="00DE7BEA" w:rsidRPr="00650D66">
        <w:rPr>
          <w:rFonts w:ascii="Times New Roman" w:hAnsi="Times New Roman" w:cs="Times New Roman"/>
          <w:color w:val="000000" w:themeColor="text1"/>
          <w:sz w:val="24"/>
          <w:szCs w:val="24"/>
          <w:lang w:val="ro-RO"/>
        </w:rPr>
        <w:t xml:space="preserve"> la data de 18.12.2023</w:t>
      </w:r>
      <w:r w:rsidR="004301E3" w:rsidRPr="00650D66">
        <w:rPr>
          <w:rFonts w:ascii="Times New Roman" w:hAnsi="Times New Roman" w:cs="Times New Roman"/>
          <w:i/>
          <w:sz w:val="24"/>
          <w:szCs w:val="24"/>
          <w:lang w:val="ro-RO"/>
        </w:rPr>
        <w:t xml:space="preserve"> </w:t>
      </w:r>
      <w:r w:rsidR="00033F6D">
        <w:rPr>
          <w:rFonts w:ascii="Times New Roman" w:hAnsi="Times New Roman" w:cs="Times New Roman"/>
          <w:i/>
          <w:sz w:val="24"/>
          <w:szCs w:val="24"/>
          <w:lang w:val="ro-RO"/>
        </w:rPr>
        <w:t xml:space="preserve">(Lista </w:t>
      </w:r>
      <w:r w:rsidR="004301E3" w:rsidRPr="00650D66">
        <w:rPr>
          <w:rFonts w:ascii="Times New Roman" w:hAnsi="Times New Roman" w:cs="Times New Roman"/>
          <w:i/>
          <w:sz w:val="24"/>
          <w:szCs w:val="24"/>
          <w:lang w:val="ro-RO"/>
        </w:rPr>
        <w:t xml:space="preserve">se anexează </w:t>
      </w:r>
      <w:r w:rsidR="00033F6D">
        <w:rPr>
          <w:rFonts w:ascii="Times New Roman" w:hAnsi="Times New Roman" w:cs="Times New Roman"/>
          <w:i/>
          <w:sz w:val="24"/>
          <w:szCs w:val="24"/>
          <w:lang w:val="ro-RO"/>
        </w:rPr>
        <w:t xml:space="preserve">în Anexa nr.1 </w:t>
      </w:r>
      <w:r w:rsidR="004301E3" w:rsidRPr="00650D66">
        <w:rPr>
          <w:rFonts w:ascii="Times New Roman" w:hAnsi="Times New Roman" w:cs="Times New Roman"/>
          <w:i/>
          <w:sz w:val="24"/>
          <w:szCs w:val="24"/>
          <w:lang w:val="ro-RO"/>
        </w:rPr>
        <w:t>la prezentul Raport de audit).</w:t>
      </w:r>
      <w:r w:rsidR="005C6F65" w:rsidRPr="00650D66">
        <w:rPr>
          <w:rFonts w:ascii="Times New Roman" w:hAnsi="Times New Roman" w:cs="Times New Roman"/>
          <w:i/>
          <w:sz w:val="24"/>
          <w:szCs w:val="24"/>
          <w:lang w:val="ro-RO"/>
        </w:rPr>
        <w:t xml:space="preserve"> </w:t>
      </w:r>
    </w:p>
    <w:p w14:paraId="68511E40" w14:textId="77777777" w:rsidR="00EA1781" w:rsidRPr="00650D66" w:rsidRDefault="00EA1781" w:rsidP="00760BEB">
      <w:pPr>
        <w:spacing w:after="0" w:line="276" w:lineRule="auto"/>
        <w:jc w:val="both"/>
        <w:rPr>
          <w:rFonts w:ascii="Times New Roman" w:hAnsi="Times New Roman" w:cs="Times New Roman"/>
          <w:sz w:val="6"/>
          <w:szCs w:val="6"/>
          <w:lang w:val="ro-RO"/>
        </w:rPr>
      </w:pPr>
    </w:p>
    <w:p w14:paraId="0B026867" w14:textId="46BA0A3F" w:rsidR="00E03CA1" w:rsidRPr="00650D66" w:rsidRDefault="002E09F2" w:rsidP="00760BEB">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Totodată, a</w:t>
      </w:r>
      <w:r w:rsidR="005C6F65" w:rsidRPr="00650D66">
        <w:rPr>
          <w:rFonts w:ascii="Times New Roman" w:hAnsi="Times New Roman" w:cs="Times New Roman"/>
          <w:sz w:val="24"/>
          <w:szCs w:val="24"/>
          <w:lang w:val="ro-RO"/>
        </w:rPr>
        <w:t xml:space="preserve">ctele normative </w:t>
      </w:r>
      <w:r w:rsidR="00D86F99" w:rsidRPr="00650D66">
        <w:rPr>
          <w:rFonts w:ascii="Times New Roman" w:hAnsi="Times New Roman" w:cs="Times New Roman"/>
          <w:sz w:val="24"/>
          <w:szCs w:val="24"/>
          <w:lang w:val="ro-RO"/>
        </w:rPr>
        <w:t xml:space="preserve">aplicate domeniului executării devizului de cheltuieli </w:t>
      </w:r>
      <w:r w:rsidR="005C6F65" w:rsidRPr="00650D66">
        <w:rPr>
          <w:rFonts w:ascii="Times New Roman" w:hAnsi="Times New Roman" w:cs="Times New Roman"/>
          <w:sz w:val="24"/>
          <w:szCs w:val="24"/>
          <w:lang w:val="ro-RO"/>
        </w:rPr>
        <w:t>s</w:t>
      </w:r>
      <w:r w:rsidR="001776A1">
        <w:rPr>
          <w:rFonts w:ascii="Times New Roman" w:hAnsi="Times New Roman" w:cs="Times New Roman"/>
          <w:sz w:val="24"/>
          <w:szCs w:val="24"/>
          <w:lang w:val="ro-RO"/>
        </w:rPr>
        <w:t>u</w:t>
      </w:r>
      <w:r w:rsidR="005C6F65" w:rsidRPr="00650D66">
        <w:rPr>
          <w:rFonts w:ascii="Times New Roman" w:hAnsi="Times New Roman" w:cs="Times New Roman"/>
          <w:sz w:val="24"/>
          <w:szCs w:val="24"/>
          <w:lang w:val="ro-RO"/>
        </w:rPr>
        <w:t>nt gestionate de către fiecare subdiviziune în parte și nu se asigură un control referitor la actualizarea și unificarea acestora.</w:t>
      </w:r>
      <w:r w:rsidR="00EA1781" w:rsidRPr="00650D66">
        <w:rPr>
          <w:rFonts w:ascii="Times New Roman" w:hAnsi="Times New Roman" w:cs="Times New Roman"/>
          <w:sz w:val="24"/>
          <w:szCs w:val="24"/>
          <w:lang w:val="ro-RO"/>
        </w:rPr>
        <w:t xml:space="preserve"> Astfel, </w:t>
      </w:r>
      <w:r w:rsidR="00453566" w:rsidRPr="00650D66">
        <w:rPr>
          <w:rFonts w:ascii="Times New Roman" w:hAnsi="Times New Roman" w:cs="Times New Roman"/>
          <w:sz w:val="24"/>
          <w:szCs w:val="24"/>
          <w:lang w:val="ro-RO"/>
        </w:rPr>
        <w:t xml:space="preserve">mai </w:t>
      </w:r>
      <w:r w:rsidR="00EA1781" w:rsidRPr="00650D66">
        <w:rPr>
          <w:rFonts w:ascii="Times New Roman" w:hAnsi="Times New Roman" w:cs="Times New Roman"/>
          <w:sz w:val="24"/>
          <w:szCs w:val="24"/>
          <w:lang w:val="ro-RO"/>
        </w:rPr>
        <w:t xml:space="preserve">multe acte normative </w:t>
      </w:r>
      <w:r w:rsidR="00D86F99" w:rsidRPr="00650D66">
        <w:rPr>
          <w:rFonts w:ascii="Times New Roman" w:hAnsi="Times New Roman" w:cs="Times New Roman"/>
          <w:sz w:val="24"/>
          <w:szCs w:val="24"/>
          <w:lang w:val="ro-RO"/>
        </w:rPr>
        <w:t xml:space="preserve">aferente domeniului menționat </w:t>
      </w:r>
      <w:r w:rsidR="00EA1781" w:rsidRPr="00650D66">
        <w:rPr>
          <w:rFonts w:ascii="Times New Roman" w:hAnsi="Times New Roman" w:cs="Times New Roman"/>
          <w:sz w:val="24"/>
          <w:szCs w:val="24"/>
          <w:lang w:val="ro-RO"/>
        </w:rPr>
        <w:t>necesită revizuire din punct</w:t>
      </w:r>
      <w:r w:rsidR="001776A1">
        <w:rPr>
          <w:rFonts w:ascii="Times New Roman" w:hAnsi="Times New Roman" w:cs="Times New Roman"/>
          <w:sz w:val="24"/>
          <w:szCs w:val="24"/>
          <w:lang w:val="ro-RO"/>
        </w:rPr>
        <w:t>ul</w:t>
      </w:r>
      <w:r w:rsidR="00EA1781" w:rsidRPr="00650D66">
        <w:rPr>
          <w:rFonts w:ascii="Times New Roman" w:hAnsi="Times New Roman" w:cs="Times New Roman"/>
          <w:sz w:val="24"/>
          <w:szCs w:val="24"/>
          <w:lang w:val="ro-RO"/>
        </w:rPr>
        <w:t xml:space="preserve"> de vedere al aplicabilității.</w:t>
      </w:r>
    </w:p>
    <w:p w14:paraId="766BE126" w14:textId="1E8827EC" w:rsidR="00D5124E" w:rsidRPr="00650D66" w:rsidRDefault="004025BF" w:rsidP="00F762E0">
      <w:pPr>
        <w:spacing w:after="12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Auditul a constatat că, î</w:t>
      </w:r>
      <w:r w:rsidR="00F56A20" w:rsidRPr="00650D66">
        <w:rPr>
          <w:rFonts w:ascii="Times New Roman" w:hAnsi="Times New Roman" w:cs="Times New Roman"/>
          <w:sz w:val="24"/>
          <w:szCs w:val="24"/>
          <w:lang w:val="ro-RO"/>
        </w:rPr>
        <w:t>n conformitate cu pct.</w:t>
      </w:r>
      <w:r w:rsidR="00D375E5" w:rsidRPr="00650D66">
        <w:rPr>
          <w:rFonts w:ascii="Times New Roman" w:hAnsi="Times New Roman" w:cs="Times New Roman"/>
          <w:sz w:val="24"/>
          <w:szCs w:val="24"/>
          <w:lang w:val="ro-RO"/>
        </w:rPr>
        <w:t>3.7. din Regulamentul nr.</w:t>
      </w:r>
      <w:r w:rsidRPr="00650D66">
        <w:rPr>
          <w:rFonts w:ascii="Times New Roman" w:hAnsi="Times New Roman" w:cs="Times New Roman"/>
          <w:sz w:val="24"/>
          <w:szCs w:val="24"/>
          <w:lang w:val="ro-RO"/>
        </w:rPr>
        <w:t xml:space="preserve">5/2015, după aprobarea devizului de cheltuieli de către </w:t>
      </w:r>
      <w:r w:rsidR="00C401A0" w:rsidRPr="00650D66">
        <w:rPr>
          <w:rFonts w:ascii="Times New Roman" w:hAnsi="Times New Roman" w:cs="Times New Roman"/>
          <w:sz w:val="24"/>
          <w:szCs w:val="24"/>
          <w:lang w:val="ro-RO"/>
        </w:rPr>
        <w:t>CS</w:t>
      </w:r>
      <w:r w:rsidRPr="00650D66">
        <w:rPr>
          <w:rFonts w:ascii="Times New Roman" w:hAnsi="Times New Roman" w:cs="Times New Roman"/>
          <w:sz w:val="24"/>
          <w:szCs w:val="24"/>
          <w:lang w:val="ro-RO"/>
        </w:rPr>
        <w:t xml:space="preserve">, BNM publică pe pagina </w:t>
      </w:r>
      <w:r w:rsidR="001776A1">
        <w:rPr>
          <w:rFonts w:ascii="Times New Roman" w:hAnsi="Times New Roman" w:cs="Times New Roman"/>
          <w:sz w:val="24"/>
          <w:szCs w:val="24"/>
          <w:lang w:val="ro-RO"/>
        </w:rPr>
        <w:t xml:space="preserve">sa </w:t>
      </w:r>
      <w:r w:rsidRPr="00650D66">
        <w:rPr>
          <w:rFonts w:ascii="Times New Roman" w:hAnsi="Times New Roman" w:cs="Times New Roman"/>
          <w:sz w:val="24"/>
          <w:szCs w:val="24"/>
          <w:lang w:val="ro-RO"/>
        </w:rPr>
        <w:t>web</w:t>
      </w:r>
      <w:r w:rsidR="001776A1">
        <w:rPr>
          <w:rFonts w:ascii="Times New Roman" w:hAnsi="Times New Roman" w:cs="Times New Roman"/>
          <w:sz w:val="24"/>
          <w:szCs w:val="24"/>
          <w:lang w:val="ro-RO"/>
        </w:rPr>
        <w:t xml:space="preserve">, </w:t>
      </w:r>
      <w:r w:rsidR="001776A1" w:rsidRPr="00650D66">
        <w:rPr>
          <w:rFonts w:ascii="Times New Roman" w:hAnsi="Times New Roman" w:cs="Times New Roman"/>
          <w:sz w:val="24"/>
          <w:szCs w:val="24"/>
          <w:lang w:val="ro-RO"/>
        </w:rPr>
        <w:t>într-un format restrâns</w:t>
      </w:r>
      <w:r w:rsidR="001776A1">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doar devizul de cheltuieli aprobat și executat. Totodată, cadrul normativ extern pentru perioada auditată nu prevedea obligativitatea BNM privind publicarea </w:t>
      </w:r>
      <w:r w:rsidR="006E45AF" w:rsidRPr="00650D66">
        <w:rPr>
          <w:rFonts w:ascii="Times New Roman" w:hAnsi="Times New Roman" w:cs="Times New Roman"/>
          <w:sz w:val="24"/>
          <w:szCs w:val="24"/>
          <w:lang w:val="ro-RO"/>
        </w:rPr>
        <w:t>d</w:t>
      </w:r>
      <w:r w:rsidRPr="00650D66">
        <w:rPr>
          <w:rFonts w:ascii="Times New Roman" w:hAnsi="Times New Roman" w:cs="Times New Roman"/>
          <w:sz w:val="24"/>
          <w:szCs w:val="24"/>
          <w:lang w:val="ro-RO"/>
        </w:rPr>
        <w:t>evizului de cheltu</w:t>
      </w:r>
      <w:r w:rsidR="00C401A0" w:rsidRPr="00650D66">
        <w:rPr>
          <w:rFonts w:ascii="Times New Roman" w:hAnsi="Times New Roman" w:cs="Times New Roman"/>
          <w:sz w:val="24"/>
          <w:szCs w:val="24"/>
          <w:lang w:val="ro-RO"/>
        </w:rPr>
        <w:t>ieli și/sau a</w:t>
      </w:r>
      <w:r w:rsidRPr="00650D66">
        <w:rPr>
          <w:rFonts w:ascii="Times New Roman" w:hAnsi="Times New Roman" w:cs="Times New Roman"/>
          <w:sz w:val="24"/>
          <w:szCs w:val="24"/>
          <w:lang w:val="ro-RO"/>
        </w:rPr>
        <w:t xml:space="preserve">locațiilor pentru investiții. În opinia echipei de audit, pentru asigurarea transparenței </w:t>
      </w:r>
      <w:r w:rsidR="00B521A6" w:rsidRPr="00650D66">
        <w:rPr>
          <w:rFonts w:ascii="Times New Roman" w:hAnsi="Times New Roman" w:cs="Times New Roman"/>
          <w:sz w:val="24"/>
          <w:szCs w:val="24"/>
          <w:lang w:val="ro-RO"/>
        </w:rPr>
        <w:t xml:space="preserve">totale și nu parțiale, </w:t>
      </w:r>
      <w:r w:rsidRPr="00650D66">
        <w:rPr>
          <w:rFonts w:ascii="Times New Roman" w:hAnsi="Times New Roman" w:cs="Times New Roman"/>
          <w:sz w:val="24"/>
          <w:szCs w:val="24"/>
          <w:lang w:val="ro-RO"/>
        </w:rPr>
        <w:t>se consideră necesar</w:t>
      </w:r>
      <w:r w:rsidR="001776A1">
        <w:rPr>
          <w:rFonts w:ascii="Times New Roman" w:hAnsi="Times New Roman" w:cs="Times New Roman"/>
          <w:sz w:val="24"/>
          <w:szCs w:val="24"/>
          <w:lang w:val="ro-RO"/>
        </w:rPr>
        <w:t>ă</w:t>
      </w:r>
      <w:r w:rsidRPr="00650D66">
        <w:rPr>
          <w:rFonts w:ascii="Times New Roman" w:hAnsi="Times New Roman" w:cs="Times New Roman"/>
          <w:sz w:val="24"/>
          <w:szCs w:val="24"/>
          <w:lang w:val="ro-RO"/>
        </w:rPr>
        <w:t xml:space="preserve"> aprobarea unor norme în acest sens. Auditul a constatat că pe pagina web oficială a BNM nu se regăsea</w:t>
      </w:r>
      <w:r w:rsidR="001776A1">
        <w:rPr>
          <w:rFonts w:ascii="Times New Roman" w:hAnsi="Times New Roman" w:cs="Times New Roman"/>
          <w:sz w:val="24"/>
          <w:szCs w:val="24"/>
          <w:lang w:val="ro-RO"/>
        </w:rPr>
        <w:t>u informații privind</w:t>
      </w:r>
      <w:r w:rsidRPr="00650D66">
        <w:rPr>
          <w:rFonts w:ascii="Times New Roman" w:hAnsi="Times New Roman" w:cs="Times New Roman"/>
          <w:sz w:val="24"/>
          <w:szCs w:val="24"/>
          <w:lang w:val="ro-RO"/>
        </w:rPr>
        <w:t xml:space="preserve"> executarea devizului de cheltuieli aprobat pentru anul 2021.</w:t>
      </w:r>
    </w:p>
    <w:p w14:paraId="348756D0" w14:textId="015FE789" w:rsidR="009600C2" w:rsidRDefault="009600C2" w:rsidP="009600C2">
      <w:pPr>
        <w:spacing w:after="0" w:line="276" w:lineRule="auto"/>
        <w:jc w:val="both"/>
        <w:rPr>
          <w:rFonts w:ascii="Times New Roman" w:hAnsi="Times New Roman" w:cs="Times New Roman"/>
          <w:i/>
          <w:sz w:val="24"/>
          <w:szCs w:val="24"/>
          <w:lang w:val="ro-RO"/>
        </w:rPr>
      </w:pPr>
      <w:r w:rsidRPr="009600C2">
        <w:rPr>
          <w:rFonts w:ascii="Times New Roman" w:hAnsi="Times New Roman" w:cs="Times New Roman"/>
          <w:b/>
          <w:i/>
          <w:sz w:val="24"/>
          <w:szCs w:val="24"/>
          <w:lang w:val="ro-RO"/>
        </w:rPr>
        <w:t>Notă:</w:t>
      </w:r>
      <w:r w:rsidRPr="009600C2">
        <w:rPr>
          <w:rFonts w:ascii="Times New Roman" w:hAnsi="Times New Roman" w:cs="Times New Roman"/>
          <w:i/>
          <w:sz w:val="24"/>
          <w:szCs w:val="24"/>
          <w:lang w:val="ro-RO"/>
        </w:rPr>
        <w:t xml:space="preserve"> Pe parcursul misiunii de audit de către BNM: </w:t>
      </w:r>
      <w:r w:rsidRPr="007F504E">
        <w:rPr>
          <w:rFonts w:ascii="Times New Roman" w:hAnsi="Times New Roman" w:cs="Times New Roman"/>
          <w:b/>
          <w:i/>
          <w:sz w:val="24"/>
          <w:szCs w:val="24"/>
          <w:lang w:val="ro-RO"/>
        </w:rPr>
        <w:t>(i)</w:t>
      </w:r>
      <w:r w:rsidRPr="009600C2">
        <w:rPr>
          <w:rFonts w:ascii="Times New Roman" w:hAnsi="Times New Roman" w:cs="Times New Roman"/>
          <w:i/>
          <w:sz w:val="24"/>
          <w:szCs w:val="24"/>
          <w:lang w:val="ro-RO"/>
        </w:rPr>
        <w:t xml:space="preserve"> a fost publicată executarea devizului de cheltuieli aprobat pentru anul 2021; </w:t>
      </w:r>
      <w:r w:rsidRPr="007F504E">
        <w:rPr>
          <w:rFonts w:ascii="Times New Roman" w:hAnsi="Times New Roman" w:cs="Times New Roman"/>
          <w:b/>
          <w:i/>
          <w:sz w:val="24"/>
          <w:szCs w:val="24"/>
          <w:lang w:val="ro-RO"/>
        </w:rPr>
        <w:t>(ii)</w:t>
      </w:r>
      <w:r w:rsidRPr="009600C2">
        <w:rPr>
          <w:rFonts w:ascii="Times New Roman" w:hAnsi="Times New Roman" w:cs="Times New Roman"/>
          <w:i/>
          <w:sz w:val="24"/>
          <w:szCs w:val="24"/>
          <w:lang w:val="ro-RO"/>
        </w:rPr>
        <w:t xml:space="preserve"> au fost publicate alocațiile pentru investiții ale BNM pentru anul 2024; </w:t>
      </w:r>
      <w:r w:rsidRPr="007F504E">
        <w:rPr>
          <w:rFonts w:ascii="Times New Roman" w:hAnsi="Times New Roman" w:cs="Times New Roman"/>
          <w:b/>
          <w:i/>
          <w:sz w:val="24"/>
          <w:szCs w:val="24"/>
          <w:lang w:val="ro-RO"/>
        </w:rPr>
        <w:t xml:space="preserve">(iii) </w:t>
      </w:r>
      <w:r w:rsidRPr="009600C2">
        <w:rPr>
          <w:rFonts w:ascii="Times New Roman" w:hAnsi="Times New Roman" w:cs="Times New Roman"/>
          <w:i/>
          <w:sz w:val="24"/>
          <w:szCs w:val="24"/>
          <w:lang w:val="ro-RO"/>
        </w:rPr>
        <w:t xml:space="preserve">unele acte normative interne au fost actualizate. </w:t>
      </w:r>
    </w:p>
    <w:p w14:paraId="57422053" w14:textId="77777777" w:rsidR="009600C2" w:rsidRPr="00581481" w:rsidRDefault="009600C2" w:rsidP="009600C2">
      <w:pPr>
        <w:spacing w:after="0" w:line="276" w:lineRule="auto"/>
        <w:jc w:val="both"/>
        <w:rPr>
          <w:rFonts w:ascii="Times New Roman" w:hAnsi="Times New Roman" w:cs="Times New Roman"/>
          <w:i/>
          <w:sz w:val="18"/>
          <w:szCs w:val="18"/>
          <w:lang w:val="ro-RO"/>
        </w:rPr>
      </w:pPr>
    </w:p>
    <w:p w14:paraId="371445E4" w14:textId="2A8CF4E4" w:rsidR="00660D0A" w:rsidRDefault="00FA7DF7" w:rsidP="00502CDD">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P</w:t>
      </w:r>
      <w:r w:rsidR="00A13595" w:rsidRPr="00650D66">
        <w:rPr>
          <w:rFonts w:ascii="Times New Roman" w:hAnsi="Times New Roman" w:cs="Times New Roman"/>
          <w:sz w:val="24"/>
          <w:szCs w:val="24"/>
          <w:lang w:val="ro-RO"/>
        </w:rPr>
        <w:t xml:space="preserve">otrivit </w:t>
      </w:r>
      <w:r w:rsidR="00AA15E8" w:rsidRPr="00650D66">
        <w:rPr>
          <w:rFonts w:ascii="Times New Roman" w:hAnsi="Times New Roman" w:cs="Times New Roman"/>
          <w:sz w:val="24"/>
          <w:szCs w:val="24"/>
          <w:lang w:val="ro-RO"/>
        </w:rPr>
        <w:t>Politicii</w:t>
      </w:r>
      <w:r w:rsidR="00D5124E" w:rsidRPr="00650D66">
        <w:rPr>
          <w:rFonts w:ascii="Times New Roman" w:hAnsi="Times New Roman" w:cs="Times New Roman"/>
          <w:sz w:val="24"/>
          <w:szCs w:val="24"/>
          <w:lang w:val="ro-RO"/>
        </w:rPr>
        <w:t xml:space="preserve"> </w:t>
      </w:r>
      <w:r w:rsidR="006E4EBE" w:rsidRPr="00650D66">
        <w:rPr>
          <w:rFonts w:ascii="Times New Roman" w:hAnsi="Times New Roman" w:cs="Times New Roman"/>
          <w:sz w:val="24"/>
          <w:szCs w:val="24"/>
          <w:lang w:val="ro-RO"/>
        </w:rPr>
        <w:t>contabile</w:t>
      </w:r>
      <w:r w:rsidR="00AA15E8" w:rsidRPr="00650D66">
        <w:rPr>
          <w:rFonts w:ascii="Times New Roman" w:hAnsi="Times New Roman" w:cs="Times New Roman"/>
          <w:sz w:val="24"/>
          <w:szCs w:val="24"/>
          <w:lang w:val="ro-RO"/>
        </w:rPr>
        <w:t>, aceasta se aprobă anual și</w:t>
      </w:r>
      <w:r w:rsidR="00A13595" w:rsidRPr="00650D66">
        <w:rPr>
          <w:rFonts w:ascii="Times New Roman" w:hAnsi="Times New Roman" w:cs="Times New Roman"/>
          <w:sz w:val="24"/>
          <w:szCs w:val="24"/>
          <w:lang w:val="ro-RO"/>
        </w:rPr>
        <w:t xml:space="preserve"> se modifică la necesitate, </w:t>
      </w:r>
      <w:r w:rsidR="00583E8A" w:rsidRPr="00650D66">
        <w:rPr>
          <w:rFonts w:ascii="Times New Roman" w:hAnsi="Times New Roman" w:cs="Times New Roman"/>
          <w:sz w:val="24"/>
          <w:szCs w:val="24"/>
          <w:lang w:val="ro-RO"/>
        </w:rPr>
        <w:t>ultima modificare</w:t>
      </w:r>
      <w:r w:rsidR="006931E7">
        <w:rPr>
          <w:rFonts w:ascii="Times New Roman" w:hAnsi="Times New Roman" w:cs="Times New Roman"/>
          <w:sz w:val="24"/>
          <w:szCs w:val="24"/>
          <w:lang w:val="ro-RO"/>
        </w:rPr>
        <w:t xml:space="preserve"> fiind</w:t>
      </w:r>
      <w:r w:rsidR="00583E8A" w:rsidRPr="00650D66">
        <w:rPr>
          <w:rFonts w:ascii="Times New Roman" w:hAnsi="Times New Roman" w:cs="Times New Roman"/>
          <w:sz w:val="24"/>
          <w:szCs w:val="24"/>
          <w:lang w:val="ro-RO"/>
        </w:rPr>
        <w:t xml:space="preserve"> efectuată prin </w:t>
      </w:r>
      <w:r w:rsidR="000C5D05" w:rsidRPr="00650D66">
        <w:rPr>
          <w:rFonts w:ascii="Times New Roman" w:hAnsi="Times New Roman" w:cs="Times New Roman"/>
          <w:sz w:val="24"/>
          <w:szCs w:val="24"/>
          <w:lang w:val="ro-RO"/>
        </w:rPr>
        <w:t xml:space="preserve">Hotărârea </w:t>
      </w:r>
      <w:r w:rsidR="00583E8A" w:rsidRPr="00650D66">
        <w:rPr>
          <w:rFonts w:ascii="Times New Roman" w:hAnsi="Times New Roman" w:cs="Times New Roman"/>
          <w:sz w:val="24"/>
          <w:szCs w:val="24"/>
          <w:lang w:val="ro-RO"/>
        </w:rPr>
        <w:t>CE nr.270 din 30.12.2021.</w:t>
      </w:r>
      <w:r w:rsidR="007E7741" w:rsidRPr="00650D66">
        <w:rPr>
          <w:rFonts w:ascii="Times New Roman" w:hAnsi="Times New Roman" w:cs="Times New Roman"/>
          <w:sz w:val="24"/>
          <w:szCs w:val="24"/>
          <w:lang w:val="ro-RO"/>
        </w:rPr>
        <w:t xml:space="preserve"> </w:t>
      </w:r>
      <w:r w:rsidR="00A378F3" w:rsidRPr="00650D66">
        <w:rPr>
          <w:rFonts w:ascii="Times New Roman" w:hAnsi="Times New Roman" w:cs="Times New Roman"/>
          <w:sz w:val="24"/>
          <w:szCs w:val="24"/>
          <w:lang w:val="ro-RO"/>
        </w:rPr>
        <w:t xml:space="preserve">Totodată, </w:t>
      </w:r>
      <w:r w:rsidR="006E4EBE" w:rsidRPr="00650D66">
        <w:rPr>
          <w:rFonts w:ascii="Times New Roman" w:hAnsi="Times New Roman" w:cs="Times New Roman"/>
          <w:sz w:val="24"/>
          <w:szCs w:val="24"/>
          <w:lang w:val="ro-RO"/>
        </w:rPr>
        <w:t>Politicile contabile</w:t>
      </w:r>
      <w:r w:rsidR="007E7741" w:rsidRPr="00650D66">
        <w:rPr>
          <w:rFonts w:ascii="Times New Roman" w:hAnsi="Times New Roman" w:cs="Times New Roman"/>
          <w:sz w:val="24"/>
          <w:szCs w:val="24"/>
          <w:lang w:val="ro-RO"/>
        </w:rPr>
        <w:t xml:space="preserve"> constituie </w:t>
      </w:r>
      <w:r w:rsidR="007E7741" w:rsidRPr="00650D66">
        <w:rPr>
          <w:rFonts w:ascii="Times New Roman" w:hAnsi="Times New Roman" w:cs="Times New Roman"/>
          <w:sz w:val="24"/>
          <w:szCs w:val="24"/>
          <w:lang w:val="ro-RO"/>
        </w:rPr>
        <w:lastRenderedPageBreak/>
        <w:t xml:space="preserve">instrumentul principal de realizare a prevederilor </w:t>
      </w:r>
      <w:r w:rsidR="005C2D00" w:rsidRPr="00650D66">
        <w:rPr>
          <w:rFonts w:ascii="Times New Roman" w:hAnsi="Times New Roman" w:cs="Times New Roman"/>
          <w:sz w:val="24"/>
          <w:szCs w:val="24"/>
          <w:lang w:val="ro-RO"/>
        </w:rPr>
        <w:t>IFRS</w:t>
      </w:r>
      <w:r w:rsidR="007E7741" w:rsidRPr="00650D66">
        <w:rPr>
          <w:rFonts w:ascii="Times New Roman" w:hAnsi="Times New Roman" w:cs="Times New Roman"/>
          <w:sz w:val="24"/>
          <w:szCs w:val="24"/>
          <w:lang w:val="ro-RO"/>
        </w:rPr>
        <w:t xml:space="preserve"> în BNM</w:t>
      </w:r>
      <w:r w:rsidR="006931E7">
        <w:rPr>
          <w:rFonts w:ascii="Times New Roman" w:hAnsi="Times New Roman" w:cs="Times New Roman"/>
          <w:sz w:val="24"/>
          <w:szCs w:val="24"/>
          <w:lang w:val="ro-RO"/>
        </w:rPr>
        <w:t>,</w:t>
      </w:r>
      <w:r w:rsidR="00A378F3" w:rsidRPr="00650D66">
        <w:rPr>
          <w:rFonts w:ascii="Times New Roman" w:hAnsi="Times New Roman" w:cs="Times New Roman"/>
          <w:sz w:val="24"/>
          <w:szCs w:val="24"/>
          <w:lang w:val="ro-RO"/>
        </w:rPr>
        <w:t xml:space="preserve"> dar </w:t>
      </w:r>
      <w:r w:rsidR="006931E7">
        <w:rPr>
          <w:rFonts w:ascii="Times New Roman" w:hAnsi="Times New Roman" w:cs="Times New Roman"/>
          <w:sz w:val="24"/>
          <w:szCs w:val="24"/>
          <w:lang w:val="ro-RO"/>
        </w:rPr>
        <w:t xml:space="preserve">acestea </w:t>
      </w:r>
      <w:r w:rsidR="00A378F3" w:rsidRPr="00650D66">
        <w:rPr>
          <w:rFonts w:ascii="Times New Roman" w:hAnsi="Times New Roman" w:cs="Times New Roman"/>
          <w:sz w:val="24"/>
          <w:szCs w:val="24"/>
          <w:lang w:val="ro-RO"/>
        </w:rPr>
        <w:t>nu define</w:t>
      </w:r>
      <w:r w:rsidR="006931E7">
        <w:rPr>
          <w:rFonts w:ascii="Times New Roman" w:hAnsi="Times New Roman" w:cs="Times New Roman"/>
          <w:sz w:val="24"/>
          <w:szCs w:val="24"/>
          <w:lang w:val="ro-RO"/>
        </w:rPr>
        <w:t>sc</w:t>
      </w:r>
      <w:r w:rsidR="00A378F3" w:rsidRPr="00650D66">
        <w:rPr>
          <w:rFonts w:ascii="Times New Roman" w:hAnsi="Times New Roman" w:cs="Times New Roman"/>
          <w:sz w:val="24"/>
          <w:szCs w:val="24"/>
          <w:lang w:val="ro-RO"/>
        </w:rPr>
        <w:t xml:space="preserve"> metoda de casă</w:t>
      </w:r>
      <w:r w:rsidR="006931E7">
        <w:rPr>
          <w:rFonts w:ascii="Times New Roman" w:hAnsi="Times New Roman" w:cs="Times New Roman"/>
          <w:sz w:val="24"/>
          <w:szCs w:val="24"/>
          <w:lang w:val="ro-RO"/>
        </w:rPr>
        <w:t>,</w:t>
      </w:r>
      <w:r w:rsidR="00284C18" w:rsidRPr="00650D66">
        <w:rPr>
          <w:rFonts w:ascii="Times New Roman" w:hAnsi="Times New Roman" w:cs="Times New Roman"/>
          <w:sz w:val="24"/>
          <w:szCs w:val="24"/>
          <w:lang w:val="ro-RO"/>
        </w:rPr>
        <w:t xml:space="preserve"> ci doar ce</w:t>
      </w:r>
      <w:r w:rsidR="006931E7">
        <w:rPr>
          <w:rFonts w:ascii="Times New Roman" w:hAnsi="Times New Roman" w:cs="Times New Roman"/>
          <w:sz w:val="24"/>
          <w:szCs w:val="24"/>
          <w:lang w:val="ro-RO"/>
        </w:rPr>
        <w:t>a</w:t>
      </w:r>
      <w:r w:rsidR="00284C18" w:rsidRPr="00650D66">
        <w:rPr>
          <w:rFonts w:ascii="Times New Roman" w:hAnsi="Times New Roman" w:cs="Times New Roman"/>
          <w:sz w:val="24"/>
          <w:szCs w:val="24"/>
          <w:lang w:val="ro-RO"/>
        </w:rPr>
        <w:t xml:space="preserve"> de angajamente</w:t>
      </w:r>
      <w:r w:rsidR="00284C18" w:rsidRPr="00650D66">
        <w:rPr>
          <w:rStyle w:val="FootnoteReference"/>
          <w:rFonts w:ascii="Times New Roman" w:eastAsia="Times New Roman" w:hAnsi="Times New Roman" w:cs="Times New Roman"/>
          <w:i/>
          <w:sz w:val="24"/>
          <w:szCs w:val="24"/>
          <w:lang w:val="ro-RO"/>
        </w:rPr>
        <w:footnoteReference w:id="27"/>
      </w:r>
      <w:r w:rsidR="00BE027D" w:rsidRPr="00650D66">
        <w:rPr>
          <w:rFonts w:ascii="Times New Roman" w:hAnsi="Times New Roman" w:cs="Times New Roman"/>
          <w:sz w:val="24"/>
          <w:szCs w:val="24"/>
          <w:lang w:val="ro-RO"/>
        </w:rPr>
        <w:t>.</w:t>
      </w:r>
    </w:p>
    <w:p w14:paraId="1FC9FFB7" w14:textId="77777777" w:rsidR="00C541CF" w:rsidRPr="00650D66" w:rsidRDefault="00C541CF" w:rsidP="00502CDD">
      <w:pPr>
        <w:spacing w:after="0" w:line="276" w:lineRule="auto"/>
        <w:jc w:val="both"/>
        <w:rPr>
          <w:rFonts w:ascii="Times New Roman" w:eastAsia="Times New Roman" w:hAnsi="Times New Roman" w:cs="Times New Roman"/>
          <w:sz w:val="24"/>
          <w:szCs w:val="24"/>
          <w:lang w:val="ro-RO"/>
        </w:rPr>
      </w:pPr>
    </w:p>
    <w:p w14:paraId="2363D8B0" w14:textId="7C9BA61E" w:rsidR="00373F6A" w:rsidRPr="003614D8" w:rsidRDefault="00C24B8A" w:rsidP="00542453">
      <w:pPr>
        <w:pStyle w:val="ListParagraph"/>
        <w:numPr>
          <w:ilvl w:val="1"/>
          <w:numId w:val="7"/>
        </w:numPr>
        <w:tabs>
          <w:tab w:val="left" w:pos="142"/>
          <w:tab w:val="left" w:pos="426"/>
        </w:tabs>
        <w:spacing w:after="0" w:line="276" w:lineRule="auto"/>
        <w:ind w:left="0" w:firstLine="0"/>
        <w:jc w:val="both"/>
        <w:outlineLvl w:val="1"/>
        <w:rPr>
          <w:rFonts w:ascii="Times New Roman" w:hAnsi="Times New Roman" w:cs="Times New Roman"/>
          <w:b/>
          <w:color w:val="000000" w:themeColor="text1"/>
          <w:sz w:val="24"/>
          <w:szCs w:val="24"/>
          <w:lang w:val="ro-RO"/>
        </w:rPr>
      </w:pPr>
      <w:bookmarkStart w:id="18" w:name="_Toc159413643"/>
      <w:r w:rsidRPr="00650D66">
        <w:rPr>
          <w:rFonts w:ascii="Times New Roman" w:hAnsi="Times New Roman" w:cs="Times New Roman"/>
          <w:b/>
          <w:color w:val="000000" w:themeColor="text1"/>
          <w:sz w:val="24"/>
          <w:szCs w:val="24"/>
          <w:lang w:val="ro-RO"/>
        </w:rPr>
        <w:t xml:space="preserve">Obiectivul nr.2: </w:t>
      </w:r>
      <w:r w:rsidR="006A7C74" w:rsidRPr="00650D66">
        <w:rPr>
          <w:rFonts w:ascii="Times New Roman" w:hAnsi="Times New Roman" w:cs="Times New Roman"/>
          <w:b/>
          <w:color w:val="000000" w:themeColor="text1"/>
          <w:sz w:val="24"/>
          <w:szCs w:val="24"/>
          <w:lang w:val="ro-RO"/>
        </w:rPr>
        <w:t xml:space="preserve">A asigurat BNM </w:t>
      </w:r>
      <w:r w:rsidR="003958FF" w:rsidRPr="00650D66">
        <w:rPr>
          <w:rFonts w:ascii="Times New Roman" w:hAnsi="Times New Roman" w:cs="Times New Roman"/>
          <w:b/>
          <w:color w:val="000000" w:themeColor="text1"/>
          <w:sz w:val="24"/>
          <w:szCs w:val="24"/>
          <w:lang w:val="ro-RO"/>
        </w:rPr>
        <w:t xml:space="preserve">elaborarea și </w:t>
      </w:r>
      <w:r w:rsidR="006A7C74" w:rsidRPr="00650D66">
        <w:rPr>
          <w:rFonts w:ascii="Times New Roman" w:hAnsi="Times New Roman" w:cs="Times New Roman"/>
          <w:b/>
          <w:color w:val="000000" w:themeColor="text1"/>
          <w:sz w:val="24"/>
          <w:szCs w:val="24"/>
          <w:lang w:val="ro-RO"/>
        </w:rPr>
        <w:t>executarea devizelor de cheltuieli și alocațiilor pentru investiții conform cadrului normativ aplicabil?</w:t>
      </w:r>
      <w:bookmarkEnd w:id="18"/>
    </w:p>
    <w:p w14:paraId="487C9D2C" w14:textId="6B66E09B" w:rsidR="00373F6A" w:rsidRPr="00650D66" w:rsidRDefault="00607A32" w:rsidP="00542453">
      <w:pPr>
        <w:pStyle w:val="ListParagraph"/>
        <w:tabs>
          <w:tab w:val="left" w:pos="426"/>
        </w:tabs>
        <w:spacing w:after="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BNM planifică anual alocații cu rezerve</w:t>
      </w:r>
      <w:r w:rsidR="00BB0216" w:rsidRPr="00650D66">
        <w:rPr>
          <w:rFonts w:ascii="Times New Roman" w:hAnsi="Times New Roman" w:cs="Times New Roman"/>
          <w:sz w:val="24"/>
          <w:szCs w:val="24"/>
          <w:lang w:val="ro-RO"/>
        </w:rPr>
        <w:t>/supraestimate</w:t>
      </w:r>
      <w:r w:rsidRPr="00650D66">
        <w:rPr>
          <w:rFonts w:ascii="Times New Roman" w:hAnsi="Times New Roman" w:cs="Times New Roman"/>
          <w:sz w:val="24"/>
          <w:szCs w:val="24"/>
          <w:lang w:val="ro-RO"/>
        </w:rPr>
        <w:t>, iar executarea acestora într-un termen îndelungat determină și majorarea cheltuielilor în scopurile atribuite</w:t>
      </w:r>
      <w:r w:rsidR="00943009" w:rsidRPr="00650D66">
        <w:rPr>
          <w:rFonts w:ascii="Times New Roman" w:hAnsi="Times New Roman" w:cs="Times New Roman"/>
          <w:sz w:val="24"/>
          <w:szCs w:val="24"/>
          <w:lang w:val="ro-RO"/>
        </w:rPr>
        <w:t xml:space="preserve"> anterior</w:t>
      </w:r>
      <w:r w:rsidR="00CA2F85" w:rsidRPr="00650D66">
        <w:rPr>
          <w:rFonts w:ascii="Times New Roman" w:hAnsi="Times New Roman" w:cs="Times New Roman"/>
          <w:sz w:val="24"/>
          <w:szCs w:val="24"/>
          <w:lang w:val="ro-RO"/>
        </w:rPr>
        <w:t>, motivând că</w:t>
      </w:r>
      <w:r w:rsidR="009D5354">
        <w:rPr>
          <w:rFonts w:ascii="Times New Roman" w:hAnsi="Times New Roman" w:cs="Times New Roman"/>
          <w:sz w:val="24"/>
          <w:szCs w:val="24"/>
          <w:lang w:val="ro-RO"/>
        </w:rPr>
        <w:t>,</w:t>
      </w:r>
      <w:r w:rsidR="00CA2F85" w:rsidRPr="00650D66">
        <w:rPr>
          <w:rFonts w:ascii="Times New Roman" w:hAnsi="Times New Roman" w:cs="Times New Roman"/>
          <w:sz w:val="24"/>
          <w:szCs w:val="24"/>
          <w:lang w:val="ro-RO"/>
        </w:rPr>
        <w:t xml:space="preserve"> în cea mai mare parte</w:t>
      </w:r>
      <w:r w:rsidR="009D5354">
        <w:rPr>
          <w:rFonts w:ascii="Times New Roman" w:hAnsi="Times New Roman" w:cs="Times New Roman"/>
          <w:sz w:val="24"/>
          <w:szCs w:val="24"/>
          <w:lang w:val="ro-RO"/>
        </w:rPr>
        <w:t>,</w:t>
      </w:r>
      <w:r w:rsidR="00CA2F85" w:rsidRPr="00650D66">
        <w:rPr>
          <w:rFonts w:ascii="Times New Roman" w:hAnsi="Times New Roman" w:cs="Times New Roman"/>
          <w:sz w:val="24"/>
          <w:szCs w:val="24"/>
          <w:lang w:val="ro-RO"/>
        </w:rPr>
        <w:t xml:space="preserve"> </w:t>
      </w:r>
      <w:r w:rsidR="009D5354">
        <w:rPr>
          <w:rFonts w:ascii="Times New Roman" w:hAnsi="Times New Roman" w:cs="Times New Roman"/>
          <w:sz w:val="24"/>
          <w:szCs w:val="24"/>
          <w:lang w:val="ro-RO"/>
        </w:rPr>
        <w:t>această situație</w:t>
      </w:r>
      <w:r w:rsidR="00CA2F85" w:rsidRPr="00650D66">
        <w:rPr>
          <w:rFonts w:ascii="Times New Roman" w:hAnsi="Times New Roman" w:cs="Times New Roman"/>
          <w:sz w:val="24"/>
          <w:szCs w:val="24"/>
          <w:lang w:val="ro-RO"/>
        </w:rPr>
        <w:t xml:space="preserve"> derivă din diferențele de curs valutar</w:t>
      </w:r>
      <w:r w:rsidRPr="00650D66">
        <w:rPr>
          <w:rFonts w:ascii="Times New Roman" w:hAnsi="Times New Roman" w:cs="Times New Roman"/>
          <w:sz w:val="24"/>
          <w:szCs w:val="24"/>
          <w:lang w:val="ro-RO"/>
        </w:rPr>
        <w:t xml:space="preserve">. </w:t>
      </w:r>
    </w:p>
    <w:p w14:paraId="6FA67487" w14:textId="64C390D8" w:rsidR="00373F6A" w:rsidRPr="00D529E4" w:rsidRDefault="0030601C" w:rsidP="00542453">
      <w:pPr>
        <w:pStyle w:val="ListParagraph"/>
        <w:tabs>
          <w:tab w:val="left" w:pos="426"/>
        </w:tabs>
        <w:spacing w:after="0" w:line="276" w:lineRule="auto"/>
        <w:ind w:left="0"/>
        <w:jc w:val="both"/>
        <w:rPr>
          <w:rFonts w:ascii="Times New Roman" w:hAnsi="Times New Roman" w:cs="Times New Roman"/>
          <w:sz w:val="24"/>
          <w:szCs w:val="24"/>
          <w:lang w:val="ro-RO"/>
        </w:rPr>
      </w:pPr>
      <w:r w:rsidRPr="00D529E4">
        <w:rPr>
          <w:rFonts w:ascii="Times New Roman" w:hAnsi="Times New Roman" w:cs="Times New Roman"/>
          <w:sz w:val="24"/>
          <w:szCs w:val="24"/>
          <w:lang w:val="ro-RO"/>
        </w:rPr>
        <w:t xml:space="preserve">Cheltuielile administrative executate de către BNM se execută în limitele prevederilor actelor normative interne aprobate, cu excepția unor tipuri de cheltuieli sociale care nu sunt prevăzute expres în cadrul </w:t>
      </w:r>
      <w:r w:rsidR="00C4620B" w:rsidRPr="00D529E4">
        <w:rPr>
          <w:rFonts w:ascii="Times New Roman" w:hAnsi="Times New Roman" w:cs="Times New Roman"/>
          <w:sz w:val="24"/>
          <w:szCs w:val="24"/>
          <w:lang w:val="ro-RO"/>
        </w:rPr>
        <w:t>normativ intern</w:t>
      </w:r>
      <w:r w:rsidRPr="00D529E4">
        <w:rPr>
          <w:rFonts w:ascii="Times New Roman" w:hAnsi="Times New Roman" w:cs="Times New Roman"/>
          <w:sz w:val="24"/>
          <w:szCs w:val="24"/>
          <w:lang w:val="ro-RO"/>
        </w:rPr>
        <w:t xml:space="preserve">, </w:t>
      </w:r>
      <w:r w:rsidR="009D5354">
        <w:rPr>
          <w:rFonts w:ascii="Times New Roman" w:hAnsi="Times New Roman" w:cs="Times New Roman"/>
          <w:sz w:val="24"/>
          <w:szCs w:val="24"/>
          <w:lang w:val="ro-RO"/>
        </w:rPr>
        <w:t xml:space="preserve">acestea </w:t>
      </w:r>
      <w:r w:rsidRPr="00D529E4">
        <w:rPr>
          <w:rFonts w:ascii="Times New Roman" w:hAnsi="Times New Roman" w:cs="Times New Roman"/>
          <w:sz w:val="24"/>
          <w:szCs w:val="24"/>
          <w:lang w:val="ro-RO"/>
        </w:rPr>
        <w:t>fiind detaliate în cap. 4.2.5.</w:t>
      </w:r>
    </w:p>
    <w:p w14:paraId="5FD14D30" w14:textId="77777777" w:rsidR="00542453" w:rsidRPr="00650D66" w:rsidRDefault="00542453" w:rsidP="00542453">
      <w:pPr>
        <w:pStyle w:val="ListParagraph"/>
        <w:tabs>
          <w:tab w:val="left" w:pos="426"/>
        </w:tabs>
        <w:spacing w:after="0" w:line="276" w:lineRule="auto"/>
        <w:ind w:left="0"/>
        <w:jc w:val="both"/>
        <w:rPr>
          <w:rFonts w:ascii="Times New Roman" w:hAnsi="Times New Roman" w:cs="Times New Roman"/>
          <w:sz w:val="24"/>
          <w:szCs w:val="24"/>
          <w:lang w:val="ro-RO"/>
        </w:rPr>
      </w:pPr>
    </w:p>
    <w:p w14:paraId="7B8B04DF" w14:textId="18F645F3" w:rsidR="00F9215C" w:rsidRPr="0076703D" w:rsidRDefault="0076703D" w:rsidP="0076703D">
      <w:pPr>
        <w:spacing w:after="0"/>
        <w:jc w:val="both"/>
        <w:rPr>
          <w:rFonts w:ascii="Times New Roman" w:hAnsi="Times New Roman" w:cs="Times New Roman"/>
          <w:b/>
          <w:sz w:val="24"/>
          <w:szCs w:val="24"/>
          <w:lang w:val="ro-RO"/>
        </w:rPr>
      </w:pPr>
      <w:r w:rsidRPr="0076703D">
        <w:rPr>
          <w:rFonts w:ascii="Times New Roman" w:hAnsi="Times New Roman" w:cs="Times New Roman"/>
          <w:b/>
          <w:sz w:val="24"/>
          <w:szCs w:val="24"/>
          <w:lang w:val="ro-RO"/>
        </w:rPr>
        <w:t xml:space="preserve">4.2.1 </w:t>
      </w:r>
      <w:r w:rsidR="008B35AD" w:rsidRPr="0076703D">
        <w:rPr>
          <w:rFonts w:ascii="Times New Roman" w:hAnsi="Times New Roman" w:cs="Times New Roman"/>
          <w:b/>
          <w:sz w:val="24"/>
          <w:szCs w:val="24"/>
          <w:lang w:val="ro-RO"/>
        </w:rPr>
        <w:t xml:space="preserve">Auditul denotă </w:t>
      </w:r>
      <w:r w:rsidR="00B015F2" w:rsidRPr="0076703D">
        <w:rPr>
          <w:rFonts w:ascii="Times New Roman" w:hAnsi="Times New Roman" w:cs="Times New Roman"/>
          <w:b/>
          <w:sz w:val="24"/>
          <w:szCs w:val="24"/>
          <w:lang w:val="ro-RO"/>
        </w:rPr>
        <w:t xml:space="preserve">că nivelul de executare a </w:t>
      </w:r>
      <w:r w:rsidR="00175A3E" w:rsidRPr="0076703D">
        <w:rPr>
          <w:rFonts w:ascii="Times New Roman" w:hAnsi="Times New Roman" w:cs="Times New Roman"/>
          <w:b/>
          <w:sz w:val="24"/>
          <w:szCs w:val="24"/>
          <w:lang w:val="ro-RO"/>
        </w:rPr>
        <w:t>devizului de cheltuieli și alocațiilor pentru investiții în perioada</w:t>
      </w:r>
      <w:r w:rsidR="001C7D7E" w:rsidRPr="0076703D">
        <w:rPr>
          <w:rFonts w:ascii="Times New Roman" w:hAnsi="Times New Roman" w:cs="Times New Roman"/>
          <w:b/>
          <w:sz w:val="24"/>
          <w:szCs w:val="24"/>
          <w:lang w:val="ro-RO"/>
        </w:rPr>
        <w:t xml:space="preserve"> 2019-2022</w:t>
      </w:r>
      <w:r w:rsidR="00B015F2" w:rsidRPr="0076703D">
        <w:rPr>
          <w:rFonts w:ascii="Times New Roman" w:hAnsi="Times New Roman" w:cs="Times New Roman"/>
          <w:b/>
          <w:sz w:val="24"/>
          <w:szCs w:val="24"/>
          <w:lang w:val="ro-RO"/>
        </w:rPr>
        <w:t xml:space="preserve"> </w:t>
      </w:r>
      <w:r w:rsidR="009D5354" w:rsidRPr="0076703D">
        <w:rPr>
          <w:rFonts w:ascii="Times New Roman" w:hAnsi="Times New Roman" w:cs="Times New Roman"/>
          <w:b/>
          <w:sz w:val="24"/>
          <w:szCs w:val="24"/>
          <w:lang w:val="ro-RO"/>
        </w:rPr>
        <w:t xml:space="preserve">este </w:t>
      </w:r>
      <w:r w:rsidR="00B015F2" w:rsidRPr="0076703D">
        <w:rPr>
          <w:rFonts w:ascii="Times New Roman" w:hAnsi="Times New Roman" w:cs="Times New Roman"/>
          <w:b/>
          <w:sz w:val="24"/>
          <w:szCs w:val="24"/>
          <w:lang w:val="ro-RO"/>
        </w:rPr>
        <w:t>sub nivelul planificat</w:t>
      </w:r>
      <w:r w:rsidR="009F19AB" w:rsidRPr="0076703D">
        <w:rPr>
          <w:rFonts w:ascii="Times New Roman" w:hAnsi="Times New Roman" w:cs="Times New Roman"/>
          <w:b/>
          <w:sz w:val="24"/>
          <w:szCs w:val="24"/>
          <w:lang w:val="ro-RO"/>
        </w:rPr>
        <w:t>.</w:t>
      </w:r>
    </w:p>
    <w:p w14:paraId="1F46E86F" w14:textId="551E4BC5" w:rsidR="00175A3E" w:rsidRPr="00650D66" w:rsidRDefault="00405084" w:rsidP="0076703D">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D</w:t>
      </w:r>
      <w:r w:rsidR="00603CC3" w:rsidRPr="00650D66">
        <w:rPr>
          <w:rFonts w:ascii="Times New Roman" w:hAnsi="Times New Roman" w:cs="Times New Roman"/>
          <w:sz w:val="24"/>
          <w:szCs w:val="24"/>
          <w:lang w:val="ro-RO"/>
        </w:rPr>
        <w:t xml:space="preserve">eși </w:t>
      </w:r>
      <w:r w:rsidRPr="00650D66">
        <w:rPr>
          <w:rFonts w:ascii="Times New Roman" w:hAnsi="Times New Roman" w:cs="Times New Roman"/>
          <w:sz w:val="24"/>
          <w:szCs w:val="24"/>
          <w:lang w:val="ro-RO"/>
        </w:rPr>
        <w:t>c</w:t>
      </w:r>
      <w:r w:rsidR="001D254B" w:rsidRPr="00650D66">
        <w:rPr>
          <w:rFonts w:ascii="Times New Roman" w:hAnsi="Times New Roman" w:cs="Times New Roman"/>
          <w:sz w:val="24"/>
          <w:szCs w:val="24"/>
          <w:lang w:val="ro-RO"/>
        </w:rPr>
        <w:t xml:space="preserve">onform </w:t>
      </w:r>
      <w:r w:rsidR="00175A3E" w:rsidRPr="00650D66">
        <w:rPr>
          <w:rFonts w:ascii="Times New Roman" w:hAnsi="Times New Roman" w:cs="Times New Roman"/>
          <w:sz w:val="24"/>
          <w:szCs w:val="24"/>
          <w:lang w:val="ro-RO"/>
        </w:rPr>
        <w:t xml:space="preserve">Regulamentului privind elaborarea și executarea devizului de cheltuieli și alocațiilor pentru investiții ale BNM, planificarea cheltuielilor administrative și a investițiilor capitale se efectuează </w:t>
      </w:r>
      <w:r w:rsidR="009D5354">
        <w:rPr>
          <w:rFonts w:ascii="Times New Roman" w:hAnsi="Times New Roman" w:cs="Times New Roman"/>
          <w:sz w:val="24"/>
          <w:szCs w:val="24"/>
          <w:lang w:val="ro-RO"/>
        </w:rPr>
        <w:t>în baza unor</w:t>
      </w:r>
      <w:r w:rsidR="00924BD8" w:rsidRPr="00650D66">
        <w:rPr>
          <w:rFonts w:ascii="Times New Roman" w:hAnsi="Times New Roman" w:cs="Times New Roman"/>
          <w:sz w:val="24"/>
          <w:szCs w:val="24"/>
          <w:lang w:val="ro-RO"/>
        </w:rPr>
        <w:t xml:space="preserve"> principii esențiale</w:t>
      </w:r>
      <w:r w:rsidR="00175A3E" w:rsidRPr="00650D66">
        <w:rPr>
          <w:rFonts w:ascii="Times New Roman" w:hAnsi="Times New Roman" w:cs="Times New Roman"/>
          <w:sz w:val="24"/>
          <w:szCs w:val="24"/>
          <w:lang w:val="ro-RO"/>
        </w:rPr>
        <w:t xml:space="preserve"> </w:t>
      </w:r>
      <w:r w:rsidR="00924BD8" w:rsidRPr="00650D66">
        <w:rPr>
          <w:rFonts w:ascii="Times New Roman" w:hAnsi="Times New Roman" w:cs="Times New Roman"/>
          <w:i/>
          <w:sz w:val="24"/>
          <w:szCs w:val="24"/>
          <w:lang w:val="ro-RO"/>
        </w:rPr>
        <w:t>(</w:t>
      </w:r>
      <w:r w:rsidR="00175A3E" w:rsidRPr="00650D66">
        <w:rPr>
          <w:rFonts w:ascii="Times New Roman" w:hAnsi="Times New Roman" w:cs="Times New Roman"/>
          <w:i/>
          <w:sz w:val="24"/>
          <w:szCs w:val="24"/>
          <w:lang w:val="ro-RO"/>
        </w:rPr>
        <w:t>prudență, consultare, exhaustivitate, responsabilitate, optimizare, raționalitate și eficiență</w:t>
      </w:r>
      <w:r w:rsidR="00924BD8" w:rsidRPr="00650D66">
        <w:rPr>
          <w:rFonts w:ascii="Times New Roman" w:hAnsi="Times New Roman" w:cs="Times New Roman"/>
          <w:i/>
          <w:sz w:val="24"/>
          <w:szCs w:val="24"/>
          <w:lang w:val="ro-RO"/>
        </w:rPr>
        <w:t>)</w:t>
      </w:r>
      <w:r w:rsidRPr="00650D66">
        <w:rPr>
          <w:rFonts w:ascii="Times New Roman" w:hAnsi="Times New Roman" w:cs="Times New Roman"/>
          <w:sz w:val="24"/>
          <w:szCs w:val="24"/>
          <w:lang w:val="ro-RO"/>
        </w:rPr>
        <w:t>, verificările auditului denotă că acestea nu au fost respectate în totalitate.</w:t>
      </w:r>
    </w:p>
    <w:p w14:paraId="7E4FA2E4" w14:textId="77777777" w:rsidR="00F9215C" w:rsidRPr="00650D66" w:rsidRDefault="00F9215C" w:rsidP="002548B4">
      <w:pPr>
        <w:spacing w:after="0" w:line="276" w:lineRule="auto"/>
        <w:jc w:val="both"/>
        <w:rPr>
          <w:rFonts w:ascii="Times New Roman" w:hAnsi="Times New Roman" w:cs="Times New Roman"/>
          <w:sz w:val="6"/>
          <w:szCs w:val="6"/>
          <w:lang w:val="ro-RO"/>
        </w:rPr>
      </w:pPr>
    </w:p>
    <w:p w14:paraId="50290A5A" w14:textId="6CDF3523" w:rsidR="00A1073C" w:rsidRPr="00650D66" w:rsidRDefault="009D5354" w:rsidP="002548B4">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A1073C" w:rsidRPr="00650D66">
        <w:rPr>
          <w:rFonts w:ascii="Times New Roman" w:hAnsi="Times New Roman" w:cs="Times New Roman"/>
          <w:sz w:val="24"/>
          <w:szCs w:val="24"/>
          <w:lang w:val="ro-RO"/>
        </w:rPr>
        <w:t>uditul a constatat că, în perioada 2019-2022</w:t>
      </w:r>
      <w:r w:rsidR="00767552" w:rsidRPr="00650D66">
        <w:rPr>
          <w:rFonts w:ascii="Times New Roman" w:hAnsi="Times New Roman" w:cs="Times New Roman"/>
          <w:sz w:val="24"/>
          <w:szCs w:val="24"/>
          <w:lang w:val="ro-RO"/>
        </w:rPr>
        <w:t>,</w:t>
      </w:r>
      <w:r w:rsidR="00A1073C" w:rsidRPr="00650D66">
        <w:rPr>
          <w:rFonts w:ascii="Times New Roman" w:hAnsi="Times New Roman" w:cs="Times New Roman"/>
          <w:sz w:val="24"/>
          <w:szCs w:val="24"/>
          <w:lang w:val="ro-RO"/>
        </w:rPr>
        <w:t xml:space="preserve"> BNM nu a valorificat </w:t>
      </w:r>
      <w:r w:rsidR="00667AC8" w:rsidRPr="00650D66">
        <w:rPr>
          <w:rFonts w:ascii="Times New Roman" w:hAnsi="Times New Roman" w:cs="Times New Roman"/>
          <w:sz w:val="24"/>
          <w:szCs w:val="24"/>
          <w:lang w:val="ro-RO"/>
        </w:rPr>
        <w:t>resurse</w:t>
      </w:r>
      <w:r>
        <w:rPr>
          <w:rFonts w:ascii="Times New Roman" w:hAnsi="Times New Roman" w:cs="Times New Roman"/>
          <w:sz w:val="24"/>
          <w:szCs w:val="24"/>
          <w:lang w:val="ro-RO"/>
        </w:rPr>
        <w:t>le</w:t>
      </w:r>
      <w:r w:rsidR="00A1073C" w:rsidRPr="00650D66">
        <w:rPr>
          <w:rFonts w:ascii="Times New Roman" w:hAnsi="Times New Roman" w:cs="Times New Roman"/>
          <w:sz w:val="24"/>
          <w:szCs w:val="24"/>
          <w:lang w:val="ro-RO"/>
        </w:rPr>
        <w:t xml:space="preserve"> aprobate în devizul de cheltuieli în sumă de 192,0 mil. lei</w:t>
      </w:r>
      <w:r>
        <w:rPr>
          <w:rFonts w:ascii="Times New Roman" w:hAnsi="Times New Roman" w:cs="Times New Roman"/>
          <w:sz w:val="24"/>
          <w:szCs w:val="24"/>
          <w:lang w:val="ro-RO"/>
        </w:rPr>
        <w:t>,</w:t>
      </w:r>
      <w:r w:rsidR="00A1073C" w:rsidRPr="00650D66">
        <w:rPr>
          <w:rFonts w:ascii="Times New Roman" w:hAnsi="Times New Roman" w:cs="Times New Roman"/>
          <w:sz w:val="24"/>
          <w:szCs w:val="24"/>
          <w:lang w:val="ro-RO"/>
        </w:rPr>
        <w:t xml:space="preserve"> sau 16,9%</w:t>
      </w:r>
      <w:r>
        <w:rPr>
          <w:rFonts w:ascii="Times New Roman" w:hAnsi="Times New Roman" w:cs="Times New Roman"/>
          <w:sz w:val="24"/>
          <w:szCs w:val="24"/>
          <w:lang w:val="ro-RO"/>
        </w:rPr>
        <w:t>,</w:t>
      </w:r>
      <w:r w:rsidR="00A1073C" w:rsidRPr="00650D66">
        <w:rPr>
          <w:rFonts w:ascii="Times New Roman" w:hAnsi="Times New Roman" w:cs="Times New Roman"/>
          <w:sz w:val="24"/>
          <w:szCs w:val="24"/>
          <w:lang w:val="ro-RO"/>
        </w:rPr>
        <w:t xml:space="preserve"> și alocații</w:t>
      </w:r>
      <w:r>
        <w:rPr>
          <w:rFonts w:ascii="Times New Roman" w:hAnsi="Times New Roman" w:cs="Times New Roman"/>
          <w:sz w:val="24"/>
          <w:szCs w:val="24"/>
          <w:lang w:val="ro-RO"/>
        </w:rPr>
        <w:t>le</w:t>
      </w:r>
      <w:r w:rsidR="00A1073C" w:rsidRPr="00650D66">
        <w:rPr>
          <w:rFonts w:ascii="Times New Roman" w:hAnsi="Times New Roman" w:cs="Times New Roman"/>
          <w:sz w:val="24"/>
          <w:szCs w:val="24"/>
          <w:lang w:val="ro-RO"/>
        </w:rPr>
        <w:t xml:space="preserve"> aprobate pentru investiții</w:t>
      </w:r>
      <w:r w:rsidR="00E526D0" w:rsidRPr="00650D66">
        <w:rPr>
          <w:rFonts w:ascii="Times New Roman" w:hAnsi="Times New Roman" w:cs="Times New Roman"/>
          <w:sz w:val="24"/>
          <w:szCs w:val="24"/>
          <w:lang w:val="ro-RO"/>
        </w:rPr>
        <w:t xml:space="preserve"> în sumă de 147,4 mil. lei</w:t>
      </w:r>
      <w:r>
        <w:rPr>
          <w:rFonts w:ascii="Times New Roman" w:hAnsi="Times New Roman" w:cs="Times New Roman"/>
          <w:sz w:val="24"/>
          <w:szCs w:val="24"/>
          <w:lang w:val="ro-RO"/>
        </w:rPr>
        <w:t>,</w:t>
      </w:r>
      <w:r w:rsidR="00E526D0" w:rsidRPr="00650D66">
        <w:rPr>
          <w:rFonts w:ascii="Times New Roman" w:hAnsi="Times New Roman" w:cs="Times New Roman"/>
          <w:sz w:val="24"/>
          <w:szCs w:val="24"/>
          <w:lang w:val="ro-RO"/>
        </w:rPr>
        <w:t xml:space="preserve"> sau </w:t>
      </w:r>
      <w:r w:rsidR="0018451D" w:rsidRPr="00650D66">
        <w:rPr>
          <w:rFonts w:ascii="Times New Roman" w:hAnsi="Times New Roman" w:cs="Times New Roman"/>
          <w:sz w:val="24"/>
          <w:szCs w:val="24"/>
          <w:lang w:val="ro-RO"/>
        </w:rPr>
        <w:t>65,3</w:t>
      </w:r>
      <w:r w:rsidR="00E526D0" w:rsidRPr="00650D66">
        <w:rPr>
          <w:rFonts w:ascii="Times New Roman" w:hAnsi="Times New Roman" w:cs="Times New Roman"/>
          <w:sz w:val="24"/>
          <w:szCs w:val="24"/>
          <w:lang w:val="ro-RO"/>
        </w:rPr>
        <w:t>%.</w:t>
      </w:r>
    </w:p>
    <w:p w14:paraId="517EEC8C" w14:textId="77777777" w:rsidR="00175A3E" w:rsidRPr="00650D66" w:rsidRDefault="00175A3E" w:rsidP="002548B4">
      <w:pPr>
        <w:pStyle w:val="ListParagraph"/>
        <w:tabs>
          <w:tab w:val="left" w:pos="142"/>
        </w:tabs>
        <w:spacing w:after="0" w:line="276" w:lineRule="auto"/>
        <w:ind w:left="0"/>
        <w:jc w:val="both"/>
        <w:rPr>
          <w:rFonts w:ascii="Times New Roman" w:hAnsi="Times New Roman" w:cs="Times New Roman"/>
          <w:sz w:val="6"/>
          <w:szCs w:val="6"/>
          <w:lang w:val="ro-RO"/>
        </w:rPr>
      </w:pPr>
    </w:p>
    <w:p w14:paraId="0D458623" w14:textId="545418D9" w:rsidR="0027705E" w:rsidRPr="00650D66" w:rsidRDefault="006D37EB" w:rsidP="002548B4">
      <w:p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La fel, a</w:t>
      </w:r>
      <w:r w:rsidR="00DE2071" w:rsidRPr="00650D66">
        <w:rPr>
          <w:rFonts w:ascii="Times New Roman" w:hAnsi="Times New Roman" w:cs="Times New Roman"/>
          <w:sz w:val="24"/>
          <w:szCs w:val="24"/>
          <w:lang w:val="ro-RO"/>
        </w:rPr>
        <w:t xml:space="preserve">uditul </w:t>
      </w:r>
      <w:r>
        <w:rPr>
          <w:rFonts w:ascii="Times New Roman" w:hAnsi="Times New Roman" w:cs="Times New Roman"/>
          <w:sz w:val="24"/>
          <w:szCs w:val="24"/>
          <w:lang w:val="ro-RO"/>
        </w:rPr>
        <w:t>relevă</w:t>
      </w:r>
      <w:r w:rsidR="00DE2071" w:rsidRPr="00650D66">
        <w:rPr>
          <w:rFonts w:ascii="Times New Roman" w:hAnsi="Times New Roman" w:cs="Times New Roman"/>
          <w:sz w:val="24"/>
          <w:szCs w:val="24"/>
          <w:lang w:val="ro-RO"/>
        </w:rPr>
        <w:t xml:space="preserve"> că, </w:t>
      </w:r>
      <w:r w:rsidR="00BA1D73" w:rsidRPr="00650D66">
        <w:rPr>
          <w:rFonts w:ascii="Times New Roman" w:hAnsi="Times New Roman" w:cs="Times New Roman"/>
          <w:sz w:val="24"/>
          <w:szCs w:val="24"/>
          <w:lang w:val="ro-RO"/>
        </w:rPr>
        <w:t>în perioada auditată</w:t>
      </w:r>
      <w:r>
        <w:rPr>
          <w:rFonts w:ascii="Times New Roman" w:hAnsi="Times New Roman" w:cs="Times New Roman"/>
          <w:sz w:val="24"/>
          <w:szCs w:val="24"/>
          <w:lang w:val="ro-RO"/>
        </w:rPr>
        <w:t>,</w:t>
      </w:r>
      <w:r w:rsidR="00BA1D73" w:rsidRPr="00650D66">
        <w:rPr>
          <w:rFonts w:ascii="Times New Roman" w:hAnsi="Times New Roman" w:cs="Times New Roman"/>
          <w:sz w:val="24"/>
          <w:szCs w:val="24"/>
          <w:lang w:val="ro-RO"/>
        </w:rPr>
        <w:t xml:space="preserve"> </w:t>
      </w:r>
      <w:r w:rsidR="00175A3E" w:rsidRPr="00650D66">
        <w:rPr>
          <w:rFonts w:ascii="Times New Roman" w:hAnsi="Times New Roman" w:cs="Times New Roman"/>
          <w:sz w:val="24"/>
          <w:szCs w:val="24"/>
          <w:lang w:val="ro-RO"/>
        </w:rPr>
        <w:t xml:space="preserve">BNM </w:t>
      </w:r>
      <w:r w:rsidR="00BA1D73" w:rsidRPr="00650D66">
        <w:rPr>
          <w:rFonts w:ascii="Times New Roman" w:hAnsi="Times New Roman" w:cs="Times New Roman"/>
          <w:sz w:val="24"/>
          <w:szCs w:val="24"/>
          <w:lang w:val="ro-RO"/>
        </w:rPr>
        <w:t xml:space="preserve">a planificat </w:t>
      </w:r>
      <w:r>
        <w:rPr>
          <w:rFonts w:ascii="Times New Roman" w:hAnsi="Times New Roman" w:cs="Times New Roman"/>
          <w:sz w:val="24"/>
          <w:szCs w:val="24"/>
          <w:lang w:val="ro-RO"/>
        </w:rPr>
        <w:t xml:space="preserve">în creștere </w:t>
      </w:r>
      <w:r w:rsidR="00175A3E" w:rsidRPr="00650D66">
        <w:rPr>
          <w:rFonts w:ascii="Times New Roman" w:hAnsi="Times New Roman" w:cs="Times New Roman"/>
          <w:sz w:val="24"/>
          <w:szCs w:val="24"/>
          <w:lang w:val="ro-RO"/>
        </w:rPr>
        <w:t>alocațiile pentru investiții</w:t>
      </w:r>
      <w:r>
        <w:rPr>
          <w:rFonts w:ascii="Times New Roman" w:hAnsi="Times New Roman" w:cs="Times New Roman"/>
          <w:sz w:val="24"/>
          <w:szCs w:val="24"/>
          <w:lang w:val="ro-RO"/>
        </w:rPr>
        <w:t>,</w:t>
      </w:r>
      <w:r w:rsidR="00BA1D73" w:rsidRPr="00650D6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acestea </w:t>
      </w:r>
      <w:r w:rsidR="00DE2071" w:rsidRPr="00650D66">
        <w:rPr>
          <w:rFonts w:ascii="Times New Roman" w:hAnsi="Times New Roman" w:cs="Times New Roman"/>
          <w:sz w:val="24"/>
          <w:szCs w:val="24"/>
          <w:lang w:val="ro-RO"/>
        </w:rPr>
        <w:t>nefiind</w:t>
      </w:r>
      <w:r w:rsidR="00BA1D73" w:rsidRPr="00650D66">
        <w:rPr>
          <w:rFonts w:ascii="Times New Roman" w:hAnsi="Times New Roman" w:cs="Times New Roman"/>
          <w:sz w:val="24"/>
          <w:szCs w:val="24"/>
          <w:lang w:val="ro-RO"/>
        </w:rPr>
        <w:t xml:space="preserve"> executa</w:t>
      </w:r>
      <w:r w:rsidR="00F55CDF" w:rsidRPr="00650D66">
        <w:rPr>
          <w:rFonts w:ascii="Times New Roman" w:hAnsi="Times New Roman" w:cs="Times New Roman"/>
          <w:sz w:val="24"/>
          <w:szCs w:val="24"/>
          <w:lang w:val="ro-RO"/>
        </w:rPr>
        <w:t>t</w:t>
      </w:r>
      <w:r w:rsidR="00DE2071" w:rsidRPr="00650D66">
        <w:rPr>
          <w:rFonts w:ascii="Times New Roman" w:hAnsi="Times New Roman" w:cs="Times New Roman"/>
          <w:sz w:val="24"/>
          <w:szCs w:val="24"/>
          <w:lang w:val="ro-RO"/>
        </w:rPr>
        <w:t>e</w:t>
      </w:r>
      <w:r w:rsidR="003E4A74" w:rsidRPr="00650D66">
        <w:rPr>
          <w:rFonts w:ascii="Times New Roman" w:hAnsi="Times New Roman" w:cs="Times New Roman"/>
          <w:sz w:val="24"/>
          <w:szCs w:val="24"/>
          <w:lang w:val="ro-RO"/>
        </w:rPr>
        <w:t xml:space="preserve"> în limita și </w:t>
      </w:r>
      <w:r>
        <w:rPr>
          <w:rFonts w:ascii="Times New Roman" w:hAnsi="Times New Roman" w:cs="Times New Roman"/>
          <w:sz w:val="24"/>
          <w:szCs w:val="24"/>
          <w:lang w:val="ro-RO"/>
        </w:rPr>
        <w:t xml:space="preserve">în </w:t>
      </w:r>
      <w:r w:rsidR="003E4A74" w:rsidRPr="00650D66">
        <w:rPr>
          <w:rFonts w:ascii="Times New Roman" w:hAnsi="Times New Roman" w:cs="Times New Roman"/>
          <w:sz w:val="24"/>
          <w:szCs w:val="24"/>
          <w:lang w:val="ro-RO"/>
        </w:rPr>
        <w:t>termenul aprobat</w:t>
      </w:r>
      <w:r w:rsidR="006A5637" w:rsidRPr="00650D66">
        <w:rPr>
          <w:rFonts w:ascii="Times New Roman" w:hAnsi="Times New Roman" w:cs="Times New Roman"/>
          <w:sz w:val="24"/>
          <w:szCs w:val="24"/>
          <w:lang w:val="ro-RO"/>
        </w:rPr>
        <w:t xml:space="preserve">, iar sumele aprobate per proiect </w:t>
      </w:r>
      <w:r w:rsidR="00122D40" w:rsidRPr="00650D66">
        <w:rPr>
          <w:rFonts w:ascii="Times New Roman" w:hAnsi="Times New Roman" w:cs="Times New Roman"/>
          <w:sz w:val="24"/>
          <w:szCs w:val="24"/>
          <w:lang w:val="ro-RO"/>
        </w:rPr>
        <w:t>se modifică</w:t>
      </w:r>
      <w:r w:rsidR="006A5637" w:rsidRPr="00650D66">
        <w:rPr>
          <w:rFonts w:ascii="Times New Roman" w:hAnsi="Times New Roman" w:cs="Times New Roman"/>
          <w:sz w:val="24"/>
          <w:szCs w:val="24"/>
          <w:lang w:val="ro-RO"/>
        </w:rPr>
        <w:t xml:space="preserve"> anual</w:t>
      </w:r>
      <w:r w:rsidR="003E4A74" w:rsidRPr="00650D66">
        <w:rPr>
          <w:rFonts w:ascii="Times New Roman" w:hAnsi="Times New Roman" w:cs="Times New Roman"/>
          <w:sz w:val="24"/>
          <w:szCs w:val="24"/>
          <w:lang w:val="ro-RO"/>
        </w:rPr>
        <w:t xml:space="preserve">. </w:t>
      </w:r>
      <w:r w:rsidR="0027705E" w:rsidRPr="00650D66">
        <w:rPr>
          <w:rFonts w:ascii="Times New Roman" w:hAnsi="Times New Roman" w:cs="Times New Roman"/>
          <w:sz w:val="24"/>
          <w:szCs w:val="24"/>
          <w:lang w:val="ro-RO"/>
        </w:rPr>
        <w:t>Potrivit BNM</w:t>
      </w:r>
      <w:r>
        <w:rPr>
          <w:rFonts w:ascii="Times New Roman" w:hAnsi="Times New Roman" w:cs="Times New Roman"/>
          <w:sz w:val="24"/>
          <w:szCs w:val="24"/>
          <w:lang w:val="ro-RO"/>
        </w:rPr>
        <w:t>,</w:t>
      </w:r>
      <w:r w:rsidR="0027705E" w:rsidRPr="00650D66">
        <w:rPr>
          <w:rFonts w:ascii="Times New Roman" w:hAnsi="Times New Roman" w:cs="Times New Roman"/>
          <w:sz w:val="24"/>
          <w:szCs w:val="24"/>
          <w:lang w:val="ro-RO"/>
        </w:rPr>
        <w:t xml:space="preserve"> </w:t>
      </w:r>
      <w:r w:rsidR="00122D40" w:rsidRPr="00650D66">
        <w:rPr>
          <w:rFonts w:ascii="Times New Roman" w:hAnsi="Times New Roman" w:cs="Times New Roman"/>
          <w:sz w:val="24"/>
          <w:szCs w:val="24"/>
          <w:lang w:val="ro-RO"/>
        </w:rPr>
        <w:t>modificările</w:t>
      </w:r>
      <w:r w:rsidR="0027705E" w:rsidRPr="00650D66">
        <w:rPr>
          <w:rFonts w:ascii="Times New Roman" w:hAnsi="Times New Roman" w:cs="Times New Roman"/>
          <w:sz w:val="24"/>
          <w:szCs w:val="24"/>
          <w:lang w:val="ro-RO"/>
        </w:rPr>
        <w:t xml:space="preserve"> de sume sunt justificate prin identificarea unor necesități suplimentare argumentate, în baza fișelor de proiecte și/sau prin estimarea sumelor în valută, ceea ce generează devieri </w:t>
      </w:r>
      <w:r>
        <w:rPr>
          <w:rFonts w:ascii="Times New Roman" w:hAnsi="Times New Roman" w:cs="Times New Roman"/>
          <w:sz w:val="24"/>
          <w:szCs w:val="24"/>
          <w:lang w:val="ro-RO"/>
        </w:rPr>
        <w:t>în funcție de</w:t>
      </w:r>
      <w:r w:rsidR="0027705E" w:rsidRPr="00650D66">
        <w:rPr>
          <w:rFonts w:ascii="Times New Roman" w:hAnsi="Times New Roman" w:cs="Times New Roman"/>
          <w:sz w:val="24"/>
          <w:szCs w:val="24"/>
          <w:lang w:val="ro-RO"/>
        </w:rPr>
        <w:t xml:space="preserve"> evoluția cursului valutar.</w:t>
      </w:r>
    </w:p>
    <w:p w14:paraId="3F37A6EF" w14:textId="77777777" w:rsidR="00554348" w:rsidRPr="00650D66" w:rsidRDefault="00EA466A" w:rsidP="002548B4">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Astfel, c</w:t>
      </w:r>
      <w:r w:rsidR="00554348" w:rsidRPr="00650D66">
        <w:rPr>
          <w:rFonts w:ascii="Times New Roman" w:eastAsia="Times New Roman" w:hAnsi="Times New Roman" w:cs="Times New Roman"/>
          <w:sz w:val="24"/>
          <w:szCs w:val="24"/>
          <w:lang w:val="ro-RO"/>
        </w:rPr>
        <w:t xml:space="preserve">onform reglementărilor interne ale BNM, alocațiile pentru investiții au fost planificate și aprobate în două nivele: </w:t>
      </w:r>
      <w:r w:rsidR="00554348" w:rsidRPr="00650D66">
        <w:rPr>
          <w:rFonts w:ascii="Times New Roman" w:eastAsia="Times New Roman" w:hAnsi="Times New Roman" w:cs="Times New Roman"/>
          <w:i/>
          <w:sz w:val="24"/>
          <w:szCs w:val="24"/>
          <w:lang w:val="ro-RO"/>
        </w:rPr>
        <w:t>(i)</w:t>
      </w:r>
      <w:r w:rsidR="00554348" w:rsidRPr="00650D66">
        <w:rPr>
          <w:rFonts w:ascii="Times New Roman" w:eastAsia="Times New Roman" w:hAnsi="Times New Roman" w:cs="Times New Roman"/>
          <w:sz w:val="24"/>
          <w:szCs w:val="24"/>
          <w:lang w:val="ro-RO"/>
        </w:rPr>
        <w:t xml:space="preserve"> sumele alocate pentru inițierea achizițiilor în anul respectiv, inclusiv pentru cele preconizate a fi achitate parțial sau integral în </w:t>
      </w:r>
      <w:r w:rsidRPr="00650D66">
        <w:rPr>
          <w:rFonts w:ascii="Times New Roman" w:eastAsia="Times New Roman" w:hAnsi="Times New Roman" w:cs="Times New Roman"/>
          <w:sz w:val="24"/>
          <w:szCs w:val="24"/>
          <w:lang w:val="ro-RO"/>
        </w:rPr>
        <w:t>anii următori</w:t>
      </w:r>
      <w:r w:rsidR="006D37EB">
        <w:rPr>
          <w:rFonts w:ascii="Times New Roman" w:eastAsia="Times New Roman" w:hAnsi="Times New Roman" w:cs="Times New Roman"/>
          <w:sz w:val="24"/>
          <w:szCs w:val="24"/>
          <w:lang w:val="ro-RO"/>
        </w:rPr>
        <w:t>,</w:t>
      </w:r>
      <w:r w:rsidR="00B64BD9" w:rsidRPr="00650D66">
        <w:rPr>
          <w:rFonts w:ascii="Times New Roman" w:eastAsia="Times New Roman" w:hAnsi="Times New Roman" w:cs="Times New Roman"/>
          <w:sz w:val="24"/>
          <w:szCs w:val="24"/>
          <w:lang w:val="ro-RO"/>
        </w:rPr>
        <w:t xml:space="preserve"> respectiv</w:t>
      </w:r>
      <w:r w:rsidRPr="00650D66">
        <w:rPr>
          <w:rFonts w:ascii="Times New Roman" w:eastAsia="Times New Roman" w:hAnsi="Times New Roman" w:cs="Times New Roman"/>
          <w:sz w:val="24"/>
          <w:szCs w:val="24"/>
          <w:lang w:val="ro-RO"/>
        </w:rPr>
        <w:t xml:space="preserve"> pentru 3 ani (2019-2021), 2 ani (2020-2021), 2 ani (2021-2022) și pentru 6 ani (2022-2027)</w:t>
      </w:r>
      <w:r w:rsidR="00554348" w:rsidRPr="00650D66">
        <w:rPr>
          <w:rFonts w:ascii="Times New Roman" w:eastAsia="Times New Roman" w:hAnsi="Times New Roman" w:cs="Times New Roman"/>
          <w:sz w:val="24"/>
          <w:szCs w:val="24"/>
          <w:lang w:val="ro-RO"/>
        </w:rPr>
        <w:t xml:space="preserve">, </w:t>
      </w:r>
      <w:r w:rsidR="00554348" w:rsidRPr="00650D66">
        <w:rPr>
          <w:rFonts w:ascii="Times New Roman" w:eastAsia="Times New Roman" w:hAnsi="Times New Roman" w:cs="Times New Roman"/>
          <w:i/>
          <w:sz w:val="24"/>
          <w:szCs w:val="24"/>
          <w:lang w:val="ro-RO"/>
        </w:rPr>
        <w:t>(ii)</w:t>
      </w:r>
      <w:r w:rsidR="00554348" w:rsidRPr="00650D66">
        <w:rPr>
          <w:rFonts w:ascii="Times New Roman" w:eastAsia="Times New Roman" w:hAnsi="Times New Roman" w:cs="Times New Roman"/>
          <w:sz w:val="24"/>
          <w:szCs w:val="24"/>
          <w:lang w:val="ro-RO"/>
        </w:rPr>
        <w:t xml:space="preserve"> sumele preconizate a fi achitate în </w:t>
      </w:r>
      <w:r w:rsidR="00B64BD9" w:rsidRPr="00650D66">
        <w:rPr>
          <w:rFonts w:ascii="Times New Roman" w:eastAsia="Times New Roman" w:hAnsi="Times New Roman" w:cs="Times New Roman"/>
          <w:sz w:val="24"/>
          <w:szCs w:val="24"/>
          <w:lang w:val="ro-RO"/>
        </w:rPr>
        <w:t>anii 2019-2022</w:t>
      </w:r>
      <w:r w:rsidR="00554348" w:rsidRPr="00650D66">
        <w:rPr>
          <w:rFonts w:ascii="Times New Roman" w:eastAsia="Times New Roman" w:hAnsi="Times New Roman" w:cs="Times New Roman"/>
          <w:sz w:val="24"/>
          <w:szCs w:val="24"/>
          <w:lang w:val="ro-RO"/>
        </w:rPr>
        <w:t xml:space="preserve">, inclusiv cele aferente achizițiilor inițiate în </w:t>
      </w:r>
      <w:r w:rsidRPr="00650D66">
        <w:rPr>
          <w:rFonts w:ascii="Times New Roman" w:eastAsia="Times New Roman" w:hAnsi="Times New Roman" w:cs="Times New Roman"/>
          <w:sz w:val="24"/>
          <w:szCs w:val="24"/>
          <w:lang w:val="ro-RO"/>
        </w:rPr>
        <w:t xml:space="preserve">anii </w:t>
      </w:r>
      <w:r w:rsidR="00554348" w:rsidRPr="00650D66">
        <w:rPr>
          <w:rFonts w:ascii="Times New Roman" w:eastAsia="Times New Roman" w:hAnsi="Times New Roman" w:cs="Times New Roman"/>
          <w:sz w:val="24"/>
          <w:szCs w:val="24"/>
          <w:lang w:val="ro-RO"/>
        </w:rPr>
        <w:t xml:space="preserve">precedenți. </w:t>
      </w:r>
    </w:p>
    <w:p w14:paraId="550BFDD5" w14:textId="77777777" w:rsidR="002548B4" w:rsidRPr="00650D66" w:rsidRDefault="002548B4" w:rsidP="002548B4">
      <w:pPr>
        <w:spacing w:after="0" w:line="276" w:lineRule="auto"/>
        <w:jc w:val="both"/>
        <w:rPr>
          <w:rFonts w:ascii="Times New Roman" w:hAnsi="Times New Roman" w:cs="Times New Roman"/>
          <w:sz w:val="6"/>
          <w:szCs w:val="6"/>
          <w:lang w:val="ro-RO"/>
        </w:rPr>
      </w:pPr>
    </w:p>
    <w:p w14:paraId="4815BA82" w14:textId="2AC0F4A0" w:rsidR="00F77E20" w:rsidRPr="00650D66" w:rsidRDefault="00BA1D73" w:rsidP="00794B10">
      <w:pPr>
        <w:spacing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În perioada 2019-2022, au fost executate alocații </w:t>
      </w:r>
      <w:r w:rsidR="00954959" w:rsidRPr="00650D66">
        <w:rPr>
          <w:rFonts w:ascii="Times New Roman" w:hAnsi="Times New Roman" w:cs="Times New Roman"/>
          <w:sz w:val="24"/>
          <w:szCs w:val="24"/>
          <w:lang w:val="ro-RO"/>
        </w:rPr>
        <w:t>pentru proiecte</w:t>
      </w:r>
      <w:r w:rsidR="006D37EB">
        <w:rPr>
          <w:rFonts w:ascii="Times New Roman" w:hAnsi="Times New Roman" w:cs="Times New Roman"/>
          <w:sz w:val="24"/>
          <w:szCs w:val="24"/>
          <w:lang w:val="ro-RO"/>
        </w:rPr>
        <w:t>le</w:t>
      </w:r>
      <w:r w:rsidR="00954959" w:rsidRPr="00650D66">
        <w:rPr>
          <w:rFonts w:ascii="Times New Roman" w:hAnsi="Times New Roman" w:cs="Times New Roman"/>
          <w:sz w:val="24"/>
          <w:szCs w:val="24"/>
          <w:lang w:val="ro-RO"/>
        </w:rPr>
        <w:t xml:space="preserve"> noi cu te</w:t>
      </w:r>
      <w:r w:rsidR="00E92BDB" w:rsidRPr="00650D66">
        <w:rPr>
          <w:rFonts w:ascii="Times New Roman" w:hAnsi="Times New Roman" w:cs="Times New Roman"/>
          <w:sz w:val="24"/>
          <w:szCs w:val="24"/>
          <w:lang w:val="ro-RO"/>
        </w:rPr>
        <w:t>rmenul de execuție mai mar</w:t>
      </w:r>
      <w:r w:rsidR="006D37EB">
        <w:rPr>
          <w:rFonts w:ascii="Times New Roman" w:hAnsi="Times New Roman" w:cs="Times New Roman"/>
          <w:sz w:val="24"/>
          <w:szCs w:val="24"/>
          <w:lang w:val="ro-RO"/>
        </w:rPr>
        <w:t>e</w:t>
      </w:r>
      <w:r w:rsidR="00E92BDB" w:rsidRPr="00650D66">
        <w:rPr>
          <w:rFonts w:ascii="Times New Roman" w:hAnsi="Times New Roman" w:cs="Times New Roman"/>
          <w:sz w:val="24"/>
          <w:szCs w:val="24"/>
          <w:lang w:val="ro-RO"/>
        </w:rPr>
        <w:t xml:space="preserve"> de </w:t>
      </w:r>
      <w:r w:rsidR="006D37EB">
        <w:rPr>
          <w:rFonts w:ascii="Times New Roman" w:hAnsi="Times New Roman" w:cs="Times New Roman"/>
          <w:sz w:val="24"/>
          <w:szCs w:val="24"/>
          <w:lang w:val="ro-RO"/>
        </w:rPr>
        <w:t>un</w:t>
      </w:r>
      <w:r w:rsidR="00954959" w:rsidRPr="00650D66">
        <w:rPr>
          <w:rFonts w:ascii="Times New Roman" w:hAnsi="Times New Roman" w:cs="Times New Roman"/>
          <w:sz w:val="24"/>
          <w:szCs w:val="24"/>
          <w:lang w:val="ro-RO"/>
        </w:rPr>
        <w:t xml:space="preserve"> an la ,,Alte bunuri, servicii și lucrări” în sumă totală de </w:t>
      </w:r>
      <w:r w:rsidRPr="00650D66">
        <w:rPr>
          <w:rFonts w:ascii="Times New Roman" w:hAnsi="Times New Roman" w:cs="Times New Roman"/>
          <w:sz w:val="24"/>
          <w:szCs w:val="24"/>
          <w:lang w:val="ro-RO"/>
        </w:rPr>
        <w:t>32,8 mil. lei</w:t>
      </w:r>
      <w:r w:rsidR="00954959" w:rsidRPr="00650D66">
        <w:rPr>
          <w:rFonts w:ascii="Times New Roman" w:hAnsi="Times New Roman" w:cs="Times New Roman"/>
          <w:sz w:val="24"/>
          <w:szCs w:val="24"/>
          <w:lang w:val="ro-RO"/>
        </w:rPr>
        <w:t xml:space="preserve">. </w:t>
      </w:r>
      <w:r w:rsidR="00F66995" w:rsidRPr="00650D66">
        <w:rPr>
          <w:rFonts w:ascii="Times New Roman" w:hAnsi="Times New Roman" w:cs="Times New Roman"/>
          <w:sz w:val="24"/>
          <w:szCs w:val="24"/>
          <w:lang w:val="ro-RO"/>
        </w:rPr>
        <w:t>Astfel, î</w:t>
      </w:r>
      <w:r w:rsidRPr="00650D66">
        <w:rPr>
          <w:rFonts w:ascii="Times New Roman" w:hAnsi="Times New Roman" w:cs="Times New Roman"/>
          <w:sz w:val="24"/>
          <w:szCs w:val="24"/>
          <w:lang w:val="ro-RO"/>
        </w:rPr>
        <w:t>n anul 2022 au fost executate alocații î</w:t>
      </w:r>
      <w:r w:rsidR="00954959" w:rsidRPr="00650D66">
        <w:rPr>
          <w:rFonts w:ascii="Times New Roman" w:hAnsi="Times New Roman" w:cs="Times New Roman"/>
          <w:sz w:val="24"/>
          <w:szCs w:val="24"/>
          <w:lang w:val="ro-RO"/>
        </w:rPr>
        <w:t>n sumă de 15,5 mil. lei</w:t>
      </w:r>
      <w:r w:rsidR="006D37EB">
        <w:rPr>
          <w:rFonts w:ascii="Times New Roman" w:hAnsi="Times New Roman" w:cs="Times New Roman"/>
          <w:sz w:val="24"/>
          <w:szCs w:val="24"/>
          <w:lang w:val="ro-RO"/>
        </w:rPr>
        <w:t>,</w:t>
      </w:r>
      <w:r w:rsidR="00954959" w:rsidRPr="00650D66">
        <w:rPr>
          <w:rFonts w:ascii="Times New Roman" w:hAnsi="Times New Roman" w:cs="Times New Roman"/>
          <w:sz w:val="24"/>
          <w:szCs w:val="24"/>
          <w:lang w:val="ro-RO"/>
        </w:rPr>
        <w:t xml:space="preserve"> sau 28,6% față de suma planificată pe an (54,1 mil. lei)</w:t>
      </w:r>
      <w:r w:rsidR="006D37EB">
        <w:rPr>
          <w:rFonts w:ascii="Times New Roman" w:hAnsi="Times New Roman" w:cs="Times New Roman"/>
          <w:sz w:val="24"/>
          <w:szCs w:val="24"/>
          <w:lang w:val="ro-RO"/>
        </w:rPr>
        <w:t>,</w:t>
      </w:r>
      <w:r w:rsidR="00954959" w:rsidRPr="00650D66">
        <w:rPr>
          <w:rFonts w:ascii="Times New Roman" w:hAnsi="Times New Roman" w:cs="Times New Roman"/>
          <w:sz w:val="24"/>
          <w:szCs w:val="24"/>
          <w:lang w:val="ro-RO"/>
        </w:rPr>
        <w:t xml:space="preserve"> și </w:t>
      </w:r>
      <w:r w:rsidR="006D37EB">
        <w:rPr>
          <w:rFonts w:ascii="Times New Roman" w:hAnsi="Times New Roman" w:cs="Times New Roman"/>
          <w:sz w:val="24"/>
          <w:szCs w:val="24"/>
          <w:lang w:val="ro-RO"/>
        </w:rPr>
        <w:t xml:space="preserve">de </w:t>
      </w:r>
      <w:r w:rsidR="00954959" w:rsidRPr="00650D66">
        <w:rPr>
          <w:rFonts w:ascii="Times New Roman" w:hAnsi="Times New Roman" w:cs="Times New Roman"/>
          <w:sz w:val="24"/>
          <w:szCs w:val="24"/>
          <w:lang w:val="ro-RO"/>
        </w:rPr>
        <w:t>8,8% față de suma planificată per proiecte (175,9 mil. lei)</w:t>
      </w:r>
      <w:r w:rsidR="004D06F2" w:rsidRPr="00650D66">
        <w:rPr>
          <w:rFonts w:ascii="Times New Roman" w:hAnsi="Times New Roman" w:cs="Times New Roman"/>
          <w:sz w:val="24"/>
          <w:szCs w:val="24"/>
          <w:lang w:val="ro-RO"/>
        </w:rPr>
        <w:t>. În anul 2021 au fost executate alocații în sumă de 9,7 mil. lei</w:t>
      </w:r>
      <w:r w:rsidR="006D37EB">
        <w:rPr>
          <w:rFonts w:ascii="Times New Roman" w:hAnsi="Times New Roman" w:cs="Times New Roman"/>
          <w:sz w:val="24"/>
          <w:szCs w:val="24"/>
          <w:lang w:val="ro-RO"/>
        </w:rPr>
        <w:t>,</w:t>
      </w:r>
      <w:r w:rsidR="004D06F2" w:rsidRPr="00650D66">
        <w:rPr>
          <w:rFonts w:ascii="Times New Roman" w:hAnsi="Times New Roman" w:cs="Times New Roman"/>
          <w:sz w:val="24"/>
          <w:szCs w:val="24"/>
          <w:lang w:val="ro-RO"/>
        </w:rPr>
        <w:t xml:space="preserve"> sau 17,3% față de suma planificată pe an (56,3 mil. lei)</w:t>
      </w:r>
      <w:r w:rsidR="00F66995" w:rsidRPr="00650D66">
        <w:rPr>
          <w:rFonts w:ascii="Times New Roman" w:hAnsi="Times New Roman" w:cs="Times New Roman"/>
          <w:sz w:val="24"/>
          <w:szCs w:val="24"/>
          <w:lang w:val="ro-RO"/>
        </w:rPr>
        <w:t xml:space="preserve"> și 6,2% față de suma planificată per proiecte (157,9 mil. lei).</w:t>
      </w:r>
      <w:r w:rsidR="006969E4" w:rsidRPr="00650D66">
        <w:rPr>
          <w:rFonts w:ascii="Times New Roman" w:hAnsi="Times New Roman" w:cs="Times New Roman"/>
          <w:sz w:val="24"/>
          <w:szCs w:val="24"/>
          <w:lang w:val="ro-RO"/>
        </w:rPr>
        <w:t xml:space="preserve"> Iar în anii 2020 și 2019 au fost executate alocații în sumă de 4,1 mil. lei și</w:t>
      </w:r>
      <w:r w:rsidR="006D37EB">
        <w:rPr>
          <w:rFonts w:ascii="Times New Roman" w:hAnsi="Times New Roman" w:cs="Times New Roman"/>
          <w:sz w:val="24"/>
          <w:szCs w:val="24"/>
          <w:lang w:val="ro-RO"/>
        </w:rPr>
        <w:t>,</w:t>
      </w:r>
      <w:r w:rsidR="006969E4" w:rsidRPr="00650D66">
        <w:rPr>
          <w:rFonts w:ascii="Times New Roman" w:hAnsi="Times New Roman" w:cs="Times New Roman"/>
          <w:sz w:val="24"/>
          <w:szCs w:val="24"/>
          <w:lang w:val="ro-RO"/>
        </w:rPr>
        <w:t xml:space="preserve"> respectiv</w:t>
      </w:r>
      <w:r w:rsidR="006D37EB">
        <w:rPr>
          <w:rFonts w:ascii="Times New Roman" w:hAnsi="Times New Roman" w:cs="Times New Roman"/>
          <w:sz w:val="24"/>
          <w:szCs w:val="24"/>
          <w:lang w:val="ro-RO"/>
        </w:rPr>
        <w:t>, de</w:t>
      </w:r>
      <w:r w:rsidR="006969E4" w:rsidRPr="00650D66">
        <w:rPr>
          <w:rFonts w:ascii="Times New Roman" w:hAnsi="Times New Roman" w:cs="Times New Roman"/>
          <w:sz w:val="24"/>
          <w:szCs w:val="24"/>
          <w:lang w:val="ro-RO"/>
        </w:rPr>
        <w:t xml:space="preserve"> 3,4 mil. lei. </w:t>
      </w:r>
      <w:r w:rsidRPr="00650D66">
        <w:rPr>
          <w:rFonts w:ascii="Times New Roman" w:hAnsi="Times New Roman" w:cs="Times New Roman"/>
          <w:sz w:val="24"/>
          <w:szCs w:val="24"/>
          <w:lang w:val="ro-RO"/>
        </w:rPr>
        <w:t>Unii din</w:t>
      </w:r>
      <w:r w:rsidR="006D37EB">
        <w:rPr>
          <w:rFonts w:ascii="Times New Roman" w:hAnsi="Times New Roman" w:cs="Times New Roman"/>
          <w:sz w:val="24"/>
          <w:szCs w:val="24"/>
          <w:lang w:val="ro-RO"/>
        </w:rPr>
        <w:t>tre</w:t>
      </w:r>
      <w:r w:rsidRPr="00650D66">
        <w:rPr>
          <w:rFonts w:ascii="Times New Roman" w:hAnsi="Times New Roman" w:cs="Times New Roman"/>
          <w:sz w:val="24"/>
          <w:szCs w:val="24"/>
          <w:lang w:val="ro-RO"/>
        </w:rPr>
        <w:t xml:space="preserve"> factori</w:t>
      </w:r>
      <w:r w:rsidR="006D37EB">
        <w:rPr>
          <w:rFonts w:ascii="Times New Roman" w:hAnsi="Times New Roman" w:cs="Times New Roman"/>
          <w:sz w:val="24"/>
          <w:szCs w:val="24"/>
          <w:lang w:val="ro-RO"/>
        </w:rPr>
        <w:t>i</w:t>
      </w:r>
      <w:r w:rsidRPr="00650D66">
        <w:rPr>
          <w:rFonts w:ascii="Times New Roman" w:hAnsi="Times New Roman" w:cs="Times New Roman"/>
          <w:sz w:val="24"/>
          <w:szCs w:val="24"/>
          <w:lang w:val="ro-RO"/>
        </w:rPr>
        <w:t xml:space="preserve"> </w:t>
      </w:r>
      <w:r w:rsidR="0056375E">
        <w:rPr>
          <w:rFonts w:ascii="Times New Roman" w:hAnsi="Times New Roman" w:cs="Times New Roman"/>
          <w:sz w:val="24"/>
          <w:szCs w:val="24"/>
          <w:lang w:val="ro-RO"/>
        </w:rPr>
        <w:t xml:space="preserve">ce au cauzat nevalorificarea alocațiilor pentru investiții </w:t>
      </w:r>
      <w:r w:rsidR="006D37EB">
        <w:rPr>
          <w:rFonts w:ascii="Times New Roman" w:hAnsi="Times New Roman" w:cs="Times New Roman"/>
          <w:sz w:val="24"/>
          <w:szCs w:val="24"/>
          <w:lang w:val="ro-RO"/>
        </w:rPr>
        <w:t>au fost</w:t>
      </w:r>
      <w:r w:rsidR="00911CD5" w:rsidRPr="00650D66">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w:t>
      </w:r>
      <w:r w:rsidR="00CD417E" w:rsidRPr="00650D66">
        <w:rPr>
          <w:rFonts w:ascii="Times New Roman" w:hAnsi="Times New Roman" w:cs="Times New Roman"/>
          <w:sz w:val="24"/>
          <w:szCs w:val="24"/>
          <w:lang w:val="ro-RO"/>
        </w:rPr>
        <w:t>pandemi</w:t>
      </w:r>
      <w:r w:rsidR="006D37EB">
        <w:rPr>
          <w:rFonts w:ascii="Times New Roman" w:hAnsi="Times New Roman" w:cs="Times New Roman"/>
          <w:sz w:val="24"/>
          <w:szCs w:val="24"/>
          <w:lang w:val="ro-RO"/>
        </w:rPr>
        <w:t>a</w:t>
      </w:r>
      <w:r w:rsidR="00CD417E" w:rsidRPr="00650D66">
        <w:rPr>
          <w:rFonts w:ascii="Times New Roman" w:hAnsi="Times New Roman" w:cs="Times New Roman"/>
          <w:sz w:val="24"/>
          <w:szCs w:val="24"/>
          <w:lang w:val="ro-RO"/>
        </w:rPr>
        <w:t xml:space="preserve"> COVID</w:t>
      </w:r>
      <w:r w:rsidR="006D37EB">
        <w:rPr>
          <w:rFonts w:ascii="Times New Roman" w:hAnsi="Times New Roman" w:cs="Times New Roman"/>
          <w:sz w:val="24"/>
          <w:szCs w:val="24"/>
          <w:lang w:val="ro-RO"/>
        </w:rPr>
        <w:t>-</w:t>
      </w:r>
      <w:r w:rsidR="00CD417E" w:rsidRPr="00650D66">
        <w:rPr>
          <w:rFonts w:ascii="Times New Roman" w:hAnsi="Times New Roman" w:cs="Times New Roman"/>
          <w:sz w:val="24"/>
          <w:szCs w:val="24"/>
          <w:lang w:val="ro-RO"/>
        </w:rPr>
        <w:t xml:space="preserve">19, </w:t>
      </w:r>
      <w:r w:rsidRPr="00650D66">
        <w:rPr>
          <w:rFonts w:ascii="Times New Roman" w:hAnsi="Times New Roman" w:cs="Times New Roman"/>
          <w:sz w:val="24"/>
          <w:szCs w:val="24"/>
          <w:lang w:val="ro-RO"/>
        </w:rPr>
        <w:t xml:space="preserve">suspendarea procedurilor de achiziții din cauza suprapunerii cu alte activități de importanță majoră, insuficiența personalului, temporizarea achiziției din cauza regândirii proiectului ce urmează a fi implementat, </w:t>
      </w:r>
      <w:r w:rsidRPr="00650D66">
        <w:rPr>
          <w:rFonts w:ascii="Times New Roman" w:hAnsi="Times New Roman" w:cs="Times New Roman"/>
          <w:sz w:val="24"/>
          <w:szCs w:val="24"/>
          <w:lang w:val="ro-RO"/>
        </w:rPr>
        <w:lastRenderedPageBreak/>
        <w:t xml:space="preserve">necesitatea modificării fișei de proiect și a caietului de sarcini </w:t>
      </w:r>
      <w:r w:rsidR="006D37EB">
        <w:rPr>
          <w:rFonts w:ascii="Times New Roman" w:hAnsi="Times New Roman" w:cs="Times New Roman"/>
          <w:sz w:val="24"/>
          <w:szCs w:val="24"/>
          <w:lang w:val="ro-RO"/>
        </w:rPr>
        <w:t>pe</w:t>
      </w:r>
      <w:r w:rsidRPr="00650D66">
        <w:rPr>
          <w:rFonts w:ascii="Times New Roman" w:hAnsi="Times New Roman" w:cs="Times New Roman"/>
          <w:sz w:val="24"/>
          <w:szCs w:val="24"/>
          <w:lang w:val="ro-RO"/>
        </w:rPr>
        <w:t xml:space="preserve">ntru corespunderea noilor criterii. </w:t>
      </w:r>
      <w:r w:rsidR="0012744E" w:rsidRPr="00650D66">
        <w:rPr>
          <w:rFonts w:ascii="Times New Roman" w:hAnsi="Times New Roman" w:cs="Times New Roman"/>
          <w:sz w:val="24"/>
          <w:szCs w:val="24"/>
          <w:lang w:val="ro-RO"/>
        </w:rPr>
        <w:t>În contextul celor expuse, auditul exemplifică:</w:t>
      </w:r>
    </w:p>
    <w:p w14:paraId="04A0D6CF" w14:textId="52DF42A8" w:rsidR="00BA1D73" w:rsidRPr="00650D66" w:rsidRDefault="006D37EB" w:rsidP="00002529">
      <w:pPr>
        <w:pStyle w:val="ListParagraph"/>
        <w:numPr>
          <w:ilvl w:val="0"/>
          <w:numId w:val="4"/>
        </w:numPr>
        <w:tabs>
          <w:tab w:val="left" w:pos="284"/>
          <w:tab w:val="left" w:pos="993"/>
        </w:tabs>
        <w:spacing w:line="276" w:lineRule="auto"/>
        <w:ind w:left="0" w:firstLine="709"/>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BA1D73" w:rsidRPr="00650D66">
        <w:rPr>
          <w:rFonts w:ascii="Times New Roman" w:hAnsi="Times New Roman" w:cs="Times New Roman"/>
          <w:sz w:val="24"/>
          <w:szCs w:val="24"/>
          <w:lang w:val="ro-RO"/>
        </w:rPr>
        <w:t xml:space="preserve">entru </w:t>
      </w:r>
      <w:r w:rsidR="00BA1D73" w:rsidRPr="00650D66">
        <w:rPr>
          <w:rFonts w:ascii="Times New Roman" w:hAnsi="Times New Roman" w:cs="Times New Roman"/>
          <w:i/>
          <w:sz w:val="24"/>
          <w:szCs w:val="24"/>
          <w:lang w:val="ro-RO"/>
        </w:rPr>
        <w:t>,,Sistemul de gestionare a resurselor corporative și operațiuni bancare (transform BNM)”</w:t>
      </w:r>
      <w:r w:rsidR="00BA1D73" w:rsidRPr="00650D66">
        <w:rPr>
          <w:rFonts w:ascii="Times New Roman" w:hAnsi="Times New Roman" w:cs="Times New Roman"/>
          <w:sz w:val="24"/>
          <w:szCs w:val="24"/>
          <w:lang w:val="ro-RO"/>
        </w:rPr>
        <w:t xml:space="preserve"> din anul 2019 se aprobă alocații pentru investiții per proiect în majorare</w:t>
      </w:r>
      <w:r w:rsidR="00E01DAF" w:rsidRPr="00650D66">
        <w:rPr>
          <w:rFonts w:ascii="Times New Roman" w:hAnsi="Times New Roman" w:cs="Times New Roman"/>
          <w:sz w:val="24"/>
          <w:szCs w:val="24"/>
          <w:lang w:val="ro-RO"/>
        </w:rPr>
        <w:t xml:space="preserve"> din cauza creșterii cursului valutar </w:t>
      </w:r>
      <w:r w:rsidR="00BA1D73" w:rsidRPr="00650D66">
        <w:rPr>
          <w:rFonts w:ascii="Times New Roman" w:hAnsi="Times New Roman" w:cs="Times New Roman"/>
          <w:sz w:val="24"/>
          <w:szCs w:val="24"/>
          <w:lang w:val="ro-RO"/>
        </w:rPr>
        <w:t xml:space="preserve">(anul </w:t>
      </w:r>
      <w:r w:rsidR="00BA1D73" w:rsidRPr="00D529E4">
        <w:rPr>
          <w:rFonts w:ascii="Times New Roman" w:hAnsi="Times New Roman" w:cs="Times New Roman"/>
          <w:sz w:val="24"/>
          <w:szCs w:val="24"/>
          <w:lang w:val="ro-RO"/>
        </w:rPr>
        <w:t>2019 – 88,1 mil. lei, anul 2020 – 89,5 mil. lei, anul 2021 – 93,4 mil. lei, anul 2022 – 97,2 mil. lei)</w:t>
      </w:r>
      <w:r>
        <w:rPr>
          <w:rFonts w:ascii="Times New Roman" w:hAnsi="Times New Roman" w:cs="Times New Roman"/>
          <w:sz w:val="24"/>
          <w:szCs w:val="24"/>
          <w:lang w:val="ro-RO"/>
        </w:rPr>
        <w:t>,</w:t>
      </w:r>
      <w:r w:rsidR="00BA1D73" w:rsidRPr="00D529E4">
        <w:rPr>
          <w:rFonts w:ascii="Times New Roman" w:hAnsi="Times New Roman" w:cs="Times New Roman"/>
          <w:sz w:val="24"/>
          <w:szCs w:val="24"/>
          <w:lang w:val="ro-RO"/>
        </w:rPr>
        <w:t xml:space="preserve"> dar până la situația din 31.12.2022 nu au fost executate alocațiile aprobate. Potrivit motivației BNM, principalul factor de temporizare aferent achiziției </w:t>
      </w:r>
      <w:r w:rsidR="00C87531" w:rsidRPr="00D529E4">
        <w:rPr>
          <w:rFonts w:ascii="Times New Roman" w:hAnsi="Times New Roman" w:cs="Times New Roman"/>
          <w:sz w:val="24"/>
          <w:szCs w:val="24"/>
          <w:lang w:val="ro-RO"/>
        </w:rPr>
        <w:t>a constituit</w:t>
      </w:r>
      <w:r w:rsidR="00BA1D73" w:rsidRPr="00D529E4">
        <w:rPr>
          <w:rFonts w:ascii="Times New Roman" w:hAnsi="Times New Roman" w:cs="Times New Roman"/>
          <w:sz w:val="24"/>
          <w:szCs w:val="24"/>
          <w:lang w:val="ro-RO"/>
        </w:rPr>
        <w:t xml:space="preserve"> necesitatea determinării la nivelul BNM, în cadrul normativ intern aferent achizițiilor</w:t>
      </w:r>
      <w:r w:rsidR="005D361B" w:rsidRPr="00D529E4">
        <w:rPr>
          <w:rFonts w:ascii="Times New Roman" w:hAnsi="Times New Roman" w:cs="Times New Roman"/>
          <w:sz w:val="24"/>
          <w:szCs w:val="24"/>
          <w:lang w:val="ro-RO"/>
        </w:rPr>
        <w:t>,</w:t>
      </w:r>
      <w:r w:rsidR="00BA1D73" w:rsidRPr="00D529E4">
        <w:rPr>
          <w:rFonts w:ascii="Times New Roman" w:hAnsi="Times New Roman" w:cs="Times New Roman"/>
          <w:sz w:val="24"/>
          <w:szCs w:val="24"/>
          <w:lang w:val="ro-RO"/>
        </w:rPr>
        <w:t xml:space="preserve"> </w:t>
      </w:r>
      <w:r w:rsidR="00274B19">
        <w:rPr>
          <w:rFonts w:ascii="Times New Roman" w:hAnsi="Times New Roman" w:cs="Times New Roman"/>
          <w:sz w:val="24"/>
          <w:szCs w:val="24"/>
          <w:lang w:val="ro-RO"/>
        </w:rPr>
        <w:t xml:space="preserve">dar </w:t>
      </w:r>
      <w:r w:rsidR="005D361B" w:rsidRPr="00D529E4">
        <w:rPr>
          <w:rFonts w:ascii="Times New Roman" w:hAnsi="Times New Roman" w:cs="Times New Roman"/>
          <w:sz w:val="24"/>
          <w:szCs w:val="24"/>
          <w:lang w:val="ro-RO"/>
        </w:rPr>
        <w:t>în lipsa unor prevederi exprese în cadrul național aferent achizițiilor</w:t>
      </w:r>
      <w:r w:rsidR="005D361B" w:rsidRPr="00650D66">
        <w:rPr>
          <w:rFonts w:ascii="Times New Roman" w:hAnsi="Times New Roman" w:cs="Times New Roman"/>
          <w:sz w:val="24"/>
          <w:szCs w:val="24"/>
          <w:lang w:val="ro-RO"/>
        </w:rPr>
        <w:t xml:space="preserve"> publice, </w:t>
      </w:r>
      <w:r w:rsidR="00BA1D73" w:rsidRPr="00650D66">
        <w:rPr>
          <w:rFonts w:ascii="Times New Roman" w:hAnsi="Times New Roman" w:cs="Times New Roman"/>
          <w:sz w:val="24"/>
          <w:szCs w:val="24"/>
          <w:lang w:val="ro-RO"/>
        </w:rPr>
        <w:t xml:space="preserve">a aspectului privind limitarea răspunderii de către operatorii economici, la o anumită sumă din contractul de achiziții publice în situația producerii eventualelor daune, </w:t>
      </w:r>
      <w:r w:rsidR="00274B19">
        <w:rPr>
          <w:rFonts w:ascii="Times New Roman" w:hAnsi="Times New Roman" w:cs="Times New Roman"/>
          <w:sz w:val="24"/>
          <w:szCs w:val="24"/>
          <w:lang w:val="ro-RO"/>
        </w:rPr>
        <w:t xml:space="preserve">a </w:t>
      </w:r>
      <w:r w:rsidR="00BA1D73" w:rsidRPr="00650D66">
        <w:rPr>
          <w:rFonts w:ascii="Times New Roman" w:hAnsi="Times New Roman" w:cs="Times New Roman"/>
          <w:sz w:val="24"/>
          <w:szCs w:val="24"/>
          <w:lang w:val="ro-RO"/>
        </w:rPr>
        <w:t>executării neconforme sau neexecutării integrale</w:t>
      </w:r>
      <w:r w:rsidR="006E2D4B" w:rsidRPr="00650D66">
        <w:rPr>
          <w:rFonts w:ascii="Times New Roman" w:hAnsi="Times New Roman" w:cs="Times New Roman"/>
          <w:sz w:val="24"/>
          <w:szCs w:val="24"/>
          <w:lang w:val="ro-RO"/>
        </w:rPr>
        <w:t xml:space="preserve"> </w:t>
      </w:r>
      <w:r w:rsidR="00274B19">
        <w:rPr>
          <w:rFonts w:ascii="Times New Roman" w:hAnsi="Times New Roman" w:cs="Times New Roman"/>
          <w:sz w:val="24"/>
          <w:szCs w:val="24"/>
          <w:lang w:val="ro-RO"/>
        </w:rPr>
        <w:t xml:space="preserve">a </w:t>
      </w:r>
      <w:r w:rsidR="005D361B" w:rsidRPr="00650D66">
        <w:rPr>
          <w:rFonts w:ascii="Times New Roman" w:hAnsi="Times New Roman" w:cs="Times New Roman"/>
          <w:sz w:val="24"/>
          <w:szCs w:val="24"/>
          <w:lang w:val="ro-RO"/>
        </w:rPr>
        <w:t>prevederilor contractuale</w:t>
      </w:r>
      <w:r w:rsidR="00BA1D73" w:rsidRPr="00650D66">
        <w:rPr>
          <w:rFonts w:ascii="Times New Roman" w:hAnsi="Times New Roman" w:cs="Times New Roman"/>
          <w:sz w:val="24"/>
          <w:szCs w:val="24"/>
          <w:lang w:val="ro-RO"/>
        </w:rPr>
        <w:t xml:space="preserve">. </w:t>
      </w:r>
      <w:r w:rsidR="005D361B" w:rsidRPr="00650D66">
        <w:rPr>
          <w:rFonts w:ascii="Times New Roman" w:hAnsi="Times New Roman" w:cs="Times New Roman"/>
          <w:sz w:val="24"/>
          <w:szCs w:val="24"/>
          <w:lang w:val="ro-RO"/>
        </w:rPr>
        <w:t>Acest aspect a fost considerat prin aprobarea, prin Hotărârea CE nr.42 din 23.02.2023</w:t>
      </w:r>
      <w:r w:rsidR="00274B19">
        <w:rPr>
          <w:rFonts w:ascii="Times New Roman" w:hAnsi="Times New Roman" w:cs="Times New Roman"/>
          <w:sz w:val="24"/>
          <w:szCs w:val="24"/>
          <w:lang w:val="ro-RO"/>
        </w:rPr>
        <w:t>,</w:t>
      </w:r>
      <w:r w:rsidR="005D361B" w:rsidRPr="00650D66">
        <w:rPr>
          <w:rFonts w:ascii="Times New Roman" w:hAnsi="Times New Roman" w:cs="Times New Roman"/>
          <w:sz w:val="24"/>
          <w:szCs w:val="24"/>
          <w:lang w:val="ro-RO"/>
        </w:rPr>
        <w:t xml:space="preserve"> a modificărilor la Instrucțiunea privind modul de planificare, organizare și desfășurare a achizițiilor în BNM. </w:t>
      </w:r>
      <w:r w:rsidR="00883793" w:rsidRPr="00650D66">
        <w:rPr>
          <w:rFonts w:ascii="Times New Roman" w:hAnsi="Times New Roman" w:cs="Times New Roman"/>
          <w:sz w:val="24"/>
          <w:szCs w:val="24"/>
          <w:lang w:val="ro-RO"/>
        </w:rPr>
        <w:t xml:space="preserve">Auditul a constatat că </w:t>
      </w:r>
      <w:r w:rsidR="00CE676F" w:rsidRPr="00650D66">
        <w:rPr>
          <w:rFonts w:ascii="Times New Roman" w:hAnsi="Times New Roman" w:cs="Times New Roman"/>
          <w:sz w:val="24"/>
          <w:szCs w:val="24"/>
          <w:lang w:val="ro-RO"/>
        </w:rPr>
        <w:t>Proiectul</w:t>
      </w:r>
      <w:r w:rsidR="003A7283" w:rsidRPr="00650D66">
        <w:rPr>
          <w:rStyle w:val="FootnoteReference"/>
          <w:rFonts w:ascii="Times New Roman" w:hAnsi="Times New Roman" w:cs="Times New Roman"/>
          <w:sz w:val="24"/>
          <w:szCs w:val="24"/>
          <w:lang w:val="ro-RO"/>
        </w:rPr>
        <w:footnoteReference w:id="28"/>
      </w:r>
      <w:r w:rsidR="00CE676F" w:rsidRPr="00650D66">
        <w:rPr>
          <w:rFonts w:ascii="Times New Roman" w:hAnsi="Times New Roman" w:cs="Times New Roman"/>
          <w:sz w:val="24"/>
          <w:szCs w:val="24"/>
          <w:lang w:val="ro-RO"/>
        </w:rPr>
        <w:t xml:space="preserve"> </w:t>
      </w:r>
      <w:r w:rsidR="00630EA8" w:rsidRPr="00650D66">
        <w:rPr>
          <w:rFonts w:ascii="Times New Roman" w:hAnsi="Times New Roman" w:cs="Times New Roman"/>
          <w:sz w:val="24"/>
          <w:szCs w:val="24"/>
          <w:lang w:val="ro-RO"/>
        </w:rPr>
        <w:t xml:space="preserve">este </w:t>
      </w:r>
      <w:r w:rsidR="00CE676F" w:rsidRPr="00650D66">
        <w:rPr>
          <w:rFonts w:ascii="Times New Roman" w:hAnsi="Times New Roman" w:cs="Times New Roman"/>
          <w:sz w:val="24"/>
          <w:szCs w:val="24"/>
          <w:lang w:val="ro-RO"/>
        </w:rPr>
        <w:t xml:space="preserve">în derulare din anul 2012 </w:t>
      </w:r>
      <w:r w:rsidR="00630EA8" w:rsidRPr="00650D66">
        <w:rPr>
          <w:rFonts w:ascii="Times New Roman" w:hAnsi="Times New Roman" w:cs="Times New Roman"/>
          <w:sz w:val="24"/>
          <w:szCs w:val="24"/>
          <w:lang w:val="ro-RO"/>
        </w:rPr>
        <w:t xml:space="preserve">și </w:t>
      </w:r>
      <w:r w:rsidR="00CE676F" w:rsidRPr="00650D66">
        <w:rPr>
          <w:rFonts w:ascii="Times New Roman" w:hAnsi="Times New Roman" w:cs="Times New Roman"/>
          <w:sz w:val="24"/>
          <w:szCs w:val="24"/>
          <w:lang w:val="ro-RO"/>
        </w:rPr>
        <w:t xml:space="preserve">este finanțat exclusiv din sursele BNM. </w:t>
      </w:r>
      <w:r w:rsidR="00F077F0" w:rsidRPr="00650D66">
        <w:rPr>
          <w:rFonts w:ascii="Times New Roman" w:hAnsi="Times New Roman" w:cs="Times New Roman"/>
          <w:sz w:val="24"/>
          <w:szCs w:val="24"/>
          <w:lang w:val="ro-RO"/>
        </w:rPr>
        <w:t>Acesta</w:t>
      </w:r>
      <w:r w:rsidR="00CE676F" w:rsidRPr="00650D66">
        <w:rPr>
          <w:rFonts w:ascii="Times New Roman" w:hAnsi="Times New Roman" w:cs="Times New Roman"/>
          <w:sz w:val="24"/>
          <w:szCs w:val="24"/>
          <w:lang w:val="ro-RO"/>
        </w:rPr>
        <w:t xml:space="preserve"> se află în cea de a doua etapă, aceasta presupunând desfășurarea procedurilor de achiziții publice pentru achiziționarea </w:t>
      </w:r>
      <w:r w:rsidR="002B03E1" w:rsidRPr="00650D66">
        <w:rPr>
          <w:rFonts w:ascii="Times New Roman" w:hAnsi="Times New Roman" w:cs="Times New Roman"/>
          <w:sz w:val="24"/>
          <w:szCs w:val="24"/>
          <w:lang w:val="ro-RO"/>
        </w:rPr>
        <w:t>sistemelor informaționale</w:t>
      </w:r>
      <w:r w:rsidR="00CE676F" w:rsidRPr="00650D66">
        <w:rPr>
          <w:rFonts w:ascii="Times New Roman" w:hAnsi="Times New Roman" w:cs="Times New Roman"/>
          <w:sz w:val="24"/>
          <w:szCs w:val="24"/>
          <w:lang w:val="ro-RO"/>
        </w:rPr>
        <w:t>, prima etapă fiind realizată prin achiziționarea serviciilor de consultanță</w:t>
      </w:r>
      <w:r w:rsidR="00844366" w:rsidRPr="00650D66">
        <w:rPr>
          <w:rStyle w:val="FootnoteReference"/>
          <w:rFonts w:ascii="Times New Roman" w:hAnsi="Times New Roman" w:cs="Times New Roman"/>
          <w:sz w:val="24"/>
          <w:szCs w:val="24"/>
          <w:lang w:val="ro-RO"/>
        </w:rPr>
        <w:footnoteReference w:id="29"/>
      </w:r>
      <w:r w:rsidR="00212107" w:rsidRPr="00650D66">
        <w:rPr>
          <w:rFonts w:ascii="Times New Roman" w:hAnsi="Times New Roman" w:cs="Times New Roman"/>
          <w:sz w:val="24"/>
          <w:szCs w:val="24"/>
          <w:lang w:val="ro-RO"/>
        </w:rPr>
        <w:t xml:space="preserve"> în sumă de 51,6 mii euro</w:t>
      </w:r>
      <w:r w:rsidR="00CE676F" w:rsidRPr="00650D66">
        <w:rPr>
          <w:rFonts w:ascii="Times New Roman" w:hAnsi="Times New Roman" w:cs="Times New Roman"/>
          <w:sz w:val="24"/>
          <w:szCs w:val="24"/>
          <w:lang w:val="ro-RO"/>
        </w:rPr>
        <w:t>.</w:t>
      </w:r>
      <w:r w:rsidR="00A2465E" w:rsidRPr="00650D66">
        <w:rPr>
          <w:lang w:val="ro-RO"/>
        </w:rPr>
        <w:t xml:space="preserve"> </w:t>
      </w:r>
      <w:r w:rsidR="00A2465E" w:rsidRPr="00650D66">
        <w:rPr>
          <w:rFonts w:ascii="Times New Roman" w:hAnsi="Times New Roman" w:cs="Times New Roman"/>
          <w:sz w:val="24"/>
          <w:szCs w:val="24"/>
          <w:lang w:val="ro-RO"/>
        </w:rPr>
        <w:t xml:space="preserve">BNM a </w:t>
      </w:r>
      <w:r w:rsidR="00076C61" w:rsidRPr="00650D66">
        <w:rPr>
          <w:rFonts w:ascii="Times New Roman" w:hAnsi="Times New Roman" w:cs="Times New Roman"/>
          <w:sz w:val="24"/>
          <w:szCs w:val="24"/>
          <w:lang w:val="ro-RO"/>
        </w:rPr>
        <w:t>afirmat</w:t>
      </w:r>
      <w:r w:rsidR="00A2465E" w:rsidRPr="00650D66">
        <w:rPr>
          <w:rFonts w:ascii="Times New Roman" w:hAnsi="Times New Roman" w:cs="Times New Roman"/>
          <w:sz w:val="24"/>
          <w:szCs w:val="24"/>
          <w:lang w:val="ro-RO"/>
        </w:rPr>
        <w:t xml:space="preserve"> că, pe parcursul anului 2023 a fost derulată procedura de consultare a pieței în cadrul proiectului respectiv, în vederea pregătirii și desfășurării ulterioare a procedurii de achiziție</w:t>
      </w:r>
      <w:r w:rsidR="00274B19">
        <w:rPr>
          <w:rFonts w:ascii="Times New Roman" w:hAnsi="Times New Roman" w:cs="Times New Roman"/>
          <w:sz w:val="24"/>
          <w:szCs w:val="24"/>
          <w:lang w:val="ro-RO"/>
        </w:rPr>
        <w:t>;</w:t>
      </w:r>
    </w:p>
    <w:p w14:paraId="295D84EA" w14:textId="77777777" w:rsidR="001921C4" w:rsidRPr="00650D66" w:rsidRDefault="001921C4" w:rsidP="001921C4">
      <w:pPr>
        <w:pStyle w:val="ListParagraph"/>
        <w:tabs>
          <w:tab w:val="left" w:pos="284"/>
        </w:tabs>
        <w:spacing w:line="276" w:lineRule="auto"/>
        <w:ind w:left="0"/>
        <w:jc w:val="both"/>
        <w:rPr>
          <w:rFonts w:ascii="Times New Roman" w:hAnsi="Times New Roman" w:cs="Times New Roman"/>
          <w:sz w:val="6"/>
          <w:szCs w:val="6"/>
          <w:lang w:val="ro-RO"/>
        </w:rPr>
      </w:pPr>
    </w:p>
    <w:p w14:paraId="03C0C3F4" w14:textId="7CD0D816" w:rsidR="00F77E20" w:rsidRPr="00650D66" w:rsidRDefault="00274B19" w:rsidP="00002529">
      <w:pPr>
        <w:pStyle w:val="ListParagraph"/>
        <w:numPr>
          <w:ilvl w:val="0"/>
          <w:numId w:val="4"/>
        </w:numPr>
        <w:tabs>
          <w:tab w:val="left" w:pos="426"/>
          <w:tab w:val="left" w:pos="993"/>
        </w:tabs>
        <w:spacing w:line="276" w:lineRule="auto"/>
        <w:ind w:left="0" w:firstLine="709"/>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BA1D73" w:rsidRPr="00650D66">
        <w:rPr>
          <w:rFonts w:ascii="Times New Roman" w:hAnsi="Times New Roman" w:cs="Times New Roman"/>
          <w:sz w:val="24"/>
          <w:szCs w:val="24"/>
          <w:lang w:val="ro-RO"/>
        </w:rPr>
        <w:t xml:space="preserve">entru </w:t>
      </w:r>
      <w:r w:rsidR="00BA1D73" w:rsidRPr="00650D66">
        <w:rPr>
          <w:rFonts w:ascii="Times New Roman" w:hAnsi="Times New Roman" w:cs="Times New Roman"/>
          <w:i/>
          <w:sz w:val="24"/>
          <w:szCs w:val="24"/>
          <w:lang w:val="ro-RO"/>
        </w:rPr>
        <w:t>,,Soluția de plăți instant (inclusiv infrastructura)”</w:t>
      </w:r>
      <w:r>
        <w:rPr>
          <w:rFonts w:ascii="Times New Roman" w:hAnsi="Times New Roman" w:cs="Times New Roman"/>
          <w:i/>
          <w:sz w:val="24"/>
          <w:szCs w:val="24"/>
          <w:lang w:val="ro-RO"/>
        </w:rPr>
        <w:t>,</w:t>
      </w:r>
      <w:r w:rsidR="00BA1D73" w:rsidRPr="00650D66">
        <w:rPr>
          <w:rFonts w:ascii="Times New Roman" w:hAnsi="Times New Roman" w:cs="Times New Roman"/>
          <w:sz w:val="24"/>
          <w:szCs w:val="24"/>
          <w:lang w:val="ro-RO"/>
        </w:rPr>
        <w:t xml:space="preserve"> din anul 2019 se aprobă alocații pentru investiții per proiect în majorare (anul 2019 – 17,4 mil. lei, anul 2020 – 20,8 mil. lei, anul 2021 – 20,8 mil. lei</w:t>
      </w:r>
      <w:r>
        <w:rPr>
          <w:rFonts w:ascii="Times New Roman" w:hAnsi="Times New Roman" w:cs="Times New Roman"/>
          <w:sz w:val="24"/>
          <w:szCs w:val="24"/>
          <w:lang w:val="ro-RO"/>
        </w:rPr>
        <w:t>,</w:t>
      </w:r>
      <w:r w:rsidR="00BA1D73" w:rsidRPr="00650D66">
        <w:rPr>
          <w:rFonts w:ascii="Times New Roman" w:hAnsi="Times New Roman" w:cs="Times New Roman"/>
          <w:sz w:val="24"/>
          <w:szCs w:val="24"/>
          <w:lang w:val="ro-RO"/>
        </w:rPr>
        <w:t xml:space="preserve"> și în anul 2022 – 23,7 mil. lei)</w:t>
      </w:r>
      <w:r>
        <w:rPr>
          <w:rFonts w:ascii="Times New Roman" w:hAnsi="Times New Roman" w:cs="Times New Roman"/>
          <w:sz w:val="24"/>
          <w:szCs w:val="24"/>
          <w:lang w:val="ro-RO"/>
        </w:rPr>
        <w:t>,</w:t>
      </w:r>
      <w:r w:rsidR="006969E4" w:rsidRPr="00650D66">
        <w:rPr>
          <w:rFonts w:ascii="Times New Roman" w:hAnsi="Times New Roman" w:cs="Times New Roman"/>
          <w:sz w:val="24"/>
          <w:szCs w:val="24"/>
          <w:lang w:val="ro-RO"/>
        </w:rPr>
        <w:t xml:space="preserve"> dar până la situația din 31.12.2022 nu au fost executate alocațiile aprobate. Potrivit motivației BNM,</w:t>
      </w:r>
      <w:r w:rsidR="003A510D" w:rsidRPr="00650D66">
        <w:rPr>
          <w:rFonts w:ascii="Times New Roman" w:hAnsi="Times New Roman" w:cs="Times New Roman"/>
          <w:sz w:val="24"/>
          <w:szCs w:val="24"/>
          <w:lang w:val="ro-RO"/>
        </w:rPr>
        <w:t xml:space="preserve"> principalul factor de temporizare </w:t>
      </w:r>
      <w:r>
        <w:rPr>
          <w:rFonts w:ascii="Times New Roman" w:hAnsi="Times New Roman" w:cs="Times New Roman"/>
          <w:sz w:val="24"/>
          <w:szCs w:val="24"/>
          <w:lang w:val="ro-RO"/>
        </w:rPr>
        <w:t>este</w:t>
      </w:r>
      <w:r w:rsidR="003A510D" w:rsidRPr="00650D66">
        <w:rPr>
          <w:rFonts w:ascii="Times New Roman" w:hAnsi="Times New Roman" w:cs="Times New Roman"/>
          <w:sz w:val="24"/>
          <w:szCs w:val="24"/>
          <w:lang w:val="ro-RO"/>
        </w:rPr>
        <w:t xml:space="preserve"> derularea </w:t>
      </w:r>
      <w:r w:rsidR="00E33872" w:rsidRPr="00650D66">
        <w:rPr>
          <w:rFonts w:ascii="Times New Roman" w:hAnsi="Times New Roman" w:cs="Times New Roman"/>
          <w:sz w:val="24"/>
          <w:szCs w:val="24"/>
          <w:lang w:val="ro-RO"/>
        </w:rPr>
        <w:t>procedurilor</w:t>
      </w:r>
      <w:r w:rsidR="00E563DC" w:rsidRPr="00650D66">
        <w:rPr>
          <w:rFonts w:ascii="Times New Roman" w:hAnsi="Times New Roman" w:cs="Times New Roman"/>
          <w:sz w:val="24"/>
          <w:szCs w:val="24"/>
          <w:lang w:val="ro-RO"/>
        </w:rPr>
        <w:t xml:space="preserve"> de achiziție, revizuirea strategiei de dezvoltare a plăților în RM, proces care a fost finalizat cu un nou concept </w:t>
      </w:r>
      <w:r>
        <w:rPr>
          <w:rFonts w:ascii="Times New Roman" w:hAnsi="Times New Roman" w:cs="Times New Roman"/>
          <w:sz w:val="24"/>
          <w:szCs w:val="24"/>
          <w:lang w:val="ro-RO"/>
        </w:rPr>
        <w:t>„</w:t>
      </w:r>
      <w:r w:rsidR="00E563DC" w:rsidRPr="00650D66">
        <w:rPr>
          <w:rFonts w:ascii="Times New Roman" w:hAnsi="Times New Roman" w:cs="Times New Roman"/>
          <w:sz w:val="24"/>
          <w:szCs w:val="24"/>
          <w:lang w:val="ro-RO"/>
        </w:rPr>
        <w:t xml:space="preserve">privind dezvoltarea domeniului de plăți </w:t>
      </w:r>
      <w:r w:rsidR="00040E4A" w:rsidRPr="00650D66">
        <w:rPr>
          <w:rFonts w:ascii="Times New Roman" w:hAnsi="Times New Roman" w:cs="Times New Roman"/>
          <w:sz w:val="24"/>
          <w:szCs w:val="24"/>
          <w:lang w:val="ro-RO"/>
        </w:rPr>
        <w:t>din RM”</w:t>
      </w:r>
      <w:r>
        <w:rPr>
          <w:rFonts w:ascii="Times New Roman" w:hAnsi="Times New Roman" w:cs="Times New Roman"/>
          <w:sz w:val="24"/>
          <w:szCs w:val="24"/>
          <w:lang w:val="ro-RO"/>
        </w:rPr>
        <w:t>,</w:t>
      </w:r>
      <w:r w:rsidR="00040E4A" w:rsidRPr="00650D66">
        <w:rPr>
          <w:rFonts w:ascii="Times New Roman" w:hAnsi="Times New Roman" w:cs="Times New Roman"/>
          <w:sz w:val="24"/>
          <w:szCs w:val="24"/>
          <w:lang w:val="ro-RO"/>
        </w:rPr>
        <w:t xml:space="preserve"> aprobat prin HCE nr.</w:t>
      </w:r>
      <w:r w:rsidR="00E563DC" w:rsidRPr="00650D66">
        <w:rPr>
          <w:rFonts w:ascii="Times New Roman" w:hAnsi="Times New Roman" w:cs="Times New Roman"/>
          <w:sz w:val="24"/>
          <w:szCs w:val="24"/>
          <w:lang w:val="ro-RO"/>
        </w:rPr>
        <w:t xml:space="preserve">84 la data de 27.03.2020. În plus, un alt factor de temporizare a fost asociat cu necesitatea finalizării modernizării SAPI, considerată precondiție esențială pentru a demara implementarea componentei de plăți instant. </w:t>
      </w:r>
      <w:r w:rsidR="00BA272D" w:rsidRPr="00650D66">
        <w:rPr>
          <w:rFonts w:ascii="Times New Roman" w:hAnsi="Times New Roman" w:cs="Times New Roman"/>
          <w:sz w:val="24"/>
          <w:szCs w:val="24"/>
          <w:lang w:val="ro-RO"/>
        </w:rPr>
        <w:t xml:space="preserve">În anul 2022 </w:t>
      </w:r>
      <w:r w:rsidR="00371B60" w:rsidRPr="00650D66">
        <w:rPr>
          <w:rFonts w:ascii="Times New Roman" w:hAnsi="Times New Roman" w:cs="Times New Roman"/>
          <w:sz w:val="24"/>
          <w:szCs w:val="24"/>
          <w:lang w:val="ro-RO"/>
        </w:rPr>
        <w:t>a fost</w:t>
      </w:r>
      <w:r w:rsidR="00BA272D" w:rsidRPr="00650D66">
        <w:rPr>
          <w:rFonts w:ascii="Times New Roman" w:hAnsi="Times New Roman" w:cs="Times New Roman"/>
          <w:sz w:val="24"/>
          <w:szCs w:val="24"/>
          <w:lang w:val="ro-RO"/>
        </w:rPr>
        <w:t xml:space="preserve"> încheiat </w:t>
      </w:r>
      <w:r w:rsidR="00371B60" w:rsidRPr="00650D66">
        <w:rPr>
          <w:rFonts w:ascii="Times New Roman" w:hAnsi="Times New Roman" w:cs="Times New Roman"/>
          <w:sz w:val="24"/>
          <w:szCs w:val="24"/>
          <w:lang w:val="ro-RO"/>
        </w:rPr>
        <w:t xml:space="preserve">un </w:t>
      </w:r>
      <w:r w:rsidR="00BA272D" w:rsidRPr="00650D66">
        <w:rPr>
          <w:rFonts w:ascii="Times New Roman" w:hAnsi="Times New Roman" w:cs="Times New Roman"/>
          <w:sz w:val="24"/>
          <w:szCs w:val="24"/>
          <w:lang w:val="ro-RO"/>
        </w:rPr>
        <w:t>contract</w:t>
      </w:r>
      <w:r w:rsidR="00BA272D" w:rsidRPr="00650D66">
        <w:rPr>
          <w:rStyle w:val="FootnoteReference"/>
          <w:rFonts w:ascii="Times New Roman" w:hAnsi="Times New Roman" w:cs="Times New Roman"/>
          <w:sz w:val="24"/>
          <w:szCs w:val="24"/>
          <w:lang w:val="ro-RO"/>
        </w:rPr>
        <w:footnoteReference w:id="30"/>
      </w:r>
      <w:r w:rsidR="00371B60" w:rsidRPr="00650D66">
        <w:rPr>
          <w:rFonts w:ascii="Times New Roman" w:hAnsi="Times New Roman" w:cs="Times New Roman"/>
          <w:sz w:val="24"/>
          <w:szCs w:val="24"/>
          <w:lang w:val="ro-RO"/>
        </w:rPr>
        <w:t xml:space="preserve"> în sumă de 603,1 mii </w:t>
      </w:r>
      <w:r w:rsidR="00DF1740">
        <w:rPr>
          <w:rFonts w:ascii="Times New Roman" w:hAnsi="Times New Roman" w:cs="Times New Roman"/>
          <w:sz w:val="24"/>
          <w:szCs w:val="24"/>
          <w:lang w:val="ro-RO"/>
        </w:rPr>
        <w:t>dolari SUA</w:t>
      </w:r>
      <w:r w:rsidR="00371B60" w:rsidRPr="00650D66">
        <w:rPr>
          <w:rFonts w:ascii="Times New Roman" w:hAnsi="Times New Roman" w:cs="Times New Roman"/>
          <w:sz w:val="24"/>
          <w:szCs w:val="24"/>
          <w:lang w:val="ro-RO"/>
        </w:rPr>
        <w:t>,</w:t>
      </w:r>
      <w:r w:rsidR="00270E51" w:rsidRPr="00650D66">
        <w:rPr>
          <w:rFonts w:ascii="Times New Roman" w:hAnsi="Times New Roman" w:cs="Times New Roman"/>
          <w:sz w:val="24"/>
          <w:szCs w:val="24"/>
          <w:lang w:val="ro-RO"/>
        </w:rPr>
        <w:t xml:space="preserve"> dar nu au fost executate cheltuieli,</w:t>
      </w:r>
      <w:r w:rsidR="003A510D" w:rsidRPr="00650D66">
        <w:rPr>
          <w:rFonts w:ascii="Times New Roman" w:hAnsi="Times New Roman" w:cs="Times New Roman"/>
          <w:sz w:val="24"/>
          <w:szCs w:val="24"/>
          <w:lang w:val="ro-RO"/>
        </w:rPr>
        <w:t xml:space="preserve"> </w:t>
      </w:r>
      <w:r w:rsidR="00371B60" w:rsidRPr="00650D66">
        <w:rPr>
          <w:rFonts w:ascii="Times New Roman" w:hAnsi="Times New Roman" w:cs="Times New Roman"/>
          <w:sz w:val="24"/>
          <w:szCs w:val="24"/>
          <w:lang w:val="ro-RO"/>
        </w:rPr>
        <w:t>c</w:t>
      </w:r>
      <w:r w:rsidR="003A510D" w:rsidRPr="00650D66">
        <w:rPr>
          <w:rFonts w:ascii="Times New Roman" w:hAnsi="Times New Roman" w:cs="Times New Roman"/>
          <w:sz w:val="24"/>
          <w:szCs w:val="24"/>
          <w:lang w:val="ro-RO"/>
        </w:rPr>
        <w:t>onform Planului de proiect executarea contractului se extinde pentru anii 2023-2024</w:t>
      </w:r>
      <w:r w:rsidR="00DF1740">
        <w:rPr>
          <w:rFonts w:ascii="Times New Roman" w:hAnsi="Times New Roman" w:cs="Times New Roman"/>
          <w:sz w:val="24"/>
          <w:szCs w:val="24"/>
          <w:lang w:val="ro-RO"/>
        </w:rPr>
        <w:t>;</w:t>
      </w:r>
    </w:p>
    <w:p w14:paraId="152A0AEF" w14:textId="77777777" w:rsidR="00DE1864" w:rsidRPr="00650D66" w:rsidRDefault="00DE1864" w:rsidP="00DE1864">
      <w:pPr>
        <w:pStyle w:val="ListParagraph"/>
        <w:tabs>
          <w:tab w:val="left" w:pos="426"/>
        </w:tabs>
        <w:spacing w:line="276" w:lineRule="auto"/>
        <w:ind w:left="0"/>
        <w:jc w:val="both"/>
        <w:rPr>
          <w:rFonts w:ascii="Times New Roman" w:hAnsi="Times New Roman" w:cs="Times New Roman"/>
          <w:sz w:val="6"/>
          <w:szCs w:val="6"/>
          <w:lang w:val="ro-RO"/>
        </w:rPr>
      </w:pPr>
    </w:p>
    <w:p w14:paraId="08F23B82" w14:textId="2E1C3841" w:rsidR="00175A3E" w:rsidRPr="00650D66" w:rsidRDefault="00DF1740" w:rsidP="00430F18">
      <w:pPr>
        <w:pStyle w:val="ListParagraph"/>
        <w:tabs>
          <w:tab w:val="left" w:pos="426"/>
        </w:tabs>
        <w:spacing w:line="276" w:lineRule="auto"/>
        <w:ind w:left="0"/>
        <w:jc w:val="both"/>
        <w:rPr>
          <w:rFonts w:ascii="Times New Roman" w:hAnsi="Times New Roman" w:cs="Times New Roman"/>
          <w:i/>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00430F18" w:rsidRPr="00650D66">
        <w:rPr>
          <w:rFonts w:ascii="Times New Roman" w:hAnsi="Times New Roman" w:cs="Times New Roman"/>
          <w:sz w:val="24"/>
          <w:szCs w:val="24"/>
          <w:lang w:val="ro-RO"/>
        </w:rPr>
        <w:t>-</w:t>
      </w:r>
      <w:r w:rsidR="00175A3E" w:rsidRPr="00650D66">
        <w:rPr>
          <w:rFonts w:ascii="Times New Roman" w:hAnsi="Times New Roman" w:cs="Times New Roman"/>
          <w:sz w:val="24"/>
          <w:szCs w:val="24"/>
          <w:lang w:val="ro-RO"/>
        </w:rPr>
        <w:t xml:space="preserve"> </w:t>
      </w:r>
      <w:r w:rsidR="00AE78A3" w:rsidRPr="00650D66">
        <w:rPr>
          <w:rFonts w:ascii="Times New Roman" w:hAnsi="Times New Roman" w:cs="Times New Roman"/>
          <w:sz w:val="24"/>
          <w:szCs w:val="24"/>
          <w:lang w:val="ro-RO"/>
        </w:rPr>
        <w:t>pentru proiectul</w:t>
      </w:r>
      <w:r w:rsidR="00B75724" w:rsidRPr="00650D66">
        <w:rPr>
          <w:rFonts w:ascii="Times New Roman" w:hAnsi="Times New Roman" w:cs="Times New Roman"/>
          <w:sz w:val="24"/>
          <w:szCs w:val="24"/>
          <w:lang w:val="ro-RO"/>
        </w:rPr>
        <w:t xml:space="preserve"> </w:t>
      </w:r>
      <w:r w:rsidR="00B75724" w:rsidRPr="00650D66">
        <w:rPr>
          <w:rFonts w:ascii="Times New Roman" w:hAnsi="Times New Roman" w:cs="Times New Roman"/>
          <w:i/>
          <w:sz w:val="24"/>
          <w:szCs w:val="24"/>
          <w:lang w:val="ro-RO"/>
        </w:rPr>
        <w:t>,,Dezvoltarea funcționalităților soluției pentru eficientizarea procesului de licențiere, autorizare și notificare”</w:t>
      </w:r>
      <w:r w:rsidR="00B75724" w:rsidRPr="00650D66">
        <w:rPr>
          <w:rFonts w:ascii="Times New Roman" w:hAnsi="Times New Roman" w:cs="Times New Roman"/>
          <w:sz w:val="24"/>
          <w:szCs w:val="24"/>
          <w:lang w:val="ro-RO"/>
        </w:rPr>
        <w:t xml:space="preserve">, </w:t>
      </w:r>
      <w:r w:rsidR="00175A3E" w:rsidRPr="00650D66">
        <w:rPr>
          <w:rFonts w:ascii="Times New Roman" w:hAnsi="Times New Roman" w:cs="Times New Roman"/>
          <w:sz w:val="24"/>
          <w:szCs w:val="24"/>
          <w:lang w:val="ro-RO"/>
        </w:rPr>
        <w:t>s-a aprobat decizia de inițiere a proiectului și</w:t>
      </w:r>
      <w:r>
        <w:rPr>
          <w:rFonts w:ascii="Times New Roman" w:hAnsi="Times New Roman" w:cs="Times New Roman"/>
          <w:sz w:val="24"/>
          <w:szCs w:val="24"/>
          <w:lang w:val="ro-RO"/>
        </w:rPr>
        <w:t>,</w:t>
      </w:r>
      <w:r w:rsidR="00175A3E" w:rsidRPr="00650D66">
        <w:rPr>
          <w:rFonts w:ascii="Times New Roman" w:hAnsi="Times New Roman" w:cs="Times New Roman"/>
          <w:sz w:val="24"/>
          <w:szCs w:val="24"/>
          <w:lang w:val="ro-RO"/>
        </w:rPr>
        <w:t xml:space="preserve"> respectiv</w:t>
      </w:r>
      <w:r>
        <w:rPr>
          <w:rFonts w:ascii="Times New Roman" w:hAnsi="Times New Roman" w:cs="Times New Roman"/>
          <w:sz w:val="24"/>
          <w:szCs w:val="24"/>
          <w:lang w:val="ro-RO"/>
        </w:rPr>
        <w:t>,</w:t>
      </w:r>
      <w:r w:rsidR="00175A3E" w:rsidRPr="00650D66">
        <w:rPr>
          <w:rFonts w:ascii="Times New Roman" w:hAnsi="Times New Roman" w:cs="Times New Roman"/>
          <w:sz w:val="24"/>
          <w:szCs w:val="24"/>
          <w:lang w:val="ro-RO"/>
        </w:rPr>
        <w:t xml:space="preserve"> de alocare a mijloacelor financiare în alocațiile pentru investiții ale BNM</w:t>
      </w:r>
      <w:r w:rsidR="003A510D" w:rsidRPr="00650D66">
        <w:rPr>
          <w:rFonts w:ascii="Times New Roman" w:hAnsi="Times New Roman" w:cs="Times New Roman"/>
          <w:sz w:val="24"/>
          <w:szCs w:val="24"/>
          <w:lang w:val="ro-RO"/>
        </w:rPr>
        <w:t xml:space="preserve"> (în anul 2019 – 2,0 mil. lei, în anul 2020 – 1,8 mil. lei)</w:t>
      </w:r>
      <w:r w:rsidR="00175A3E" w:rsidRPr="00650D66">
        <w:rPr>
          <w:rFonts w:ascii="Times New Roman" w:hAnsi="Times New Roman" w:cs="Times New Roman"/>
          <w:sz w:val="24"/>
          <w:szCs w:val="24"/>
          <w:lang w:val="ro-RO"/>
        </w:rPr>
        <w:t xml:space="preserve">, </w:t>
      </w:r>
      <w:r w:rsidR="009469D3">
        <w:rPr>
          <w:rFonts w:ascii="Times New Roman" w:hAnsi="Times New Roman" w:cs="Times New Roman"/>
          <w:sz w:val="24"/>
          <w:szCs w:val="24"/>
          <w:lang w:val="ro-RO"/>
        </w:rPr>
        <w:t xml:space="preserve">ulterior s-a renunțat la proiect în perioada 2021-2022, </w:t>
      </w:r>
      <w:r w:rsidR="000E2897" w:rsidRPr="00650D66">
        <w:rPr>
          <w:rFonts w:ascii="Times New Roman" w:hAnsi="Times New Roman" w:cs="Times New Roman"/>
          <w:sz w:val="24"/>
          <w:szCs w:val="24"/>
          <w:lang w:val="ro-RO"/>
        </w:rPr>
        <w:t>nefiind executate alocațiile</w:t>
      </w:r>
      <w:r w:rsidR="006B2A63" w:rsidRPr="00650D66">
        <w:rPr>
          <w:rFonts w:ascii="Times New Roman" w:hAnsi="Times New Roman" w:cs="Times New Roman"/>
          <w:i/>
          <w:sz w:val="24"/>
          <w:szCs w:val="24"/>
          <w:lang w:val="ro-RO"/>
        </w:rPr>
        <w:t xml:space="preserve">. </w:t>
      </w:r>
      <w:r w:rsidR="007F0294" w:rsidRPr="00650D66">
        <w:rPr>
          <w:rFonts w:ascii="Times New Roman" w:hAnsi="Times New Roman" w:cs="Times New Roman"/>
          <w:sz w:val="24"/>
          <w:szCs w:val="24"/>
          <w:lang w:val="ro-RO"/>
        </w:rPr>
        <w:t xml:space="preserve">Potrivit explicației BNM, neexecutarea alocațiilor respective are la bază necesitatea elaborării </w:t>
      </w:r>
      <w:r w:rsidR="007F0294" w:rsidRPr="00650D66">
        <w:rPr>
          <w:rFonts w:ascii="Times New Roman" w:hAnsi="Times New Roman" w:cs="Times New Roman"/>
          <w:i/>
          <w:sz w:val="24"/>
          <w:szCs w:val="24"/>
          <w:u w:val="single"/>
          <w:lang w:val="ro-RO"/>
        </w:rPr>
        <w:t xml:space="preserve">unui </w:t>
      </w:r>
      <w:r w:rsidR="00E957A0" w:rsidRPr="00650D66">
        <w:rPr>
          <w:rFonts w:ascii="Times New Roman" w:hAnsi="Times New Roman" w:cs="Times New Roman"/>
          <w:i/>
          <w:sz w:val="24"/>
          <w:szCs w:val="24"/>
          <w:u w:val="single"/>
          <w:lang w:val="ro-RO"/>
        </w:rPr>
        <w:t xml:space="preserve">nou </w:t>
      </w:r>
      <w:r w:rsidR="007F0294" w:rsidRPr="00650D66">
        <w:rPr>
          <w:rFonts w:ascii="Times New Roman" w:hAnsi="Times New Roman" w:cs="Times New Roman"/>
          <w:i/>
          <w:sz w:val="24"/>
          <w:szCs w:val="24"/>
          <w:u w:val="single"/>
          <w:lang w:val="ro-RO"/>
        </w:rPr>
        <w:t xml:space="preserve">concept </w:t>
      </w:r>
      <w:r w:rsidR="007F0294" w:rsidRPr="00650D66">
        <w:rPr>
          <w:rFonts w:ascii="Times New Roman" w:hAnsi="Times New Roman" w:cs="Times New Roman"/>
          <w:sz w:val="24"/>
          <w:szCs w:val="24"/>
          <w:lang w:val="ro-RO"/>
        </w:rPr>
        <w:t>în vederea dezvoltării funcționalităților sistemului informativ cu privire la licențiere, autorizare și notificare (CRM), corelat cu o analiză amplă pe aspecte de supraveghere a diferitor domenii în cadrul BNM, în contextul preluării noilor atribuții de la Comisia Națională a Pieței Financiare.</w:t>
      </w:r>
      <w:r w:rsidR="007F0294" w:rsidRPr="00650D66">
        <w:rPr>
          <w:rFonts w:ascii="Times New Roman" w:hAnsi="Times New Roman" w:cs="Times New Roman"/>
          <w:i/>
          <w:sz w:val="24"/>
          <w:szCs w:val="24"/>
          <w:lang w:val="ro-RO"/>
        </w:rPr>
        <w:t xml:space="preserve"> </w:t>
      </w:r>
      <w:r w:rsidR="006B2A63" w:rsidRPr="00650D66">
        <w:rPr>
          <w:rFonts w:ascii="Times New Roman" w:hAnsi="Times New Roman" w:cs="Times New Roman"/>
          <w:i/>
          <w:sz w:val="24"/>
          <w:szCs w:val="24"/>
          <w:lang w:val="ro-RO"/>
        </w:rPr>
        <w:t xml:space="preserve">Sinteza alocațiilor pentru investiții aprobate și executate </w:t>
      </w:r>
      <w:r w:rsidR="006B2A63" w:rsidRPr="00650D66">
        <w:rPr>
          <w:rFonts w:ascii="Times New Roman" w:hAnsi="Times New Roman" w:cs="Times New Roman"/>
          <w:i/>
          <w:sz w:val="24"/>
          <w:szCs w:val="24"/>
          <w:lang w:val="ro-RO"/>
        </w:rPr>
        <w:lastRenderedPageBreak/>
        <w:t>în perioada 2019-2022 pentru proiecte cu termenul de execuție mai mari de un an, se prezintă în Anexa nr.3 la prezentul Raport de audit.</w:t>
      </w:r>
    </w:p>
    <w:p w14:paraId="4FE1A50B" w14:textId="58F647DE" w:rsidR="00175A3E" w:rsidRPr="00650D66" w:rsidRDefault="00760104" w:rsidP="00175A3E">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Concomitent</w:t>
      </w:r>
      <w:r w:rsidR="00175A3E" w:rsidRPr="00650D66">
        <w:rPr>
          <w:rFonts w:ascii="Times New Roman" w:hAnsi="Times New Roman" w:cs="Times New Roman"/>
          <w:sz w:val="24"/>
          <w:szCs w:val="24"/>
          <w:lang w:val="ro-RO"/>
        </w:rPr>
        <w:t>, în anul 2022 la ,,Mijloace fixe de gospodărie” au fost executate alocații în sumă de 0,5 mil. lei</w:t>
      </w:r>
      <w:r w:rsidR="005A73D1">
        <w:rPr>
          <w:rFonts w:ascii="Times New Roman" w:hAnsi="Times New Roman" w:cs="Times New Roman"/>
          <w:sz w:val="24"/>
          <w:szCs w:val="24"/>
          <w:lang w:val="ro-RO"/>
        </w:rPr>
        <w:t>,</w:t>
      </w:r>
      <w:r w:rsidR="00175A3E" w:rsidRPr="00650D66">
        <w:rPr>
          <w:rFonts w:ascii="Times New Roman" w:hAnsi="Times New Roman" w:cs="Times New Roman"/>
          <w:sz w:val="24"/>
          <w:szCs w:val="24"/>
          <w:lang w:val="ro-RO"/>
        </w:rPr>
        <w:t xml:space="preserve"> sau doar 9,8% față de suma planificată. Auditul denotă că, pe parcursul a 3 ani BNM a planificat alocații pentru achiziționarea autovehiculelor </w:t>
      </w:r>
      <w:r w:rsidR="00175A3E" w:rsidRPr="00650D66">
        <w:rPr>
          <w:rFonts w:ascii="Times New Roman" w:hAnsi="Times New Roman" w:cs="Times New Roman"/>
          <w:i/>
          <w:sz w:val="24"/>
          <w:szCs w:val="24"/>
          <w:lang w:val="ro-RO"/>
        </w:rPr>
        <w:t>(</w:t>
      </w:r>
      <w:r w:rsidR="005A73D1">
        <w:rPr>
          <w:rFonts w:ascii="Times New Roman" w:hAnsi="Times New Roman" w:cs="Times New Roman"/>
          <w:i/>
          <w:sz w:val="24"/>
          <w:szCs w:val="24"/>
          <w:lang w:val="ro-RO"/>
        </w:rPr>
        <w:t>a</w:t>
      </w:r>
      <w:r w:rsidR="00175A3E" w:rsidRPr="00650D66">
        <w:rPr>
          <w:rFonts w:ascii="Times New Roman" w:hAnsi="Times New Roman" w:cs="Times New Roman"/>
          <w:i/>
          <w:sz w:val="24"/>
          <w:szCs w:val="24"/>
          <w:lang w:val="ro-RO"/>
        </w:rPr>
        <w:t>nul 2022 – 3,7 mil. lei, anul 2021 – 1,8 mil. lei, anul 2020 – 1,3 mil. lei)</w:t>
      </w:r>
      <w:r w:rsidR="00175A3E" w:rsidRPr="00650D66">
        <w:rPr>
          <w:rFonts w:ascii="Times New Roman" w:hAnsi="Times New Roman" w:cs="Times New Roman"/>
          <w:sz w:val="24"/>
          <w:szCs w:val="24"/>
          <w:lang w:val="ro-RO"/>
        </w:rPr>
        <w:t xml:space="preserve">, dar până la finele anului 2022 nu au fost procurate. Motivațiile BNM </w:t>
      </w:r>
      <w:r w:rsidR="005A73D1">
        <w:rPr>
          <w:rFonts w:ascii="Times New Roman" w:hAnsi="Times New Roman" w:cs="Times New Roman"/>
          <w:sz w:val="24"/>
          <w:szCs w:val="24"/>
          <w:lang w:val="ro-RO"/>
        </w:rPr>
        <w:t>au fost următoarele</w:t>
      </w:r>
      <w:r w:rsidR="00175A3E" w:rsidRPr="00650D66">
        <w:rPr>
          <w:rFonts w:ascii="Times New Roman" w:hAnsi="Times New Roman" w:cs="Times New Roman"/>
          <w:sz w:val="24"/>
          <w:szCs w:val="24"/>
          <w:lang w:val="ro-RO"/>
        </w:rPr>
        <w:t xml:space="preserve">: </w:t>
      </w:r>
      <w:r w:rsidR="00175A3E" w:rsidRPr="00650D66">
        <w:rPr>
          <w:rFonts w:ascii="Times New Roman" w:hAnsi="Times New Roman" w:cs="Times New Roman"/>
          <w:i/>
          <w:sz w:val="24"/>
          <w:szCs w:val="24"/>
          <w:lang w:val="ro-RO"/>
        </w:rPr>
        <w:t>(i)</w:t>
      </w:r>
      <w:r w:rsidR="00175A3E" w:rsidRPr="00650D66">
        <w:rPr>
          <w:rFonts w:ascii="Times New Roman" w:hAnsi="Times New Roman" w:cs="Times New Roman"/>
          <w:sz w:val="24"/>
          <w:szCs w:val="24"/>
          <w:lang w:val="ro-RO"/>
        </w:rPr>
        <w:t xml:space="preserve"> în anul 2020, în legătură cu pandemi</w:t>
      </w:r>
      <w:r w:rsidR="0096330E">
        <w:rPr>
          <w:rFonts w:ascii="Times New Roman" w:hAnsi="Times New Roman" w:cs="Times New Roman"/>
          <w:sz w:val="24"/>
          <w:szCs w:val="24"/>
          <w:lang w:val="ro-RO"/>
        </w:rPr>
        <w:t>a</w:t>
      </w:r>
      <w:r w:rsidR="00175A3E" w:rsidRPr="00650D66">
        <w:rPr>
          <w:rFonts w:ascii="Times New Roman" w:hAnsi="Times New Roman" w:cs="Times New Roman"/>
          <w:sz w:val="24"/>
          <w:szCs w:val="24"/>
          <w:lang w:val="ro-RO"/>
        </w:rPr>
        <w:t xml:space="preserve"> și declararea situației de urgență în RM, achiziția nu a fost inițiată; </w:t>
      </w:r>
      <w:r w:rsidR="00175A3E" w:rsidRPr="00650D66">
        <w:rPr>
          <w:rFonts w:ascii="Times New Roman" w:hAnsi="Times New Roman" w:cs="Times New Roman"/>
          <w:i/>
          <w:sz w:val="24"/>
          <w:szCs w:val="24"/>
          <w:lang w:val="ro-RO"/>
        </w:rPr>
        <w:t>(ii)</w:t>
      </w:r>
      <w:r w:rsidR="00175A3E" w:rsidRPr="00650D66">
        <w:rPr>
          <w:rFonts w:ascii="Times New Roman" w:hAnsi="Times New Roman" w:cs="Times New Roman"/>
          <w:b/>
          <w:sz w:val="24"/>
          <w:szCs w:val="24"/>
          <w:lang w:val="ro-RO"/>
        </w:rPr>
        <w:t xml:space="preserve"> </w:t>
      </w:r>
      <w:r w:rsidR="00175A3E" w:rsidRPr="00650D66">
        <w:rPr>
          <w:rFonts w:ascii="Times New Roman" w:hAnsi="Times New Roman" w:cs="Times New Roman"/>
          <w:sz w:val="24"/>
          <w:szCs w:val="24"/>
          <w:lang w:val="ro-RO"/>
        </w:rPr>
        <w:t>în anul 2021, în legătură cu situația pandemică</w:t>
      </w:r>
      <w:r w:rsidR="005A73D1">
        <w:rPr>
          <w:rFonts w:ascii="Times New Roman" w:hAnsi="Times New Roman" w:cs="Times New Roman"/>
          <w:sz w:val="24"/>
          <w:szCs w:val="24"/>
          <w:lang w:val="ro-RO"/>
        </w:rPr>
        <w:t>,</w:t>
      </w:r>
      <w:r w:rsidR="00175A3E" w:rsidRPr="00650D66">
        <w:rPr>
          <w:rFonts w:ascii="Times New Roman" w:hAnsi="Times New Roman" w:cs="Times New Roman"/>
          <w:sz w:val="24"/>
          <w:szCs w:val="24"/>
          <w:lang w:val="ro-RO"/>
        </w:rPr>
        <w:t xml:space="preserve"> achiziția a fost amânată pentru anul 2022; </w:t>
      </w:r>
      <w:r w:rsidR="00175A3E" w:rsidRPr="00650D66">
        <w:rPr>
          <w:rFonts w:ascii="Times New Roman" w:hAnsi="Times New Roman" w:cs="Times New Roman"/>
          <w:i/>
          <w:sz w:val="24"/>
          <w:szCs w:val="24"/>
          <w:lang w:val="ro-RO"/>
        </w:rPr>
        <w:t xml:space="preserve">(iii) </w:t>
      </w:r>
      <w:r w:rsidR="00175A3E" w:rsidRPr="00650D66">
        <w:rPr>
          <w:rFonts w:ascii="Times New Roman" w:hAnsi="Times New Roman" w:cs="Times New Roman"/>
          <w:sz w:val="24"/>
          <w:szCs w:val="24"/>
          <w:lang w:val="ro-RO"/>
        </w:rPr>
        <w:t>în anul 2022, în contextul incertitudinilor legate de situația din regiune, achiziția a fost transferată în anul 2023.</w:t>
      </w:r>
    </w:p>
    <w:p w14:paraId="1E858764" w14:textId="13364634" w:rsidR="008116D5" w:rsidRPr="00650D66" w:rsidRDefault="002C01FE" w:rsidP="00175A3E">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BNM a mai invocat că nu po</w:t>
      </w:r>
      <w:r w:rsidR="001B5F52">
        <w:rPr>
          <w:rFonts w:ascii="Times New Roman" w:hAnsi="Times New Roman" w:cs="Times New Roman"/>
          <w:sz w:val="24"/>
          <w:szCs w:val="24"/>
          <w:lang w:val="ro-RO"/>
        </w:rPr>
        <w:t>a</w:t>
      </w:r>
      <w:r w:rsidRPr="00650D66">
        <w:rPr>
          <w:rFonts w:ascii="Times New Roman" w:hAnsi="Times New Roman" w:cs="Times New Roman"/>
          <w:sz w:val="24"/>
          <w:szCs w:val="24"/>
          <w:lang w:val="ro-RO"/>
        </w:rPr>
        <w:t>t</w:t>
      </w:r>
      <w:r w:rsidR="001B5F52">
        <w:rPr>
          <w:rFonts w:ascii="Times New Roman" w:hAnsi="Times New Roman" w:cs="Times New Roman"/>
          <w:sz w:val="24"/>
          <w:szCs w:val="24"/>
          <w:lang w:val="ro-RO"/>
        </w:rPr>
        <w:t>e</w:t>
      </w:r>
      <w:r w:rsidRPr="00650D66">
        <w:rPr>
          <w:rFonts w:ascii="Times New Roman" w:hAnsi="Times New Roman" w:cs="Times New Roman"/>
          <w:sz w:val="24"/>
          <w:szCs w:val="24"/>
          <w:lang w:val="ro-RO"/>
        </w:rPr>
        <w:t xml:space="preserve"> aplica prevederile </w:t>
      </w:r>
      <w:r w:rsidR="00A972AF" w:rsidRPr="00650D66">
        <w:rPr>
          <w:rFonts w:ascii="Times New Roman" w:hAnsi="Times New Roman" w:cs="Times New Roman"/>
          <w:sz w:val="24"/>
          <w:szCs w:val="24"/>
          <w:lang w:val="ro-RO"/>
        </w:rPr>
        <w:t>Legii nr.121 din 04.05.2007</w:t>
      </w:r>
      <w:r w:rsidRPr="00650D66">
        <w:rPr>
          <w:rStyle w:val="FootnoteReference"/>
          <w:rFonts w:ascii="Times New Roman" w:hAnsi="Times New Roman" w:cs="Times New Roman"/>
          <w:sz w:val="24"/>
          <w:szCs w:val="24"/>
          <w:lang w:val="ro-RO"/>
        </w:rPr>
        <w:footnoteReference w:id="31"/>
      </w:r>
      <w:r w:rsidR="00A972AF" w:rsidRPr="00650D66">
        <w:rPr>
          <w:rFonts w:ascii="Times New Roman" w:hAnsi="Times New Roman" w:cs="Times New Roman"/>
          <w:sz w:val="24"/>
          <w:szCs w:val="24"/>
          <w:lang w:val="ro-RO"/>
        </w:rPr>
        <w:t xml:space="preserve"> </w:t>
      </w:r>
      <w:r w:rsidR="001B5F52">
        <w:rPr>
          <w:rFonts w:ascii="Times New Roman" w:hAnsi="Times New Roman" w:cs="Times New Roman"/>
          <w:sz w:val="24"/>
          <w:szCs w:val="24"/>
          <w:lang w:val="ro-RO"/>
        </w:rPr>
        <w:t>(</w:t>
      </w:r>
      <w:r w:rsidR="00A972AF" w:rsidRPr="00650D66">
        <w:rPr>
          <w:rFonts w:ascii="Times New Roman" w:hAnsi="Times New Roman" w:cs="Times New Roman"/>
          <w:i/>
          <w:sz w:val="24"/>
          <w:szCs w:val="24"/>
          <w:lang w:val="ro-RO"/>
        </w:rPr>
        <w:t>,,activele neutilizate pot fi vândute la decizia consiliului întreprinderii de stat/municipale sau al societății comerciale cu capital integral sau majoritar public, având acordul prealabil al autorității administrației publice centrale sau locale”</w:t>
      </w:r>
      <w:r w:rsidR="001B5F52">
        <w:rPr>
          <w:rFonts w:ascii="Times New Roman" w:hAnsi="Times New Roman" w:cs="Times New Roman"/>
          <w:i/>
          <w:sz w:val="24"/>
          <w:szCs w:val="24"/>
          <w:lang w:val="ro-RO"/>
        </w:rPr>
        <w:t>)</w:t>
      </w:r>
      <w:r w:rsidR="00A972AF" w:rsidRPr="00650D66">
        <w:rPr>
          <w:rFonts w:ascii="Times New Roman" w:hAnsi="Times New Roman" w:cs="Times New Roman"/>
          <w:i/>
          <w:sz w:val="24"/>
          <w:szCs w:val="24"/>
          <w:lang w:val="ro-RO"/>
        </w:rPr>
        <w:t>,</w:t>
      </w:r>
      <w:r w:rsidR="004559FC" w:rsidRPr="00650D66">
        <w:rPr>
          <w:rFonts w:ascii="Times New Roman" w:hAnsi="Times New Roman" w:cs="Times New Roman"/>
          <w:sz w:val="24"/>
          <w:szCs w:val="24"/>
          <w:lang w:val="ro-RO"/>
        </w:rPr>
        <w:t xml:space="preserve"> iar </w:t>
      </w:r>
      <w:r w:rsidR="00AC5BAF" w:rsidRPr="00650D66">
        <w:rPr>
          <w:rFonts w:ascii="Times New Roman" w:hAnsi="Times New Roman" w:cs="Times New Roman"/>
          <w:sz w:val="24"/>
          <w:szCs w:val="24"/>
          <w:lang w:val="ro-RO"/>
        </w:rPr>
        <w:t>î</w:t>
      </w:r>
      <w:r w:rsidR="008116D5" w:rsidRPr="00650D66">
        <w:rPr>
          <w:rFonts w:ascii="Times New Roman" w:hAnsi="Times New Roman" w:cs="Times New Roman"/>
          <w:sz w:val="24"/>
          <w:szCs w:val="24"/>
          <w:lang w:val="ro-RO"/>
        </w:rPr>
        <w:t xml:space="preserve">n cadrul BNM nu este aprobat un Regulament pentru </w:t>
      </w:r>
      <w:r w:rsidR="00FE753B" w:rsidRPr="00650D66">
        <w:rPr>
          <w:rFonts w:ascii="Times New Roman" w:hAnsi="Times New Roman" w:cs="Times New Roman"/>
          <w:sz w:val="24"/>
          <w:szCs w:val="24"/>
          <w:lang w:val="ro-RO"/>
        </w:rPr>
        <w:t>comercializarea bunurilor neutilizate</w:t>
      </w:r>
      <w:r w:rsidR="008116D5" w:rsidRPr="00650D66">
        <w:rPr>
          <w:rFonts w:ascii="Times New Roman" w:hAnsi="Times New Roman" w:cs="Times New Roman"/>
          <w:sz w:val="24"/>
          <w:szCs w:val="24"/>
          <w:lang w:val="ro-RO"/>
        </w:rPr>
        <w:t xml:space="preserve"> </w:t>
      </w:r>
      <w:r w:rsidR="00063C2F" w:rsidRPr="00650D66">
        <w:rPr>
          <w:rFonts w:ascii="Times New Roman" w:hAnsi="Times New Roman" w:cs="Times New Roman"/>
          <w:sz w:val="24"/>
          <w:szCs w:val="24"/>
          <w:lang w:val="ro-RO"/>
        </w:rPr>
        <w:t>de către</w:t>
      </w:r>
      <w:r w:rsidR="008116D5" w:rsidRPr="00650D66">
        <w:rPr>
          <w:rFonts w:ascii="Times New Roman" w:hAnsi="Times New Roman" w:cs="Times New Roman"/>
          <w:sz w:val="24"/>
          <w:szCs w:val="24"/>
          <w:lang w:val="ro-RO"/>
        </w:rPr>
        <w:t xml:space="preserve"> BNM propuse spre înlocuire, </w:t>
      </w:r>
      <w:r w:rsidR="004559FC" w:rsidRPr="00650D66">
        <w:rPr>
          <w:rFonts w:ascii="Times New Roman" w:hAnsi="Times New Roman" w:cs="Times New Roman"/>
          <w:sz w:val="24"/>
          <w:szCs w:val="24"/>
          <w:lang w:val="ro-RO"/>
        </w:rPr>
        <w:t xml:space="preserve">deoarece </w:t>
      </w:r>
      <w:r w:rsidR="008116D5" w:rsidRPr="00650D66">
        <w:rPr>
          <w:rFonts w:ascii="Times New Roman" w:hAnsi="Times New Roman" w:cs="Times New Roman"/>
          <w:sz w:val="24"/>
          <w:szCs w:val="24"/>
          <w:lang w:val="ro-RO"/>
        </w:rPr>
        <w:t>din anul 2020 s</w:t>
      </w:r>
      <w:r w:rsidR="005A73D1">
        <w:rPr>
          <w:rFonts w:ascii="Times New Roman" w:hAnsi="Times New Roman" w:cs="Times New Roman"/>
          <w:sz w:val="24"/>
          <w:szCs w:val="24"/>
          <w:lang w:val="ro-RO"/>
        </w:rPr>
        <w:t>u</w:t>
      </w:r>
      <w:r w:rsidR="008116D5" w:rsidRPr="00650D66">
        <w:rPr>
          <w:rFonts w:ascii="Times New Roman" w:hAnsi="Times New Roman" w:cs="Times New Roman"/>
          <w:sz w:val="24"/>
          <w:szCs w:val="24"/>
          <w:lang w:val="ro-RO"/>
        </w:rPr>
        <w:t xml:space="preserve">nt întreprinse acțiuni de modificare a Legii </w:t>
      </w:r>
      <w:r w:rsidR="0096330E">
        <w:rPr>
          <w:rFonts w:ascii="Times New Roman" w:hAnsi="Times New Roman" w:cs="Times New Roman"/>
          <w:sz w:val="24"/>
          <w:szCs w:val="24"/>
          <w:lang w:val="ro-RO"/>
        </w:rPr>
        <w:t>organice,</w:t>
      </w:r>
      <w:r w:rsidR="008116D5" w:rsidRPr="00650D66">
        <w:rPr>
          <w:rFonts w:ascii="Times New Roman" w:hAnsi="Times New Roman" w:cs="Times New Roman"/>
          <w:sz w:val="24"/>
          <w:szCs w:val="24"/>
          <w:lang w:val="ro-RO"/>
        </w:rPr>
        <w:t xml:space="preserve"> cu includerea dreptului </w:t>
      </w:r>
      <w:r w:rsidR="00AC5BAF" w:rsidRPr="00650D66">
        <w:rPr>
          <w:rFonts w:ascii="Times New Roman" w:hAnsi="Times New Roman" w:cs="Times New Roman"/>
          <w:sz w:val="24"/>
          <w:szCs w:val="24"/>
          <w:lang w:val="ro-RO"/>
        </w:rPr>
        <w:t xml:space="preserve">BNM </w:t>
      </w:r>
      <w:r w:rsidR="008116D5" w:rsidRPr="00650D66">
        <w:rPr>
          <w:rFonts w:ascii="Times New Roman" w:hAnsi="Times New Roman" w:cs="Times New Roman"/>
          <w:sz w:val="24"/>
          <w:szCs w:val="24"/>
          <w:lang w:val="ro-RO"/>
        </w:rPr>
        <w:t>de a înstrăina bunurile scoase din uz. Astfel, nu pot fi achiziționate autovehicule noi până nu este o certitudine privind modalitatea de scoatere din evidența contabilă a bunurilor depășite moral și tehnic.</w:t>
      </w:r>
    </w:p>
    <w:p w14:paraId="03A7CC7E" w14:textId="77777777" w:rsidR="00AA675C" w:rsidRPr="00650D66" w:rsidRDefault="00AA675C" w:rsidP="00175A3E">
      <w:pPr>
        <w:spacing w:after="0" w:line="276" w:lineRule="auto"/>
        <w:jc w:val="both"/>
        <w:rPr>
          <w:rFonts w:ascii="Times New Roman" w:hAnsi="Times New Roman" w:cs="Times New Roman"/>
          <w:sz w:val="6"/>
          <w:szCs w:val="6"/>
          <w:lang w:val="ro-RO"/>
        </w:rPr>
      </w:pPr>
    </w:p>
    <w:p w14:paraId="575CA3FC" w14:textId="5EF5D386" w:rsidR="00EA466A" w:rsidRPr="00650D66" w:rsidRDefault="00E928BD" w:rsidP="00EA466A">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Totodată, a</w:t>
      </w:r>
      <w:r w:rsidR="00EA466A" w:rsidRPr="00650D66">
        <w:rPr>
          <w:rFonts w:ascii="Times New Roman" w:hAnsi="Times New Roman" w:cs="Times New Roman"/>
          <w:sz w:val="24"/>
          <w:szCs w:val="24"/>
          <w:lang w:val="ro-RO"/>
        </w:rPr>
        <w:t xml:space="preserve">uditul a constatat că BNM </w:t>
      </w:r>
      <w:r w:rsidR="00EA466A" w:rsidRPr="00650D66">
        <w:rPr>
          <w:rFonts w:ascii="Times New Roman" w:hAnsi="Times New Roman" w:cs="Times New Roman"/>
          <w:i/>
          <w:sz w:val="24"/>
          <w:szCs w:val="24"/>
          <w:lang w:val="ro-RO"/>
        </w:rPr>
        <w:t>planifică anual unele alocații în devizul de cheltuieli care nu se execută în decurs de 4 ani</w:t>
      </w:r>
      <w:r w:rsidR="00EA466A" w:rsidRPr="00650D66">
        <w:rPr>
          <w:rFonts w:ascii="Times New Roman" w:hAnsi="Times New Roman" w:cs="Times New Roman"/>
          <w:sz w:val="24"/>
          <w:szCs w:val="24"/>
          <w:lang w:val="ro-RO"/>
        </w:rPr>
        <w:t xml:space="preserve"> sau se execută la un nivel scăzut. Exemplificăm unele dintre acestea:</w:t>
      </w:r>
    </w:p>
    <w:p w14:paraId="180BECD1" w14:textId="417819EF" w:rsidR="00EA466A" w:rsidRPr="00BF3D67" w:rsidRDefault="0096330E" w:rsidP="0096330E">
      <w:pPr>
        <w:pStyle w:val="ListParagraph"/>
        <w:numPr>
          <w:ilvl w:val="0"/>
          <w:numId w:val="4"/>
        </w:numPr>
        <w:tabs>
          <w:tab w:val="left" w:pos="142"/>
        </w:tabs>
        <w:spacing w:after="0" w:line="276" w:lineRule="auto"/>
        <w:ind w:left="0" w:firstLine="0"/>
        <w:jc w:val="both"/>
        <w:rPr>
          <w:rFonts w:ascii="Times New Roman" w:hAnsi="Times New Roman" w:cs="Times New Roman"/>
          <w:sz w:val="24"/>
          <w:szCs w:val="24"/>
          <w:lang w:val="ro-RO"/>
        </w:rPr>
      </w:pPr>
      <w:r w:rsidRPr="0096330E">
        <w:rPr>
          <w:rFonts w:ascii="Times New Roman" w:hAnsi="Times New Roman" w:cs="Times New Roman"/>
          <w:sz w:val="24"/>
          <w:szCs w:val="24"/>
          <w:lang w:val="ro-RO"/>
        </w:rPr>
        <w:t xml:space="preserve">din anul 2019 </w:t>
      </w:r>
      <w:r w:rsidR="00EA466A" w:rsidRPr="0096330E">
        <w:rPr>
          <w:rFonts w:ascii="Times New Roman" w:hAnsi="Times New Roman" w:cs="Times New Roman"/>
          <w:sz w:val="24"/>
          <w:szCs w:val="24"/>
          <w:lang w:val="ro-RO"/>
        </w:rPr>
        <w:t xml:space="preserve">BNM a aprobat </w:t>
      </w:r>
      <w:r w:rsidR="009F5EE5" w:rsidRPr="0096330E">
        <w:rPr>
          <w:rFonts w:ascii="Times New Roman" w:hAnsi="Times New Roman" w:cs="Times New Roman"/>
          <w:sz w:val="24"/>
          <w:szCs w:val="24"/>
          <w:lang w:val="ro-RO"/>
        </w:rPr>
        <w:t>cheltuieli</w:t>
      </w:r>
      <w:r w:rsidR="00EA466A" w:rsidRPr="0096330E">
        <w:rPr>
          <w:rFonts w:ascii="Times New Roman" w:hAnsi="Times New Roman" w:cs="Times New Roman"/>
          <w:sz w:val="24"/>
          <w:szCs w:val="24"/>
          <w:lang w:val="ro-RO"/>
        </w:rPr>
        <w:t xml:space="preserve"> pentru reparația curentă a edificiului, dar</w:t>
      </w:r>
      <w:r w:rsidRPr="0096330E">
        <w:rPr>
          <w:rFonts w:ascii="Times New Roman" w:hAnsi="Times New Roman" w:cs="Times New Roman"/>
          <w:sz w:val="24"/>
          <w:szCs w:val="24"/>
          <w:lang w:val="ro-RO"/>
        </w:rPr>
        <w:t xml:space="preserve"> acestea</w:t>
      </w:r>
      <w:r w:rsidR="00EA466A" w:rsidRPr="0096330E">
        <w:rPr>
          <w:rFonts w:ascii="Times New Roman" w:hAnsi="Times New Roman" w:cs="Times New Roman"/>
          <w:sz w:val="24"/>
          <w:szCs w:val="24"/>
          <w:lang w:val="ro-RO"/>
        </w:rPr>
        <w:t xml:space="preserve"> au fost executate parțial doar în anul 2022. Astfel, în acest scop, în anul 2019 s-a</w:t>
      </w:r>
      <w:r w:rsidRPr="0096330E">
        <w:rPr>
          <w:rFonts w:ascii="Times New Roman" w:hAnsi="Times New Roman" w:cs="Times New Roman"/>
          <w:sz w:val="24"/>
          <w:szCs w:val="24"/>
          <w:lang w:val="ro-RO"/>
        </w:rPr>
        <w:t>u</w:t>
      </w:r>
      <w:r w:rsidR="00EA466A" w:rsidRPr="0096330E">
        <w:rPr>
          <w:rFonts w:ascii="Times New Roman" w:hAnsi="Times New Roman" w:cs="Times New Roman"/>
          <w:sz w:val="24"/>
          <w:szCs w:val="24"/>
          <w:lang w:val="ro-RO"/>
        </w:rPr>
        <w:t xml:space="preserve"> planificat 2,7 mil. lei (executat</w:t>
      </w:r>
      <w:r w:rsidRPr="0096330E">
        <w:rPr>
          <w:rFonts w:ascii="Times New Roman" w:hAnsi="Times New Roman" w:cs="Times New Roman"/>
          <w:sz w:val="24"/>
          <w:szCs w:val="24"/>
          <w:lang w:val="ro-RO"/>
        </w:rPr>
        <w:t>e</w:t>
      </w:r>
      <w:r w:rsidR="00EA466A" w:rsidRPr="0096330E">
        <w:rPr>
          <w:rFonts w:ascii="Times New Roman" w:hAnsi="Times New Roman" w:cs="Times New Roman"/>
          <w:sz w:val="24"/>
          <w:szCs w:val="24"/>
          <w:lang w:val="ro-RO"/>
        </w:rPr>
        <w:t xml:space="preserve"> </w:t>
      </w:r>
      <w:r w:rsidRPr="0096330E">
        <w:rPr>
          <w:rFonts w:ascii="Times New Roman" w:hAnsi="Times New Roman" w:cs="Times New Roman"/>
          <w:sz w:val="24"/>
          <w:szCs w:val="24"/>
          <w:lang w:val="ro-RO"/>
        </w:rPr>
        <w:t xml:space="preserve">– </w:t>
      </w:r>
      <w:r w:rsidR="00EA466A" w:rsidRPr="0096330E">
        <w:rPr>
          <w:rFonts w:ascii="Times New Roman" w:hAnsi="Times New Roman" w:cs="Times New Roman"/>
          <w:sz w:val="24"/>
          <w:szCs w:val="24"/>
          <w:lang w:val="ro-RO"/>
        </w:rPr>
        <w:t>0,4 mil. lei), în anul 2020 – 8,4 mil. lei (executat</w:t>
      </w:r>
      <w:r>
        <w:rPr>
          <w:rFonts w:ascii="Times New Roman" w:hAnsi="Times New Roman" w:cs="Times New Roman"/>
          <w:sz w:val="24"/>
          <w:szCs w:val="24"/>
          <w:lang w:val="ro-RO"/>
        </w:rPr>
        <w:t>e</w:t>
      </w:r>
      <w:r w:rsidR="00EA466A" w:rsidRPr="0096330E">
        <w:rPr>
          <w:rFonts w:ascii="Times New Roman" w:hAnsi="Times New Roman" w:cs="Times New Roman"/>
          <w:sz w:val="24"/>
          <w:szCs w:val="24"/>
          <w:lang w:val="ro-RO"/>
        </w:rPr>
        <w:t xml:space="preserve"> </w:t>
      </w:r>
      <w:r w:rsidRPr="0034443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EA466A" w:rsidRPr="0096330E">
        <w:rPr>
          <w:rFonts w:ascii="Times New Roman" w:hAnsi="Times New Roman" w:cs="Times New Roman"/>
          <w:sz w:val="24"/>
          <w:szCs w:val="24"/>
          <w:lang w:val="ro-RO"/>
        </w:rPr>
        <w:t>8,97 mii lei), în anul 2021 – 8,4 mil. lei (executat</w:t>
      </w:r>
      <w:r>
        <w:rPr>
          <w:rFonts w:ascii="Times New Roman" w:hAnsi="Times New Roman" w:cs="Times New Roman"/>
          <w:sz w:val="24"/>
          <w:szCs w:val="24"/>
          <w:lang w:val="ro-RO"/>
        </w:rPr>
        <w:t xml:space="preserve">e </w:t>
      </w:r>
      <w:r w:rsidRPr="00344431">
        <w:rPr>
          <w:rFonts w:ascii="Times New Roman" w:hAnsi="Times New Roman" w:cs="Times New Roman"/>
          <w:sz w:val="24"/>
          <w:szCs w:val="24"/>
          <w:lang w:val="ro-RO"/>
        </w:rPr>
        <w:t>–</w:t>
      </w:r>
      <w:r w:rsidR="00EA466A" w:rsidRPr="0096330E">
        <w:rPr>
          <w:rFonts w:ascii="Times New Roman" w:hAnsi="Times New Roman" w:cs="Times New Roman"/>
          <w:sz w:val="24"/>
          <w:szCs w:val="24"/>
          <w:lang w:val="ro-RO"/>
        </w:rPr>
        <w:t xml:space="preserve"> 0,7 mil. lei)</w:t>
      </w:r>
      <w:r>
        <w:rPr>
          <w:rFonts w:ascii="Times New Roman" w:hAnsi="Times New Roman" w:cs="Times New Roman"/>
          <w:sz w:val="24"/>
          <w:szCs w:val="24"/>
          <w:lang w:val="ro-RO"/>
        </w:rPr>
        <w:t>,</w:t>
      </w:r>
      <w:r w:rsidR="00EA466A" w:rsidRPr="0096330E">
        <w:rPr>
          <w:rFonts w:ascii="Times New Roman" w:hAnsi="Times New Roman" w:cs="Times New Roman"/>
          <w:sz w:val="24"/>
          <w:szCs w:val="24"/>
          <w:lang w:val="ro-RO"/>
        </w:rPr>
        <w:t xml:space="preserve"> și în anul 2022 s-a</w:t>
      </w:r>
      <w:r>
        <w:rPr>
          <w:rFonts w:ascii="Times New Roman" w:hAnsi="Times New Roman" w:cs="Times New Roman"/>
          <w:sz w:val="24"/>
          <w:szCs w:val="24"/>
          <w:lang w:val="ro-RO"/>
        </w:rPr>
        <w:t>u</w:t>
      </w:r>
      <w:r w:rsidR="00EA466A" w:rsidRPr="0096330E">
        <w:rPr>
          <w:rFonts w:ascii="Times New Roman" w:hAnsi="Times New Roman" w:cs="Times New Roman"/>
          <w:sz w:val="24"/>
          <w:szCs w:val="24"/>
          <w:lang w:val="ro-RO"/>
        </w:rPr>
        <w:t xml:space="preserve"> planificat 7,7 mil. lei</w:t>
      </w:r>
      <w:r>
        <w:rPr>
          <w:rFonts w:ascii="Times New Roman" w:hAnsi="Times New Roman" w:cs="Times New Roman"/>
          <w:sz w:val="24"/>
          <w:szCs w:val="24"/>
          <w:lang w:val="ro-RO"/>
        </w:rPr>
        <w:t>,</w:t>
      </w:r>
      <w:r w:rsidR="00EA466A" w:rsidRPr="0096330E">
        <w:rPr>
          <w:rFonts w:ascii="Times New Roman" w:hAnsi="Times New Roman" w:cs="Times New Roman"/>
          <w:sz w:val="24"/>
          <w:szCs w:val="24"/>
          <w:lang w:val="ro-RO"/>
        </w:rPr>
        <w:t xml:space="preserve"> din care au fost executate 5,4 mil. lei.</w:t>
      </w:r>
      <w:r w:rsidR="00185BCA" w:rsidRPr="0096330E">
        <w:rPr>
          <w:rFonts w:ascii="Times New Roman" w:hAnsi="Times New Roman" w:cs="Times New Roman"/>
          <w:sz w:val="24"/>
          <w:szCs w:val="24"/>
          <w:lang w:val="ro-RO"/>
        </w:rPr>
        <w:t xml:space="preserve"> Potrivit explicațiilor BNM, în anii 2020-2021 majoritatea achizițiilor aferente reparațiilor au fost suspendate din cauza pandemiei COVID</w:t>
      </w:r>
      <w:r w:rsidR="00BF3D67">
        <w:rPr>
          <w:rFonts w:ascii="Times New Roman" w:hAnsi="Times New Roman" w:cs="Times New Roman"/>
          <w:sz w:val="24"/>
          <w:szCs w:val="24"/>
          <w:lang w:val="ro-RO"/>
        </w:rPr>
        <w:t>-</w:t>
      </w:r>
      <w:r w:rsidR="00185BCA" w:rsidRPr="0096330E">
        <w:rPr>
          <w:rFonts w:ascii="Times New Roman" w:hAnsi="Times New Roman" w:cs="Times New Roman"/>
          <w:sz w:val="24"/>
          <w:szCs w:val="24"/>
          <w:lang w:val="ro-RO"/>
        </w:rPr>
        <w:t>19, iar în anul 2022 unele achiziții au fost repu</w:t>
      </w:r>
      <w:r w:rsidR="00185BCA" w:rsidRPr="00BA51D4">
        <w:rPr>
          <w:rFonts w:ascii="Times New Roman" w:hAnsi="Times New Roman" w:cs="Times New Roman"/>
          <w:sz w:val="24"/>
          <w:szCs w:val="24"/>
          <w:lang w:val="ro-RO"/>
        </w:rPr>
        <w:t>blicate de câteva ori din mai multe motive, cum ar fi: neparticiparea operatorilor economici, contestațiile depuse sau anularea achiziției, unele achiziții începute la sfârșitul anului 2022</w:t>
      </w:r>
      <w:r w:rsidR="00BF3D67">
        <w:rPr>
          <w:rFonts w:ascii="Times New Roman" w:hAnsi="Times New Roman" w:cs="Times New Roman"/>
          <w:sz w:val="24"/>
          <w:szCs w:val="24"/>
          <w:lang w:val="ro-RO"/>
        </w:rPr>
        <w:t>;</w:t>
      </w:r>
    </w:p>
    <w:p w14:paraId="1C88C17B" w14:textId="77777777" w:rsidR="00EA466A" w:rsidRPr="00650D66" w:rsidRDefault="00EA466A" w:rsidP="00EA466A">
      <w:pPr>
        <w:pStyle w:val="ListParagraph"/>
        <w:tabs>
          <w:tab w:val="left" w:pos="142"/>
        </w:tabs>
        <w:spacing w:after="0" w:line="276" w:lineRule="auto"/>
        <w:ind w:left="0"/>
        <w:jc w:val="both"/>
        <w:rPr>
          <w:rFonts w:ascii="Times New Roman" w:hAnsi="Times New Roman" w:cs="Times New Roman"/>
          <w:sz w:val="6"/>
          <w:szCs w:val="6"/>
          <w:lang w:val="ro-RO"/>
        </w:rPr>
      </w:pPr>
    </w:p>
    <w:p w14:paraId="45733DF6" w14:textId="3787BE3E" w:rsidR="00EA466A" w:rsidRPr="00650D66" w:rsidRDefault="00EA466A" w:rsidP="00EA466A">
      <w:pPr>
        <w:pStyle w:val="ListParagraph"/>
        <w:numPr>
          <w:ilvl w:val="0"/>
          <w:numId w:val="4"/>
        </w:numPr>
        <w:tabs>
          <w:tab w:val="left" w:pos="142"/>
        </w:tabs>
        <w:spacing w:after="0" w:line="276" w:lineRule="auto"/>
        <w:ind w:left="0" w:firstLine="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anual BNM planifică </w:t>
      </w:r>
      <w:r w:rsidR="00CF3D88" w:rsidRPr="00650D66">
        <w:rPr>
          <w:rFonts w:ascii="Times New Roman" w:hAnsi="Times New Roman" w:cs="Times New Roman"/>
          <w:sz w:val="24"/>
          <w:szCs w:val="24"/>
          <w:lang w:val="ro-RO"/>
        </w:rPr>
        <w:t>cheltuieli</w:t>
      </w:r>
      <w:r w:rsidRPr="00650D66">
        <w:rPr>
          <w:rFonts w:ascii="Times New Roman" w:hAnsi="Times New Roman" w:cs="Times New Roman"/>
          <w:sz w:val="24"/>
          <w:szCs w:val="24"/>
          <w:lang w:val="ro-RO"/>
        </w:rPr>
        <w:t xml:space="preserve"> pentru servicii de consultanță și reprezentanță juridică în caz de necesitate, dar </w:t>
      </w:r>
      <w:r w:rsidR="00BF3D67">
        <w:rPr>
          <w:rFonts w:ascii="Times New Roman" w:hAnsi="Times New Roman" w:cs="Times New Roman"/>
          <w:sz w:val="24"/>
          <w:szCs w:val="24"/>
          <w:lang w:val="ro-RO"/>
        </w:rPr>
        <w:t xml:space="preserve">care </w:t>
      </w:r>
      <w:r w:rsidRPr="00650D66">
        <w:rPr>
          <w:rFonts w:ascii="Times New Roman" w:hAnsi="Times New Roman" w:cs="Times New Roman"/>
          <w:sz w:val="24"/>
          <w:szCs w:val="24"/>
          <w:lang w:val="ro-RO"/>
        </w:rPr>
        <w:t>nu se execută. Astfel, în anul 2022 au fost planificate alocații în sumă de 4,9 mil. lei</w:t>
      </w:r>
      <w:r w:rsidR="00BF3D67">
        <w:rPr>
          <w:rFonts w:ascii="Times New Roman" w:hAnsi="Times New Roman" w:cs="Times New Roman"/>
          <w:sz w:val="24"/>
          <w:szCs w:val="24"/>
          <w:lang w:val="ro-RO"/>
        </w:rPr>
        <w:t>, acestea</w:t>
      </w:r>
      <w:r w:rsidRPr="00650D66">
        <w:rPr>
          <w:rFonts w:ascii="Times New Roman" w:hAnsi="Times New Roman" w:cs="Times New Roman"/>
          <w:sz w:val="24"/>
          <w:szCs w:val="24"/>
          <w:lang w:val="ro-RO"/>
        </w:rPr>
        <w:t xml:space="preserve"> nefiind executate, în anul 2021 au fost planificate 4,4 mil. lei</w:t>
      </w:r>
      <w:r w:rsidR="00BF3D6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fiind executate </w:t>
      </w:r>
      <w:r w:rsidR="001A00A4" w:rsidRPr="00650D66">
        <w:rPr>
          <w:rFonts w:ascii="Times New Roman" w:hAnsi="Times New Roman" w:cs="Times New Roman"/>
          <w:sz w:val="24"/>
          <w:szCs w:val="24"/>
          <w:lang w:val="ro-RO"/>
        </w:rPr>
        <w:t>0,02 mil.</w:t>
      </w:r>
      <w:r w:rsidRPr="00650D66">
        <w:rPr>
          <w:rFonts w:ascii="Times New Roman" w:hAnsi="Times New Roman" w:cs="Times New Roman"/>
          <w:sz w:val="24"/>
          <w:szCs w:val="24"/>
          <w:lang w:val="ro-RO"/>
        </w:rPr>
        <w:t xml:space="preserve"> lei, în anul 2020 au fost planificate 1,4 mil. lei</w:t>
      </w:r>
      <w:r w:rsidR="00BF3D6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fiind executate </w:t>
      </w:r>
      <w:r w:rsidR="001A00A4" w:rsidRPr="00650D66">
        <w:rPr>
          <w:rFonts w:ascii="Times New Roman" w:hAnsi="Times New Roman" w:cs="Times New Roman"/>
          <w:sz w:val="24"/>
          <w:szCs w:val="24"/>
          <w:lang w:val="ro-RO"/>
        </w:rPr>
        <w:t>0,16 mil.</w:t>
      </w:r>
      <w:r w:rsidRPr="00650D66">
        <w:rPr>
          <w:rFonts w:ascii="Times New Roman" w:hAnsi="Times New Roman" w:cs="Times New Roman"/>
          <w:sz w:val="24"/>
          <w:szCs w:val="24"/>
          <w:lang w:val="ro-RO"/>
        </w:rPr>
        <w:t xml:space="preserve"> lei</w:t>
      </w:r>
      <w:r w:rsidR="00BF3D6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în anul 2019 au fost planificate 2,2 mil. lei</w:t>
      </w:r>
      <w:r w:rsidR="00BF3D6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fiind executate </w:t>
      </w:r>
      <w:r w:rsidR="001A00A4" w:rsidRPr="00650D66">
        <w:rPr>
          <w:rFonts w:ascii="Times New Roman" w:hAnsi="Times New Roman" w:cs="Times New Roman"/>
          <w:sz w:val="24"/>
          <w:szCs w:val="24"/>
          <w:lang w:val="ro-RO"/>
        </w:rPr>
        <w:t xml:space="preserve">0,03 mil. </w:t>
      </w:r>
      <w:r w:rsidRPr="00650D66">
        <w:rPr>
          <w:rFonts w:ascii="Times New Roman" w:hAnsi="Times New Roman" w:cs="Times New Roman"/>
          <w:sz w:val="24"/>
          <w:szCs w:val="24"/>
          <w:lang w:val="ro-RO"/>
        </w:rPr>
        <w:t>lei</w:t>
      </w:r>
      <w:r w:rsidR="00BF3D67">
        <w:rPr>
          <w:rFonts w:ascii="Times New Roman" w:hAnsi="Times New Roman" w:cs="Times New Roman"/>
          <w:sz w:val="24"/>
          <w:szCs w:val="24"/>
          <w:lang w:val="ro-RO"/>
        </w:rPr>
        <w:t>;</w:t>
      </w:r>
    </w:p>
    <w:p w14:paraId="711CDBA2" w14:textId="77777777" w:rsidR="00EA466A" w:rsidRPr="00650D66" w:rsidRDefault="00EA466A" w:rsidP="00EA466A">
      <w:pPr>
        <w:pStyle w:val="ListParagraph"/>
        <w:tabs>
          <w:tab w:val="left" w:pos="142"/>
        </w:tabs>
        <w:spacing w:after="0" w:line="276" w:lineRule="auto"/>
        <w:ind w:left="0"/>
        <w:jc w:val="both"/>
        <w:rPr>
          <w:rFonts w:ascii="Times New Roman" w:hAnsi="Times New Roman" w:cs="Times New Roman"/>
          <w:sz w:val="6"/>
          <w:szCs w:val="6"/>
          <w:lang w:val="ro-RO"/>
        </w:rPr>
      </w:pPr>
    </w:p>
    <w:p w14:paraId="7B22CAD0" w14:textId="532F3D51" w:rsidR="008103A3" w:rsidRPr="00650D66" w:rsidRDefault="00EA466A" w:rsidP="009E5556">
      <w:pPr>
        <w:pStyle w:val="ListParagraph"/>
        <w:numPr>
          <w:ilvl w:val="0"/>
          <w:numId w:val="4"/>
        </w:numPr>
        <w:tabs>
          <w:tab w:val="left" w:pos="142"/>
        </w:tabs>
        <w:spacing w:after="120" w:line="276" w:lineRule="auto"/>
        <w:ind w:left="0" w:firstLine="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au fost planificate </w:t>
      </w:r>
      <w:r w:rsidR="003206AE" w:rsidRPr="00650D66">
        <w:rPr>
          <w:rFonts w:ascii="Times New Roman" w:hAnsi="Times New Roman" w:cs="Times New Roman"/>
          <w:sz w:val="24"/>
          <w:szCs w:val="24"/>
          <w:lang w:val="ro-RO"/>
        </w:rPr>
        <w:t>cheltuieli</w:t>
      </w:r>
      <w:r w:rsidRPr="00650D66">
        <w:rPr>
          <w:rFonts w:ascii="Times New Roman" w:hAnsi="Times New Roman" w:cs="Times New Roman"/>
          <w:sz w:val="24"/>
          <w:szCs w:val="24"/>
          <w:lang w:val="ro-RO"/>
        </w:rPr>
        <w:t xml:space="preserve"> </w:t>
      </w:r>
      <w:r w:rsidR="00295B43" w:rsidRPr="00650D66">
        <w:rPr>
          <w:rFonts w:ascii="Times New Roman" w:hAnsi="Times New Roman" w:cs="Times New Roman"/>
          <w:sz w:val="24"/>
          <w:szCs w:val="24"/>
          <w:lang w:val="ro-RO"/>
        </w:rPr>
        <w:t xml:space="preserve">pentru realizarea anuală sau lansarea proiectelor informaționale semnificative </w:t>
      </w:r>
      <w:r w:rsidR="00BF3D67">
        <w:rPr>
          <w:rFonts w:ascii="Times New Roman" w:hAnsi="Times New Roman" w:cs="Times New Roman"/>
          <w:sz w:val="24"/>
          <w:szCs w:val="24"/>
          <w:lang w:val="ro-RO"/>
        </w:rPr>
        <w:t>privind</w:t>
      </w:r>
      <w:r w:rsidR="00295B43" w:rsidRPr="00650D66">
        <w:rPr>
          <w:rFonts w:ascii="Times New Roman" w:hAnsi="Times New Roman" w:cs="Times New Roman"/>
          <w:sz w:val="24"/>
          <w:szCs w:val="24"/>
          <w:lang w:val="ro-RO"/>
        </w:rPr>
        <w:t xml:space="preserve"> serviciil</w:t>
      </w:r>
      <w:r w:rsidR="00BF3D67">
        <w:rPr>
          <w:rFonts w:ascii="Times New Roman" w:hAnsi="Times New Roman" w:cs="Times New Roman"/>
          <w:sz w:val="24"/>
          <w:szCs w:val="24"/>
          <w:lang w:val="ro-RO"/>
        </w:rPr>
        <w:t>e</w:t>
      </w:r>
      <w:r w:rsidR="00295B43" w:rsidRPr="00650D66">
        <w:rPr>
          <w:rFonts w:ascii="Times New Roman" w:hAnsi="Times New Roman" w:cs="Times New Roman"/>
          <w:sz w:val="24"/>
          <w:szCs w:val="24"/>
          <w:lang w:val="ro-RO"/>
        </w:rPr>
        <w:t xml:space="preserve"> de </w:t>
      </w:r>
      <w:r w:rsidRPr="00650D66">
        <w:rPr>
          <w:rFonts w:ascii="Times New Roman" w:hAnsi="Times New Roman" w:cs="Times New Roman"/>
          <w:sz w:val="24"/>
          <w:szCs w:val="24"/>
          <w:lang w:val="ro-RO"/>
        </w:rPr>
        <w:t xml:space="preserve">testare a sistemelor informaționale </w:t>
      </w:r>
      <w:r w:rsidR="00295B43" w:rsidRPr="00650D66">
        <w:rPr>
          <w:rFonts w:ascii="Times New Roman" w:hAnsi="Times New Roman" w:cs="Times New Roman"/>
          <w:sz w:val="24"/>
          <w:szCs w:val="24"/>
          <w:lang w:val="ro-RO"/>
        </w:rPr>
        <w:t xml:space="preserve">la vulnerabilități, </w:t>
      </w:r>
      <w:r w:rsidRPr="00650D66">
        <w:rPr>
          <w:rFonts w:ascii="Times New Roman" w:hAnsi="Times New Roman" w:cs="Times New Roman"/>
          <w:sz w:val="24"/>
          <w:szCs w:val="24"/>
          <w:lang w:val="ro-RO"/>
        </w:rPr>
        <w:t>dar care până la finele anului 2022 nu au fost executate din diverse motive</w:t>
      </w:r>
      <w:r w:rsidR="00295B43" w:rsidRPr="00650D66">
        <w:rPr>
          <w:rFonts w:ascii="Times New Roman" w:hAnsi="Times New Roman" w:cs="Times New Roman"/>
          <w:sz w:val="24"/>
          <w:szCs w:val="24"/>
          <w:lang w:val="ro-RO"/>
        </w:rPr>
        <w:t>, fiind realizate proceduri de achiziții și servicii doar în an</w:t>
      </w:r>
      <w:r w:rsidR="00BF3D67">
        <w:rPr>
          <w:rFonts w:ascii="Times New Roman" w:hAnsi="Times New Roman" w:cs="Times New Roman"/>
          <w:sz w:val="24"/>
          <w:szCs w:val="24"/>
          <w:lang w:val="ro-RO"/>
        </w:rPr>
        <w:t>ii</w:t>
      </w:r>
      <w:r w:rsidR="00295B43" w:rsidRPr="00650D66">
        <w:rPr>
          <w:rFonts w:ascii="Times New Roman" w:hAnsi="Times New Roman" w:cs="Times New Roman"/>
          <w:sz w:val="24"/>
          <w:szCs w:val="24"/>
          <w:lang w:val="ro-RO"/>
        </w:rPr>
        <w:t xml:space="preserve"> 2020 și 2022</w:t>
      </w:r>
      <w:r w:rsidRPr="00650D66">
        <w:rPr>
          <w:rFonts w:ascii="Times New Roman" w:hAnsi="Times New Roman" w:cs="Times New Roman"/>
          <w:sz w:val="24"/>
          <w:szCs w:val="24"/>
          <w:lang w:val="ro-RO"/>
        </w:rPr>
        <w:t xml:space="preserve">. Astfel, </w:t>
      </w:r>
      <w:r w:rsidRPr="00650D66">
        <w:rPr>
          <w:rFonts w:ascii="Times New Roman" w:hAnsi="Times New Roman" w:cs="Times New Roman"/>
          <w:i/>
          <w:sz w:val="24"/>
          <w:szCs w:val="24"/>
          <w:lang w:val="ro-RO"/>
        </w:rPr>
        <w:t>(i)</w:t>
      </w:r>
      <w:r w:rsidRPr="00650D66">
        <w:rPr>
          <w:rFonts w:ascii="Times New Roman" w:hAnsi="Times New Roman" w:cs="Times New Roman"/>
          <w:sz w:val="24"/>
          <w:szCs w:val="24"/>
          <w:lang w:val="ro-RO"/>
        </w:rPr>
        <w:t xml:space="preserve"> în anul 2019 s-a</w:t>
      </w:r>
      <w:r w:rsidR="00BF3D67">
        <w:rPr>
          <w:rFonts w:ascii="Times New Roman" w:hAnsi="Times New Roman" w:cs="Times New Roman"/>
          <w:sz w:val="24"/>
          <w:szCs w:val="24"/>
          <w:lang w:val="ro-RO"/>
        </w:rPr>
        <w:t>u</w:t>
      </w:r>
      <w:r w:rsidRPr="00650D66">
        <w:rPr>
          <w:rFonts w:ascii="Times New Roman" w:hAnsi="Times New Roman" w:cs="Times New Roman"/>
          <w:sz w:val="24"/>
          <w:szCs w:val="24"/>
          <w:lang w:val="ro-RO"/>
        </w:rPr>
        <w:t xml:space="preserve"> planificat 0,4 mil. lei</w:t>
      </w:r>
      <w:r w:rsidR="00BF3D67">
        <w:rPr>
          <w:rFonts w:ascii="Times New Roman" w:hAnsi="Times New Roman" w:cs="Times New Roman"/>
          <w:sz w:val="24"/>
          <w:szCs w:val="24"/>
          <w:lang w:val="ro-RO"/>
        </w:rPr>
        <w:t xml:space="preserve"> însă</w:t>
      </w:r>
      <w:r w:rsidRPr="00650D66">
        <w:rPr>
          <w:rFonts w:ascii="Times New Roman" w:hAnsi="Times New Roman" w:cs="Times New Roman"/>
          <w:sz w:val="24"/>
          <w:szCs w:val="24"/>
          <w:lang w:val="ro-RO"/>
        </w:rPr>
        <w:t xml:space="preserve"> </w:t>
      </w:r>
      <w:r w:rsidR="00BF3D67">
        <w:rPr>
          <w:rFonts w:ascii="Times New Roman" w:hAnsi="Times New Roman" w:cs="Times New Roman"/>
          <w:sz w:val="24"/>
          <w:szCs w:val="24"/>
          <w:lang w:val="ro-RO"/>
        </w:rPr>
        <w:t xml:space="preserve">acestea </w:t>
      </w:r>
      <w:r w:rsidRPr="00650D66">
        <w:rPr>
          <w:rFonts w:ascii="Times New Roman" w:hAnsi="Times New Roman" w:cs="Times New Roman"/>
          <w:sz w:val="24"/>
          <w:szCs w:val="24"/>
          <w:lang w:val="ro-RO"/>
        </w:rPr>
        <w:t xml:space="preserve">nefiind executate din cauza că au fost realocate resursele </w:t>
      </w:r>
      <w:r w:rsidR="00CD60F3">
        <w:rPr>
          <w:rFonts w:ascii="Times New Roman" w:hAnsi="Times New Roman" w:cs="Times New Roman"/>
          <w:sz w:val="24"/>
          <w:szCs w:val="24"/>
          <w:lang w:val="ro-RO"/>
        </w:rPr>
        <w:t>la</w:t>
      </w:r>
      <w:r w:rsidRPr="00650D66">
        <w:rPr>
          <w:rFonts w:ascii="Times New Roman" w:hAnsi="Times New Roman" w:cs="Times New Roman"/>
          <w:sz w:val="24"/>
          <w:szCs w:val="24"/>
          <w:lang w:val="ro-RO"/>
        </w:rPr>
        <w:t xml:space="preserve"> alte proiecte de importanță strategică</w:t>
      </w:r>
      <w:r w:rsidR="00295B43" w:rsidRPr="00650D66">
        <w:rPr>
          <w:rFonts w:ascii="Times New Roman" w:hAnsi="Times New Roman" w:cs="Times New Roman"/>
          <w:sz w:val="24"/>
          <w:szCs w:val="24"/>
          <w:lang w:val="ro-RO"/>
        </w:rPr>
        <w:t xml:space="preserve"> și procedura de a</w:t>
      </w:r>
      <w:r w:rsidR="00920A97" w:rsidRPr="00650D66">
        <w:rPr>
          <w:rFonts w:ascii="Times New Roman" w:hAnsi="Times New Roman" w:cs="Times New Roman"/>
          <w:sz w:val="24"/>
          <w:szCs w:val="24"/>
          <w:lang w:val="ro-RO"/>
        </w:rPr>
        <w:t>chiziție a fost lansată în trimestrul</w:t>
      </w:r>
      <w:r w:rsidR="00295B43" w:rsidRPr="00650D66">
        <w:rPr>
          <w:rFonts w:ascii="Times New Roman" w:hAnsi="Times New Roman" w:cs="Times New Roman"/>
          <w:sz w:val="24"/>
          <w:szCs w:val="24"/>
          <w:lang w:val="ro-RO"/>
        </w:rPr>
        <w:t xml:space="preserve"> IV al anului 2019</w:t>
      </w:r>
      <w:r w:rsidRPr="00650D66">
        <w:rPr>
          <w:rFonts w:ascii="Times New Roman" w:hAnsi="Times New Roman" w:cs="Times New Roman"/>
          <w:sz w:val="24"/>
          <w:szCs w:val="24"/>
          <w:lang w:val="ro-RO"/>
        </w:rPr>
        <w:t xml:space="preserve">; </w:t>
      </w:r>
      <w:r w:rsidRPr="00650D66">
        <w:rPr>
          <w:rFonts w:ascii="Times New Roman" w:hAnsi="Times New Roman" w:cs="Times New Roman"/>
          <w:i/>
          <w:sz w:val="24"/>
          <w:szCs w:val="24"/>
          <w:lang w:val="ro-RO"/>
        </w:rPr>
        <w:t xml:space="preserve">(ii) </w:t>
      </w:r>
      <w:r w:rsidRPr="00650D66">
        <w:rPr>
          <w:rFonts w:ascii="Times New Roman" w:hAnsi="Times New Roman" w:cs="Times New Roman"/>
          <w:sz w:val="24"/>
          <w:szCs w:val="24"/>
          <w:lang w:val="ro-RO"/>
        </w:rPr>
        <w:t>în anul 2020 s-a</w:t>
      </w:r>
      <w:r w:rsidR="00BF3D67">
        <w:rPr>
          <w:rFonts w:ascii="Times New Roman" w:hAnsi="Times New Roman" w:cs="Times New Roman"/>
          <w:sz w:val="24"/>
          <w:szCs w:val="24"/>
          <w:lang w:val="ro-RO"/>
        </w:rPr>
        <w:t>u</w:t>
      </w:r>
      <w:r w:rsidRPr="00650D66">
        <w:rPr>
          <w:rFonts w:ascii="Times New Roman" w:hAnsi="Times New Roman" w:cs="Times New Roman"/>
          <w:sz w:val="24"/>
          <w:szCs w:val="24"/>
          <w:lang w:val="ro-RO"/>
        </w:rPr>
        <w:t xml:space="preserve"> planificat 1,1 mil. lei</w:t>
      </w:r>
      <w:r w:rsidR="00CD60F3">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din care au fost executate 0,2 mil. lei</w:t>
      </w:r>
      <w:r w:rsidR="00295B43" w:rsidRPr="00650D66">
        <w:rPr>
          <w:rFonts w:ascii="Times New Roman" w:hAnsi="Times New Roman" w:cs="Times New Roman"/>
          <w:sz w:val="24"/>
          <w:szCs w:val="24"/>
          <w:lang w:val="ro-RO"/>
        </w:rPr>
        <w:t xml:space="preserve"> (pentru testarea anuală 2019)</w:t>
      </w:r>
      <w:r w:rsidRPr="00650D66">
        <w:rPr>
          <w:rFonts w:ascii="Times New Roman" w:hAnsi="Times New Roman" w:cs="Times New Roman"/>
          <w:sz w:val="24"/>
          <w:szCs w:val="24"/>
          <w:lang w:val="ro-RO"/>
        </w:rPr>
        <w:t xml:space="preserve">, </w:t>
      </w:r>
      <w:r w:rsidR="00295B43" w:rsidRPr="00650D66">
        <w:rPr>
          <w:rFonts w:ascii="Times New Roman" w:hAnsi="Times New Roman" w:cs="Times New Roman"/>
          <w:sz w:val="24"/>
          <w:szCs w:val="24"/>
          <w:lang w:val="ro-RO"/>
        </w:rPr>
        <w:t xml:space="preserve">iar </w:t>
      </w:r>
      <w:r w:rsidR="00295B43" w:rsidRPr="00650D66">
        <w:rPr>
          <w:rFonts w:ascii="Times New Roman" w:hAnsi="Times New Roman" w:cs="Times New Roman"/>
          <w:sz w:val="24"/>
          <w:szCs w:val="24"/>
          <w:lang w:val="ro-RO"/>
        </w:rPr>
        <w:lastRenderedPageBreak/>
        <w:t xml:space="preserve">testarea secundă planificată pentru anul 2020 a fost anulată </w:t>
      </w:r>
      <w:r w:rsidRPr="00650D66">
        <w:rPr>
          <w:rFonts w:ascii="Times New Roman" w:hAnsi="Times New Roman" w:cs="Times New Roman"/>
          <w:sz w:val="24"/>
          <w:szCs w:val="24"/>
          <w:lang w:val="ro-RO"/>
        </w:rPr>
        <w:t xml:space="preserve">în contextul pandemiei; </w:t>
      </w:r>
      <w:r w:rsidRPr="00650D66">
        <w:rPr>
          <w:rFonts w:ascii="Times New Roman" w:hAnsi="Times New Roman" w:cs="Times New Roman"/>
          <w:i/>
          <w:sz w:val="24"/>
          <w:szCs w:val="24"/>
          <w:lang w:val="ro-RO"/>
        </w:rPr>
        <w:t>(iii)</w:t>
      </w:r>
      <w:r w:rsidRPr="00650D66">
        <w:rPr>
          <w:rFonts w:ascii="Times New Roman" w:hAnsi="Times New Roman" w:cs="Times New Roman"/>
          <w:sz w:val="24"/>
          <w:szCs w:val="24"/>
          <w:lang w:val="ro-RO"/>
        </w:rPr>
        <w:t xml:space="preserve"> în anul 2021 s-a</w:t>
      </w:r>
      <w:r w:rsidR="00BF3D67">
        <w:rPr>
          <w:rFonts w:ascii="Times New Roman" w:hAnsi="Times New Roman" w:cs="Times New Roman"/>
          <w:sz w:val="24"/>
          <w:szCs w:val="24"/>
          <w:lang w:val="ro-RO"/>
        </w:rPr>
        <w:t>u</w:t>
      </w:r>
      <w:r w:rsidRPr="00650D66">
        <w:rPr>
          <w:rFonts w:ascii="Times New Roman" w:hAnsi="Times New Roman" w:cs="Times New Roman"/>
          <w:sz w:val="24"/>
          <w:szCs w:val="24"/>
          <w:lang w:val="ro-RO"/>
        </w:rPr>
        <w:t xml:space="preserve"> planificat 0,8 mil. lei</w:t>
      </w:r>
      <w:r w:rsidR="00CD60F3">
        <w:rPr>
          <w:rFonts w:ascii="Times New Roman" w:hAnsi="Times New Roman" w:cs="Times New Roman"/>
          <w:sz w:val="24"/>
          <w:szCs w:val="24"/>
          <w:lang w:val="ro-RO"/>
        </w:rPr>
        <w:t>, acestea</w:t>
      </w:r>
      <w:r w:rsidRPr="00650D66">
        <w:rPr>
          <w:rFonts w:ascii="Times New Roman" w:hAnsi="Times New Roman" w:cs="Times New Roman"/>
          <w:sz w:val="24"/>
          <w:szCs w:val="24"/>
          <w:lang w:val="ro-RO"/>
        </w:rPr>
        <w:t xml:space="preserve"> nefiind executate</w:t>
      </w:r>
      <w:r w:rsidR="00BF3D67">
        <w:rPr>
          <w:rFonts w:ascii="Times New Roman" w:hAnsi="Times New Roman" w:cs="Times New Roman"/>
          <w:sz w:val="24"/>
          <w:szCs w:val="24"/>
          <w:lang w:val="ro-RO"/>
        </w:rPr>
        <w:t xml:space="preserve"> din cauza că</w:t>
      </w:r>
      <w:r w:rsidRPr="00650D66">
        <w:rPr>
          <w:rFonts w:ascii="Times New Roman" w:hAnsi="Times New Roman" w:cs="Times New Roman"/>
          <w:sz w:val="24"/>
          <w:szCs w:val="24"/>
          <w:lang w:val="ro-RO"/>
        </w:rPr>
        <w:t xml:space="preserve"> procedura de achiziție a urmat după finalizarea implementării unui proiect; </w:t>
      </w:r>
      <w:r w:rsidRPr="00650D66">
        <w:rPr>
          <w:rFonts w:ascii="Times New Roman" w:hAnsi="Times New Roman" w:cs="Times New Roman"/>
          <w:i/>
          <w:sz w:val="24"/>
          <w:szCs w:val="24"/>
          <w:lang w:val="ro-RO"/>
        </w:rPr>
        <w:t>(iv)</w:t>
      </w:r>
      <w:r w:rsidRPr="00650D66">
        <w:rPr>
          <w:rFonts w:ascii="Times New Roman" w:hAnsi="Times New Roman" w:cs="Times New Roman"/>
          <w:sz w:val="24"/>
          <w:szCs w:val="24"/>
          <w:lang w:val="ro-RO"/>
        </w:rPr>
        <w:t xml:space="preserve"> în anul 2022 s-a</w:t>
      </w:r>
      <w:r w:rsidR="00BF3D67">
        <w:rPr>
          <w:rFonts w:ascii="Times New Roman" w:hAnsi="Times New Roman" w:cs="Times New Roman"/>
          <w:sz w:val="24"/>
          <w:szCs w:val="24"/>
          <w:lang w:val="ro-RO"/>
        </w:rPr>
        <w:t>u</w:t>
      </w:r>
      <w:r w:rsidRPr="00650D66">
        <w:rPr>
          <w:rFonts w:ascii="Times New Roman" w:hAnsi="Times New Roman" w:cs="Times New Roman"/>
          <w:sz w:val="24"/>
          <w:szCs w:val="24"/>
          <w:lang w:val="ro-RO"/>
        </w:rPr>
        <w:t xml:space="preserve"> planificat 1,1 mil. lei</w:t>
      </w:r>
      <w:r w:rsidR="00BF3D6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din care au fost executate 0,3 mil. lei, fiind motivată </w:t>
      </w:r>
      <w:r w:rsidR="00307729" w:rsidRPr="00650D66">
        <w:rPr>
          <w:rFonts w:ascii="Times New Roman" w:hAnsi="Times New Roman" w:cs="Times New Roman"/>
          <w:sz w:val="24"/>
          <w:szCs w:val="24"/>
          <w:lang w:val="ro-RO"/>
        </w:rPr>
        <w:t>extinderea</w:t>
      </w:r>
      <w:r w:rsidRPr="00650D66">
        <w:rPr>
          <w:rFonts w:ascii="Times New Roman" w:hAnsi="Times New Roman" w:cs="Times New Roman"/>
          <w:sz w:val="24"/>
          <w:szCs w:val="24"/>
          <w:lang w:val="ro-RO"/>
        </w:rPr>
        <w:t xml:space="preserve"> achiziției.</w:t>
      </w:r>
    </w:p>
    <w:p w14:paraId="00CB7C3C" w14:textId="77777777" w:rsidR="009E5556" w:rsidRPr="00650D66" w:rsidRDefault="009E5556" w:rsidP="009E5556">
      <w:pPr>
        <w:pStyle w:val="ListParagraph"/>
        <w:tabs>
          <w:tab w:val="left" w:pos="142"/>
        </w:tabs>
        <w:spacing w:after="120" w:line="276" w:lineRule="auto"/>
        <w:ind w:left="0"/>
        <w:jc w:val="both"/>
        <w:rPr>
          <w:rFonts w:ascii="Times New Roman" w:hAnsi="Times New Roman" w:cs="Times New Roman"/>
          <w:sz w:val="24"/>
          <w:szCs w:val="24"/>
          <w:lang w:val="ro-RO"/>
        </w:rPr>
      </w:pPr>
    </w:p>
    <w:p w14:paraId="1969C837" w14:textId="3D3B18AC" w:rsidR="008C453C" w:rsidRPr="0076703D" w:rsidRDefault="0076703D" w:rsidP="0076703D">
      <w:pPr>
        <w:spacing w:after="0"/>
        <w:jc w:val="both"/>
        <w:rPr>
          <w:rFonts w:ascii="Times New Roman" w:hAnsi="Times New Roman" w:cs="Times New Roman"/>
          <w:b/>
          <w:sz w:val="24"/>
          <w:szCs w:val="24"/>
          <w:lang w:val="ro-RO"/>
        </w:rPr>
      </w:pPr>
      <w:r w:rsidRPr="0076703D">
        <w:rPr>
          <w:rFonts w:ascii="Times New Roman" w:hAnsi="Times New Roman" w:cs="Times New Roman"/>
          <w:b/>
          <w:sz w:val="24"/>
          <w:szCs w:val="24"/>
          <w:lang w:val="ro-RO"/>
        </w:rPr>
        <w:t xml:space="preserve">4.2.2 </w:t>
      </w:r>
      <w:r w:rsidR="00F150E1" w:rsidRPr="0076703D">
        <w:rPr>
          <w:rFonts w:ascii="Times New Roman" w:hAnsi="Times New Roman" w:cs="Times New Roman"/>
          <w:b/>
          <w:sz w:val="24"/>
          <w:szCs w:val="24"/>
          <w:lang w:val="ro-RO"/>
        </w:rPr>
        <w:t xml:space="preserve">Din totalul cheltuielilor administrative executate de către BNM în perioada 2019-2022, ponderea semnificativă </w:t>
      </w:r>
      <w:r w:rsidR="004C7A5E" w:rsidRPr="0076703D">
        <w:rPr>
          <w:rFonts w:ascii="Times New Roman" w:hAnsi="Times New Roman" w:cs="Times New Roman"/>
          <w:b/>
          <w:sz w:val="24"/>
          <w:szCs w:val="24"/>
          <w:lang w:val="ro-RO"/>
        </w:rPr>
        <w:t xml:space="preserve">(73,8%) </w:t>
      </w:r>
      <w:r w:rsidR="00CD60F3" w:rsidRPr="0076703D">
        <w:rPr>
          <w:rFonts w:ascii="Times New Roman" w:hAnsi="Times New Roman" w:cs="Times New Roman"/>
          <w:b/>
          <w:sz w:val="24"/>
          <w:szCs w:val="24"/>
          <w:lang w:val="ro-RO"/>
        </w:rPr>
        <w:t xml:space="preserve">o </w:t>
      </w:r>
      <w:r w:rsidR="00F150E1" w:rsidRPr="0076703D">
        <w:rPr>
          <w:rFonts w:ascii="Times New Roman" w:hAnsi="Times New Roman" w:cs="Times New Roman"/>
          <w:b/>
          <w:sz w:val="24"/>
          <w:szCs w:val="24"/>
          <w:lang w:val="ro-RO"/>
        </w:rPr>
        <w:t>constituie c</w:t>
      </w:r>
      <w:r w:rsidR="00CE52A0" w:rsidRPr="0076703D">
        <w:rPr>
          <w:rFonts w:ascii="Times New Roman" w:hAnsi="Times New Roman" w:cs="Times New Roman"/>
          <w:b/>
          <w:sz w:val="24"/>
          <w:szCs w:val="24"/>
          <w:lang w:val="ro-RO"/>
        </w:rPr>
        <w:t>heltuieli</w:t>
      </w:r>
      <w:r w:rsidR="00F150E1" w:rsidRPr="0076703D">
        <w:rPr>
          <w:rFonts w:ascii="Times New Roman" w:hAnsi="Times New Roman" w:cs="Times New Roman"/>
          <w:b/>
          <w:sz w:val="24"/>
          <w:szCs w:val="24"/>
          <w:lang w:val="ro-RO"/>
        </w:rPr>
        <w:t>le</w:t>
      </w:r>
      <w:r w:rsidR="00CE52A0" w:rsidRPr="0076703D">
        <w:rPr>
          <w:rFonts w:ascii="Times New Roman" w:hAnsi="Times New Roman" w:cs="Times New Roman"/>
          <w:b/>
          <w:sz w:val="24"/>
          <w:szCs w:val="24"/>
          <w:lang w:val="ro-RO"/>
        </w:rPr>
        <w:t xml:space="preserve"> </w:t>
      </w:r>
      <w:r w:rsidR="00953C30" w:rsidRPr="0076703D">
        <w:rPr>
          <w:rFonts w:ascii="Times New Roman" w:hAnsi="Times New Roman" w:cs="Times New Roman"/>
          <w:b/>
          <w:sz w:val="24"/>
          <w:szCs w:val="24"/>
          <w:lang w:val="ro-RO"/>
        </w:rPr>
        <w:t>privind retribuirea personalului</w:t>
      </w:r>
      <w:r w:rsidR="00BE6AAE" w:rsidRPr="0076703D">
        <w:rPr>
          <w:rFonts w:ascii="Times New Roman" w:hAnsi="Times New Roman" w:cs="Times New Roman"/>
          <w:b/>
          <w:sz w:val="24"/>
          <w:szCs w:val="24"/>
          <w:lang w:val="ro-RO"/>
        </w:rPr>
        <w:t>, fiind executate în conformitate cu reglementările interne.</w:t>
      </w:r>
    </w:p>
    <w:p w14:paraId="0A32A53A" w14:textId="77777777" w:rsidR="000A204C" w:rsidRPr="00650D66" w:rsidRDefault="00FF16E9" w:rsidP="0076703D">
      <w:pPr>
        <w:spacing w:after="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w:t>
      </w:r>
      <w:r w:rsidR="00BB2086" w:rsidRPr="00650D66">
        <w:rPr>
          <w:rFonts w:ascii="Times New Roman" w:hAnsi="Times New Roman" w:cs="Times New Roman"/>
          <w:sz w:val="24"/>
          <w:szCs w:val="24"/>
          <w:lang w:val="ro-RO"/>
        </w:rPr>
        <w:t>n perioada auditată, s</w:t>
      </w:r>
      <w:r w:rsidR="00ED43F4" w:rsidRPr="00650D66">
        <w:rPr>
          <w:rFonts w:ascii="Times New Roman" w:hAnsi="Times New Roman" w:cs="Times New Roman"/>
          <w:sz w:val="24"/>
          <w:szCs w:val="24"/>
          <w:lang w:val="ro-RO"/>
        </w:rPr>
        <w:t xml:space="preserve">alarizarea angajaților BNM </w:t>
      </w:r>
      <w:r w:rsidRPr="00650D66">
        <w:rPr>
          <w:rFonts w:ascii="Times New Roman" w:hAnsi="Times New Roman" w:cs="Times New Roman"/>
          <w:sz w:val="24"/>
          <w:szCs w:val="24"/>
          <w:lang w:val="ro-RO"/>
        </w:rPr>
        <w:t>s-a efectuat</w:t>
      </w:r>
      <w:r w:rsidR="00ED43F4" w:rsidRPr="00650D66">
        <w:rPr>
          <w:rFonts w:ascii="Times New Roman" w:hAnsi="Times New Roman" w:cs="Times New Roman"/>
          <w:sz w:val="24"/>
          <w:szCs w:val="24"/>
          <w:lang w:val="ro-RO"/>
        </w:rPr>
        <w:t xml:space="preserve"> în conformitate cu Legea nr.847 din 14.02.2002</w:t>
      </w:r>
      <w:r w:rsidR="00ED43F4" w:rsidRPr="00650D66">
        <w:rPr>
          <w:rStyle w:val="FootnoteReference"/>
          <w:rFonts w:ascii="Times New Roman" w:eastAsia="Times New Roman" w:hAnsi="Times New Roman" w:cs="Times New Roman"/>
          <w:sz w:val="24"/>
          <w:szCs w:val="24"/>
          <w:lang w:val="ro-RO"/>
        </w:rPr>
        <w:footnoteReference w:id="32"/>
      </w:r>
      <w:r w:rsidR="00ED43F4" w:rsidRPr="00650D66">
        <w:rPr>
          <w:rFonts w:ascii="Times New Roman" w:hAnsi="Times New Roman" w:cs="Times New Roman"/>
          <w:sz w:val="24"/>
          <w:szCs w:val="24"/>
          <w:lang w:val="ro-RO"/>
        </w:rPr>
        <w:t xml:space="preserve"> și cu regulamentul aprobat de către Consiliul de supraveghere al </w:t>
      </w:r>
      <w:r w:rsidR="0052106A" w:rsidRPr="00650D66">
        <w:rPr>
          <w:rFonts w:ascii="Times New Roman" w:hAnsi="Times New Roman" w:cs="Times New Roman"/>
          <w:sz w:val="24"/>
          <w:szCs w:val="24"/>
          <w:lang w:val="ro-RO"/>
        </w:rPr>
        <w:t>BNM</w:t>
      </w:r>
      <w:r w:rsidR="00304342" w:rsidRPr="00650D66">
        <w:rPr>
          <w:rStyle w:val="FootnoteReference"/>
          <w:rFonts w:ascii="Times New Roman" w:eastAsia="Times New Roman" w:hAnsi="Times New Roman" w:cs="Times New Roman"/>
          <w:sz w:val="24"/>
          <w:szCs w:val="24"/>
          <w:lang w:val="ro-RO"/>
        </w:rPr>
        <w:footnoteReference w:id="33"/>
      </w:r>
      <w:r w:rsidR="00ED43F4" w:rsidRPr="00650D66">
        <w:rPr>
          <w:rFonts w:ascii="Times New Roman" w:hAnsi="Times New Roman" w:cs="Times New Roman"/>
          <w:sz w:val="24"/>
          <w:szCs w:val="24"/>
          <w:lang w:val="ro-RO"/>
        </w:rPr>
        <w:t>.</w:t>
      </w:r>
    </w:p>
    <w:p w14:paraId="53F9465F" w14:textId="33913043" w:rsidR="000A204C" w:rsidRPr="00650D66" w:rsidRDefault="000A204C" w:rsidP="000A204C">
      <w:pPr>
        <w:tabs>
          <w:tab w:val="left" w:pos="567"/>
          <w:tab w:val="left" w:pos="851"/>
        </w:tabs>
        <w:spacing w:after="0" w:line="276" w:lineRule="auto"/>
        <w:contextualSpacing/>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Ponderea semnificativă în totalul cheltuielilor administrative executate de către BNM (945,4 mil. lei) se înregistrează pentru fondul de retribuire a muncii (697,4 mil. lei)</w:t>
      </w:r>
      <w:r w:rsidR="00CD60F3">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în medi</w:t>
      </w:r>
      <w:r w:rsidR="00CD60F3">
        <w:rPr>
          <w:rFonts w:ascii="Times New Roman" w:hAnsi="Times New Roman" w:cs="Times New Roman"/>
          <w:sz w:val="24"/>
          <w:szCs w:val="24"/>
          <w:lang w:val="ro-RO"/>
        </w:rPr>
        <w:t>e</w:t>
      </w:r>
      <w:r w:rsidRPr="00650D66">
        <w:rPr>
          <w:rFonts w:ascii="Times New Roman" w:hAnsi="Times New Roman" w:cs="Times New Roman"/>
          <w:sz w:val="24"/>
          <w:szCs w:val="24"/>
          <w:lang w:val="ro-RO"/>
        </w:rPr>
        <w:t xml:space="preserve"> 73,8%, și anume: în anul 2019 </w:t>
      </w:r>
      <w:r w:rsidR="00CD60F3">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72,6% (159,2 mil. lei), în anul 2020 – 72,7% (154,4 mil. lei), în anul 2021 </w:t>
      </w:r>
      <w:r w:rsidR="00CD60F3">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74,4% (163,8 mil. lei)</w:t>
      </w:r>
      <w:r w:rsidR="00CD60F3">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în anul 2022 – 75,0% (220,0 mil. lei).  </w:t>
      </w:r>
    </w:p>
    <w:p w14:paraId="1D0D97B9" w14:textId="77777777" w:rsidR="00282380" w:rsidRPr="00650D66" w:rsidRDefault="00282380" w:rsidP="000A204C">
      <w:pPr>
        <w:tabs>
          <w:tab w:val="left" w:pos="567"/>
          <w:tab w:val="left" w:pos="851"/>
        </w:tabs>
        <w:spacing w:after="0" w:line="276" w:lineRule="auto"/>
        <w:contextualSpacing/>
        <w:jc w:val="both"/>
        <w:rPr>
          <w:rFonts w:ascii="Times New Roman" w:hAnsi="Times New Roman" w:cs="Times New Roman"/>
          <w:sz w:val="6"/>
          <w:szCs w:val="6"/>
          <w:lang w:val="ro-RO"/>
        </w:rPr>
      </w:pPr>
    </w:p>
    <w:p w14:paraId="2D8250E7" w14:textId="77777777" w:rsidR="00282380" w:rsidRPr="00650D66" w:rsidRDefault="00282380" w:rsidP="00282380">
      <w:pPr>
        <w:tabs>
          <w:tab w:val="left" w:pos="567"/>
          <w:tab w:val="left" w:pos="851"/>
        </w:tabs>
        <w:spacing w:after="0" w:line="276" w:lineRule="auto"/>
        <w:contextualSpacing/>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Conform datelor din ,,Rapoartele privind executarea devizului de cheltuieli și alocațiilor pentru investiții ale BNM” pentru anii 2019-2022, pentru retribuirea muncii au fost aprobate alocații în sumă de 756,7 mil. lei</w:t>
      </w:r>
      <w:r w:rsidRPr="00650D66">
        <w:rPr>
          <w:rStyle w:val="FootnoteReference"/>
          <w:rFonts w:ascii="Times New Roman" w:hAnsi="Times New Roman" w:cs="Times New Roman"/>
          <w:sz w:val="24"/>
          <w:szCs w:val="24"/>
          <w:lang w:val="ro-RO"/>
        </w:rPr>
        <w:footnoteReference w:id="34"/>
      </w:r>
      <w:r w:rsidR="00CD60F3">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din care au fost executate 697,4 mil. lei</w:t>
      </w:r>
      <w:r w:rsidR="00CD60F3">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sau la nivel de circa 92,2%.</w:t>
      </w:r>
    </w:p>
    <w:p w14:paraId="7B666656" w14:textId="77777777" w:rsidR="003A1681" w:rsidRPr="00650D66" w:rsidRDefault="003A1681" w:rsidP="003A1681">
      <w:pPr>
        <w:spacing w:after="0" w:line="276" w:lineRule="auto"/>
        <w:ind w:firstLine="567"/>
        <w:jc w:val="both"/>
        <w:rPr>
          <w:rFonts w:ascii="Times New Roman" w:eastAsia="Times New Roman" w:hAnsi="Times New Roman" w:cs="Times New Roman"/>
          <w:sz w:val="6"/>
          <w:szCs w:val="6"/>
          <w:lang w:val="ro-RO"/>
        </w:rPr>
      </w:pPr>
    </w:p>
    <w:p w14:paraId="2270E8D4" w14:textId="63F54305" w:rsidR="00E75762" w:rsidRPr="00650D66" w:rsidRDefault="00E12DD8" w:rsidP="00E12DD8">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 xml:space="preserve">Conform prevederilor art.26 din Legea </w:t>
      </w:r>
      <w:r w:rsidR="00CD60F3">
        <w:rPr>
          <w:rFonts w:ascii="Times New Roman" w:eastAsia="Times New Roman" w:hAnsi="Times New Roman" w:cs="Times New Roman"/>
          <w:sz w:val="24"/>
          <w:szCs w:val="24"/>
          <w:lang w:val="ro-RO"/>
        </w:rPr>
        <w:t>organică</w:t>
      </w:r>
      <w:r w:rsidR="007B7F63" w:rsidRPr="00650D66">
        <w:rPr>
          <w:rFonts w:ascii="Times New Roman" w:eastAsia="Times New Roman" w:hAnsi="Times New Roman" w:cs="Times New Roman"/>
          <w:sz w:val="24"/>
          <w:szCs w:val="24"/>
          <w:lang w:val="ro-RO"/>
        </w:rPr>
        <w:t xml:space="preserve"> și Regulamentului de organizare și funcționare a Consiliului de supraveghere al BNM</w:t>
      </w:r>
      <w:r w:rsidR="007B7F63" w:rsidRPr="00650D66">
        <w:rPr>
          <w:rFonts w:ascii="Times New Roman" w:eastAsia="Times New Roman" w:hAnsi="Times New Roman" w:cs="Times New Roman"/>
          <w:sz w:val="24"/>
          <w:szCs w:val="24"/>
          <w:vertAlign w:val="superscript"/>
          <w:lang w:val="ro-RO"/>
        </w:rPr>
        <w:footnoteReference w:id="35"/>
      </w:r>
      <w:r w:rsidRPr="00650D66">
        <w:rPr>
          <w:rFonts w:ascii="Times New Roman" w:eastAsia="Times New Roman" w:hAnsi="Times New Roman" w:cs="Times New Roman"/>
          <w:sz w:val="24"/>
          <w:szCs w:val="24"/>
          <w:lang w:val="ro-RO"/>
        </w:rPr>
        <w:t xml:space="preserve">, </w:t>
      </w:r>
      <w:r w:rsidR="00D31ECC" w:rsidRPr="00650D66">
        <w:rPr>
          <w:rFonts w:ascii="Times New Roman" w:eastAsia="Times New Roman" w:hAnsi="Times New Roman" w:cs="Times New Roman"/>
          <w:i/>
          <w:sz w:val="24"/>
          <w:szCs w:val="24"/>
          <w:lang w:val="ro-RO"/>
        </w:rPr>
        <w:t>,,</w:t>
      </w:r>
      <w:r w:rsidRPr="00650D66">
        <w:rPr>
          <w:rFonts w:ascii="Times New Roman" w:eastAsia="Times New Roman" w:hAnsi="Times New Roman" w:cs="Times New Roman"/>
          <w:b/>
          <w:i/>
          <w:sz w:val="24"/>
          <w:szCs w:val="24"/>
          <w:lang w:val="ro-RO"/>
        </w:rPr>
        <w:t>Consiliul de supraveghere</w:t>
      </w:r>
      <w:r w:rsidRPr="00650D66">
        <w:rPr>
          <w:rFonts w:ascii="Times New Roman" w:eastAsia="Times New Roman" w:hAnsi="Times New Roman" w:cs="Times New Roman"/>
          <w:i/>
          <w:sz w:val="24"/>
          <w:szCs w:val="24"/>
          <w:lang w:val="ro-RO"/>
        </w:rPr>
        <w:t xml:space="preserve"> determină fondul de salarizare al BNM</w:t>
      </w:r>
      <w:r w:rsidR="00843430" w:rsidRPr="00650D66">
        <w:rPr>
          <w:rFonts w:ascii="Times New Roman" w:eastAsia="Times New Roman" w:hAnsi="Times New Roman" w:cs="Times New Roman"/>
          <w:i/>
          <w:sz w:val="24"/>
          <w:szCs w:val="24"/>
          <w:lang w:val="ro-RO"/>
        </w:rPr>
        <w:t>, care se aprobă</w:t>
      </w:r>
      <w:r w:rsidRPr="00650D66">
        <w:rPr>
          <w:rFonts w:ascii="Times New Roman" w:eastAsia="Times New Roman" w:hAnsi="Times New Roman" w:cs="Times New Roman"/>
          <w:i/>
          <w:sz w:val="24"/>
          <w:szCs w:val="24"/>
          <w:lang w:val="ro-RO"/>
        </w:rPr>
        <w:t xml:space="preserve"> </w:t>
      </w:r>
      <w:r w:rsidR="00843430" w:rsidRPr="00650D66">
        <w:rPr>
          <w:rFonts w:ascii="Times New Roman" w:eastAsia="Times New Roman" w:hAnsi="Times New Roman" w:cs="Times New Roman"/>
          <w:i/>
          <w:sz w:val="24"/>
          <w:szCs w:val="24"/>
          <w:lang w:val="ro-RO"/>
        </w:rPr>
        <w:t>până la 15 decembrie a fiecărui an</w:t>
      </w:r>
      <w:r w:rsidR="00C458EB" w:rsidRPr="00650D66">
        <w:rPr>
          <w:rFonts w:ascii="Times New Roman" w:eastAsia="Times New Roman" w:hAnsi="Times New Roman" w:cs="Times New Roman"/>
          <w:i/>
          <w:sz w:val="24"/>
          <w:szCs w:val="24"/>
          <w:lang w:val="ro-RO"/>
        </w:rPr>
        <w:t xml:space="preserve"> și poate fi rectificat în decursul anului de exercițiu,</w:t>
      </w:r>
      <w:r w:rsidR="00843430" w:rsidRPr="00650D66">
        <w:rPr>
          <w:rFonts w:ascii="Times New Roman" w:eastAsia="Times New Roman" w:hAnsi="Times New Roman" w:cs="Times New Roman"/>
          <w:i/>
          <w:sz w:val="24"/>
          <w:szCs w:val="24"/>
          <w:lang w:val="ro-RO"/>
        </w:rPr>
        <w:t xml:space="preserve"> </w:t>
      </w:r>
      <w:r w:rsidR="00E75762" w:rsidRPr="00650D66">
        <w:rPr>
          <w:rFonts w:ascii="Times New Roman" w:eastAsia="Times New Roman" w:hAnsi="Times New Roman" w:cs="Times New Roman"/>
          <w:i/>
          <w:sz w:val="24"/>
          <w:szCs w:val="24"/>
          <w:lang w:val="ro-RO"/>
        </w:rPr>
        <w:t>în baza propunerilor înaintate anual de către Comitetul executiv până la data de 1 decembrie</w:t>
      </w:r>
      <w:r w:rsidR="00E75762" w:rsidRPr="00650D66">
        <w:rPr>
          <w:rFonts w:ascii="Times New Roman" w:eastAsia="Times New Roman" w:hAnsi="Times New Roman" w:cs="Times New Roman"/>
          <w:i/>
          <w:sz w:val="24"/>
          <w:szCs w:val="24"/>
          <w:vertAlign w:val="superscript"/>
          <w:lang w:val="ro-RO"/>
        </w:rPr>
        <w:footnoteReference w:id="36"/>
      </w:r>
      <w:r w:rsidR="00D31ECC" w:rsidRPr="00650D66">
        <w:rPr>
          <w:rFonts w:ascii="Times New Roman" w:eastAsia="Times New Roman" w:hAnsi="Times New Roman" w:cs="Times New Roman"/>
          <w:i/>
          <w:sz w:val="24"/>
          <w:szCs w:val="24"/>
          <w:lang w:val="ro-RO"/>
        </w:rPr>
        <w:t>”</w:t>
      </w:r>
      <w:r w:rsidR="00E75762" w:rsidRPr="00650D66">
        <w:rPr>
          <w:rFonts w:ascii="Times New Roman" w:eastAsia="Times New Roman" w:hAnsi="Times New Roman" w:cs="Times New Roman"/>
          <w:i/>
          <w:sz w:val="24"/>
          <w:szCs w:val="24"/>
          <w:lang w:val="ro-RO"/>
        </w:rPr>
        <w:t>.</w:t>
      </w:r>
      <w:r w:rsidR="00E75762" w:rsidRPr="00650D66">
        <w:rPr>
          <w:rFonts w:ascii="Times New Roman" w:eastAsia="Times New Roman" w:hAnsi="Times New Roman" w:cs="Times New Roman"/>
          <w:sz w:val="24"/>
          <w:szCs w:val="24"/>
          <w:lang w:val="ro-RO"/>
        </w:rPr>
        <w:t xml:space="preserve"> Totodată, stabilește nivelul salarizării membrilor Comitetului executiv.</w:t>
      </w:r>
    </w:p>
    <w:p w14:paraId="60A0E2F5" w14:textId="6F5BE2D3" w:rsidR="00C541CF" w:rsidRPr="00650D66" w:rsidRDefault="007E5833" w:rsidP="00781FF0">
      <w:pPr>
        <w:spacing w:after="120" w:line="276" w:lineRule="auto"/>
        <w:jc w:val="both"/>
        <w:rPr>
          <w:rFonts w:ascii="Times New Roman" w:hAnsi="Times New Roman" w:cs="Times New Roman"/>
          <w:sz w:val="24"/>
          <w:szCs w:val="24"/>
          <w:lang w:val="ro-RO"/>
        </w:rPr>
      </w:pPr>
      <w:r w:rsidRPr="00650D66">
        <w:rPr>
          <w:rFonts w:ascii="Times New Roman" w:eastAsia="Times New Roman" w:hAnsi="Times New Roman" w:cs="Times New Roman"/>
          <w:sz w:val="24"/>
          <w:szCs w:val="24"/>
          <w:lang w:val="ro-RO"/>
        </w:rPr>
        <w:t>Astfel, prin Hotărârile CS</w:t>
      </w:r>
      <w:r w:rsidRPr="00650D66">
        <w:rPr>
          <w:rStyle w:val="FootnoteReference"/>
          <w:rFonts w:ascii="Times New Roman" w:eastAsia="Times New Roman" w:hAnsi="Times New Roman" w:cs="Times New Roman"/>
          <w:sz w:val="24"/>
          <w:szCs w:val="24"/>
          <w:lang w:val="ro-RO"/>
        </w:rPr>
        <w:footnoteReference w:id="37"/>
      </w:r>
      <w:r w:rsidRPr="00650D66">
        <w:rPr>
          <w:rFonts w:ascii="Times New Roman" w:eastAsia="Times New Roman" w:hAnsi="Times New Roman" w:cs="Times New Roman"/>
          <w:sz w:val="24"/>
          <w:szCs w:val="24"/>
          <w:lang w:val="ro-RO"/>
        </w:rPr>
        <w:t xml:space="preserve"> a fost aprobat Fondul de salarizare al BNM </w:t>
      </w:r>
      <w:r w:rsidR="00937ED6" w:rsidRPr="00650D66">
        <w:rPr>
          <w:rFonts w:ascii="Times New Roman" w:eastAsia="Times New Roman" w:hAnsi="Times New Roman" w:cs="Times New Roman"/>
          <w:sz w:val="24"/>
          <w:szCs w:val="24"/>
          <w:lang w:val="ro-RO"/>
        </w:rPr>
        <w:t>pentru ani</w:t>
      </w:r>
      <w:r w:rsidR="00962D00">
        <w:rPr>
          <w:rFonts w:ascii="Times New Roman" w:eastAsia="Times New Roman" w:hAnsi="Times New Roman" w:cs="Times New Roman"/>
          <w:sz w:val="24"/>
          <w:szCs w:val="24"/>
          <w:lang w:val="ro-RO"/>
        </w:rPr>
        <w:t>i</w:t>
      </w:r>
      <w:r w:rsidR="00937ED6" w:rsidRPr="00650D66">
        <w:rPr>
          <w:rFonts w:ascii="Times New Roman" w:eastAsia="Times New Roman" w:hAnsi="Times New Roman" w:cs="Times New Roman"/>
          <w:sz w:val="24"/>
          <w:szCs w:val="24"/>
          <w:lang w:val="ro-RO"/>
        </w:rPr>
        <w:t xml:space="preserve"> 2019-2022, </w:t>
      </w:r>
      <w:r w:rsidR="00A355DD" w:rsidRPr="00650D66">
        <w:rPr>
          <w:rFonts w:ascii="Times New Roman" w:eastAsia="Times New Roman" w:hAnsi="Times New Roman" w:cs="Times New Roman"/>
          <w:sz w:val="24"/>
          <w:szCs w:val="24"/>
          <w:lang w:val="ro-RO"/>
        </w:rPr>
        <w:t xml:space="preserve">în sumă totală de 584,5 mil. lei, din care în anul 2019 – 121,3 mil. lei, </w:t>
      </w:r>
      <w:r w:rsidR="00EF5425" w:rsidRPr="00650D66">
        <w:rPr>
          <w:rFonts w:ascii="Times New Roman" w:eastAsia="Times New Roman" w:hAnsi="Times New Roman" w:cs="Times New Roman"/>
          <w:sz w:val="24"/>
          <w:szCs w:val="24"/>
          <w:lang w:val="ro-RO"/>
        </w:rPr>
        <w:t>în anul 2020 – 128,1 mil. lei, în anul 2021 – 137,2 mil. lei</w:t>
      </w:r>
      <w:r w:rsidR="00962D00">
        <w:rPr>
          <w:rFonts w:ascii="Times New Roman" w:eastAsia="Times New Roman" w:hAnsi="Times New Roman" w:cs="Times New Roman"/>
          <w:sz w:val="24"/>
          <w:szCs w:val="24"/>
          <w:lang w:val="ro-RO"/>
        </w:rPr>
        <w:t>,</w:t>
      </w:r>
      <w:r w:rsidR="00EF5425" w:rsidRPr="00650D66">
        <w:rPr>
          <w:rFonts w:ascii="Times New Roman" w:eastAsia="Times New Roman" w:hAnsi="Times New Roman" w:cs="Times New Roman"/>
          <w:sz w:val="24"/>
          <w:szCs w:val="24"/>
          <w:lang w:val="ro-RO"/>
        </w:rPr>
        <w:t xml:space="preserve"> și în anul 2022 – 197,9 mil. lei. </w:t>
      </w:r>
      <w:r w:rsidR="00761FD1" w:rsidRPr="00650D66">
        <w:rPr>
          <w:rFonts w:ascii="Times New Roman" w:eastAsia="Times New Roman" w:hAnsi="Times New Roman" w:cs="Times New Roman"/>
          <w:sz w:val="24"/>
          <w:szCs w:val="24"/>
          <w:lang w:val="ro-RO"/>
        </w:rPr>
        <w:t>Auditul relevă că, î</w:t>
      </w:r>
      <w:r w:rsidR="00EF5425" w:rsidRPr="00650D66">
        <w:rPr>
          <w:rFonts w:ascii="Times New Roman" w:eastAsia="Times New Roman" w:hAnsi="Times New Roman" w:cs="Times New Roman"/>
          <w:sz w:val="24"/>
          <w:szCs w:val="24"/>
          <w:lang w:val="ro-RO"/>
        </w:rPr>
        <w:t>n evoluție</w:t>
      </w:r>
      <w:r w:rsidR="00962D00">
        <w:rPr>
          <w:rFonts w:ascii="Times New Roman" w:eastAsia="Times New Roman" w:hAnsi="Times New Roman" w:cs="Times New Roman"/>
          <w:sz w:val="24"/>
          <w:szCs w:val="24"/>
          <w:lang w:val="ro-RO"/>
        </w:rPr>
        <w:t>,</w:t>
      </w:r>
      <w:r w:rsidR="00EF5425" w:rsidRPr="00650D66">
        <w:rPr>
          <w:rFonts w:ascii="Times New Roman" w:eastAsia="Times New Roman" w:hAnsi="Times New Roman" w:cs="Times New Roman"/>
          <w:sz w:val="24"/>
          <w:szCs w:val="24"/>
          <w:lang w:val="ro-RO"/>
        </w:rPr>
        <w:t xml:space="preserve"> Fondul de sala</w:t>
      </w:r>
      <w:r w:rsidR="00761FD1" w:rsidRPr="00650D66">
        <w:rPr>
          <w:rFonts w:ascii="Times New Roman" w:eastAsia="Times New Roman" w:hAnsi="Times New Roman" w:cs="Times New Roman"/>
          <w:sz w:val="24"/>
          <w:szCs w:val="24"/>
          <w:lang w:val="ro-RO"/>
        </w:rPr>
        <w:t>rizare a fost majorat anual</w:t>
      </w:r>
      <w:r w:rsidR="00CA0E09" w:rsidRPr="00650D66">
        <w:rPr>
          <w:rFonts w:ascii="Times New Roman" w:eastAsia="Times New Roman" w:hAnsi="Times New Roman" w:cs="Times New Roman"/>
          <w:sz w:val="24"/>
          <w:szCs w:val="24"/>
          <w:lang w:val="ro-RO"/>
        </w:rPr>
        <w:t>,</w:t>
      </w:r>
      <w:r w:rsidR="00761FD1" w:rsidRPr="00650D66">
        <w:rPr>
          <w:rFonts w:ascii="Times New Roman" w:eastAsia="Times New Roman" w:hAnsi="Times New Roman" w:cs="Times New Roman"/>
          <w:sz w:val="24"/>
          <w:szCs w:val="24"/>
          <w:lang w:val="ro-RO"/>
        </w:rPr>
        <w:t xml:space="preserve"> fiind </w:t>
      </w:r>
      <w:r w:rsidR="00EF5425" w:rsidRPr="00650D66">
        <w:rPr>
          <w:rFonts w:ascii="Times New Roman" w:eastAsia="Times New Roman" w:hAnsi="Times New Roman" w:cs="Times New Roman"/>
          <w:sz w:val="24"/>
          <w:szCs w:val="24"/>
          <w:lang w:val="ro-RO"/>
        </w:rPr>
        <w:t xml:space="preserve">cu 76,6 mil. lei mai </w:t>
      </w:r>
      <w:r w:rsidR="00962D00">
        <w:rPr>
          <w:rFonts w:ascii="Times New Roman" w:eastAsia="Times New Roman" w:hAnsi="Times New Roman" w:cs="Times New Roman"/>
          <w:sz w:val="24"/>
          <w:szCs w:val="24"/>
          <w:lang w:val="ro-RO"/>
        </w:rPr>
        <w:t>mare</w:t>
      </w:r>
      <w:r w:rsidR="00EF5425" w:rsidRPr="00650D66">
        <w:rPr>
          <w:rFonts w:ascii="Times New Roman" w:eastAsia="Times New Roman" w:hAnsi="Times New Roman" w:cs="Times New Roman"/>
          <w:sz w:val="24"/>
          <w:szCs w:val="24"/>
          <w:lang w:val="ro-RO"/>
        </w:rPr>
        <w:t xml:space="preserve"> în anul 2022 față de anul 2019.</w:t>
      </w:r>
      <w:r w:rsidR="00972F07" w:rsidRPr="00650D66">
        <w:rPr>
          <w:rFonts w:ascii="Times New Roman" w:eastAsia="Times New Roman" w:hAnsi="Times New Roman" w:cs="Times New Roman"/>
          <w:sz w:val="24"/>
          <w:szCs w:val="24"/>
          <w:lang w:val="ro-RO"/>
        </w:rPr>
        <w:t xml:space="preserve"> </w:t>
      </w:r>
      <w:r w:rsidR="00436440" w:rsidRPr="00650D66">
        <w:rPr>
          <w:rFonts w:ascii="Times New Roman" w:hAnsi="Times New Roman" w:cs="Times New Roman"/>
          <w:sz w:val="24"/>
          <w:szCs w:val="24"/>
          <w:lang w:val="ro-RO"/>
        </w:rPr>
        <w:t>Potrivit motivației BNM, creșterea Fondului de salarizare se datorează preponderent actualizării sistemului de salarizare</w:t>
      </w:r>
      <w:r w:rsidR="00B217F3" w:rsidRPr="00650D66">
        <w:rPr>
          <w:rFonts w:ascii="Times New Roman" w:hAnsi="Times New Roman" w:cs="Times New Roman"/>
          <w:sz w:val="24"/>
          <w:szCs w:val="24"/>
          <w:lang w:val="ro-RO"/>
        </w:rPr>
        <w:t>,</w:t>
      </w:r>
      <w:r w:rsidR="00B217F3" w:rsidRPr="00650D66">
        <w:rPr>
          <w:lang w:val="ro-RO"/>
        </w:rPr>
        <w:t xml:space="preserve"> </w:t>
      </w:r>
      <w:r w:rsidR="00B217F3" w:rsidRPr="00650D66">
        <w:rPr>
          <w:rFonts w:ascii="Times New Roman" w:hAnsi="Times New Roman" w:cs="Times New Roman"/>
          <w:sz w:val="24"/>
          <w:szCs w:val="24"/>
          <w:lang w:val="ro-RO"/>
        </w:rPr>
        <w:t>promov</w:t>
      </w:r>
      <w:r w:rsidR="00052586">
        <w:rPr>
          <w:rFonts w:ascii="Times New Roman" w:hAnsi="Times New Roman" w:cs="Times New Roman"/>
          <w:sz w:val="24"/>
          <w:szCs w:val="24"/>
          <w:lang w:val="ro-RO"/>
        </w:rPr>
        <w:t>ării</w:t>
      </w:r>
      <w:r w:rsidR="00B217F3" w:rsidRPr="00650D66">
        <w:rPr>
          <w:rFonts w:ascii="Times New Roman" w:hAnsi="Times New Roman" w:cs="Times New Roman"/>
          <w:sz w:val="24"/>
          <w:szCs w:val="24"/>
          <w:lang w:val="ro-RO"/>
        </w:rPr>
        <w:t xml:space="preserve"> angajaților în trepte salariale și creșterea numărului de angajați activi în anul 2022.</w:t>
      </w:r>
    </w:p>
    <w:p w14:paraId="172FB7F5" w14:textId="7BCA2767" w:rsidR="00C541CF" w:rsidRPr="00650D66" w:rsidRDefault="00C541CF" w:rsidP="00E12DD8">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Cheltuielile cu personalul planificate includ și cheltuielile aferente beneficiilor înregistrate pentru concediile neutilizate, creat în conformitate cu IAS 19 ,,Beneficiile angajaților”. Beneficiile angajaților pentru zilele de concediu nefolosite se estimează în baza zilelor de concediu câștigate de către salariații BNM până la finele anului, dar nerevendicate și a salariilor medii. Astfel, pentru anul 2019 au fost calculate beneficii angajaților în sumă de 8,6 mil. lei, anul 2020 – </w:t>
      </w:r>
      <w:r w:rsidR="00052586">
        <w:rPr>
          <w:rFonts w:ascii="Times New Roman" w:hAnsi="Times New Roman" w:cs="Times New Roman"/>
          <w:sz w:val="24"/>
          <w:szCs w:val="24"/>
          <w:lang w:val="ro-RO"/>
        </w:rPr>
        <w:t xml:space="preserve">de </w:t>
      </w:r>
      <w:r w:rsidRPr="00650D66">
        <w:rPr>
          <w:rFonts w:ascii="Times New Roman" w:hAnsi="Times New Roman" w:cs="Times New Roman"/>
          <w:sz w:val="24"/>
          <w:szCs w:val="24"/>
          <w:lang w:val="ro-RO"/>
        </w:rPr>
        <w:t xml:space="preserve">2,7 mil. lei, anul 2021 – </w:t>
      </w:r>
      <w:r w:rsidR="00052586">
        <w:rPr>
          <w:rFonts w:ascii="Times New Roman" w:hAnsi="Times New Roman" w:cs="Times New Roman"/>
          <w:sz w:val="24"/>
          <w:szCs w:val="24"/>
          <w:lang w:val="ro-RO"/>
        </w:rPr>
        <w:t xml:space="preserve">de </w:t>
      </w:r>
      <w:r w:rsidRPr="00650D66">
        <w:rPr>
          <w:rFonts w:ascii="Times New Roman" w:hAnsi="Times New Roman" w:cs="Times New Roman"/>
          <w:sz w:val="24"/>
          <w:szCs w:val="24"/>
          <w:lang w:val="ro-RO"/>
        </w:rPr>
        <w:t>0,4 mil. lei</w:t>
      </w:r>
      <w:r w:rsidR="00052586">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pentru anul 2022 – </w:t>
      </w:r>
      <w:r w:rsidR="00052586">
        <w:rPr>
          <w:rFonts w:ascii="Times New Roman" w:hAnsi="Times New Roman" w:cs="Times New Roman"/>
          <w:sz w:val="24"/>
          <w:szCs w:val="24"/>
          <w:lang w:val="ro-RO"/>
        </w:rPr>
        <w:t xml:space="preserve">de </w:t>
      </w:r>
      <w:r w:rsidRPr="00650D66">
        <w:rPr>
          <w:rFonts w:ascii="Times New Roman" w:hAnsi="Times New Roman" w:cs="Times New Roman"/>
          <w:sz w:val="24"/>
          <w:szCs w:val="24"/>
          <w:lang w:val="ro-RO"/>
        </w:rPr>
        <w:t xml:space="preserve">4,6 mil. lei. </w:t>
      </w:r>
      <w:r w:rsidR="00C93BB8" w:rsidRPr="00650D66">
        <w:rPr>
          <w:rFonts w:ascii="Times New Roman" w:hAnsi="Times New Roman" w:cs="Times New Roman"/>
          <w:sz w:val="24"/>
          <w:szCs w:val="24"/>
          <w:lang w:val="ro-RO"/>
        </w:rPr>
        <w:t>Politicile contabile ale BNM prevăd</w:t>
      </w:r>
      <w:r w:rsidRPr="00650D66">
        <w:rPr>
          <w:rFonts w:ascii="Times New Roman" w:hAnsi="Times New Roman" w:cs="Times New Roman"/>
          <w:sz w:val="24"/>
          <w:szCs w:val="24"/>
          <w:lang w:val="ro-RO"/>
        </w:rPr>
        <w:t xml:space="preserve"> doar că BNM formează provizion pentru acoperirea riscurilor și pierderilor posibile din </w:t>
      </w:r>
      <w:r w:rsidRPr="00650D66">
        <w:rPr>
          <w:rFonts w:ascii="Times New Roman" w:hAnsi="Times New Roman" w:cs="Times New Roman"/>
          <w:sz w:val="24"/>
          <w:szCs w:val="24"/>
          <w:lang w:val="ro-RO"/>
        </w:rPr>
        <w:lastRenderedPageBreak/>
        <w:t>litigii</w:t>
      </w:r>
      <w:r w:rsidRPr="00650D66">
        <w:rPr>
          <w:rFonts w:ascii="Times New Roman" w:hAnsi="Times New Roman" w:cs="Times New Roman"/>
          <w:sz w:val="24"/>
          <w:szCs w:val="24"/>
          <w:vertAlign w:val="superscript"/>
          <w:lang w:val="ro-RO"/>
        </w:rPr>
        <w:footnoteReference w:id="38"/>
      </w:r>
      <w:r w:rsidRPr="00650D66">
        <w:rPr>
          <w:rFonts w:ascii="Times New Roman" w:hAnsi="Times New Roman" w:cs="Times New Roman"/>
          <w:sz w:val="24"/>
          <w:szCs w:val="24"/>
          <w:lang w:val="ro-RO"/>
        </w:rPr>
        <w:t>, nu și pentru beneficiile angajaților, fiind abordări diferențiate deși s</w:t>
      </w:r>
      <w:r w:rsidR="00052586">
        <w:rPr>
          <w:rFonts w:ascii="Times New Roman" w:hAnsi="Times New Roman" w:cs="Times New Roman"/>
          <w:sz w:val="24"/>
          <w:szCs w:val="24"/>
          <w:lang w:val="ro-RO"/>
        </w:rPr>
        <w:t>u</w:t>
      </w:r>
      <w:r w:rsidRPr="00650D66">
        <w:rPr>
          <w:rFonts w:ascii="Times New Roman" w:hAnsi="Times New Roman" w:cs="Times New Roman"/>
          <w:sz w:val="24"/>
          <w:szCs w:val="24"/>
          <w:lang w:val="ro-RO"/>
        </w:rPr>
        <w:t>nt semnificative în aspectul fondului de salarizare.</w:t>
      </w:r>
    </w:p>
    <w:p w14:paraId="1CB0FB83" w14:textId="77777777" w:rsidR="00972F07" w:rsidRPr="00650D66" w:rsidRDefault="00972F07" w:rsidP="00E12DD8">
      <w:pPr>
        <w:spacing w:after="0" w:line="276" w:lineRule="auto"/>
        <w:jc w:val="both"/>
        <w:rPr>
          <w:rFonts w:ascii="Times New Roman" w:eastAsia="Times New Roman" w:hAnsi="Times New Roman" w:cs="Times New Roman"/>
          <w:sz w:val="6"/>
          <w:szCs w:val="6"/>
          <w:lang w:val="ro-RO"/>
        </w:rPr>
      </w:pPr>
    </w:p>
    <w:p w14:paraId="4CAD8B55" w14:textId="386DA0F4" w:rsidR="000E050C" w:rsidRPr="00650D66" w:rsidRDefault="000E050C" w:rsidP="000E050C">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Potrivit pct.28 din Regulamentul privind salarizarea angajaților BNM, sistem</w:t>
      </w:r>
      <w:r w:rsidR="000D6FF2" w:rsidRPr="00650D66">
        <w:rPr>
          <w:rFonts w:ascii="Times New Roman" w:eastAsia="Times New Roman" w:hAnsi="Times New Roman" w:cs="Times New Roman"/>
          <w:sz w:val="24"/>
          <w:szCs w:val="24"/>
          <w:lang w:val="ro-RO"/>
        </w:rPr>
        <w:t>ul</w:t>
      </w:r>
      <w:r w:rsidRPr="00650D66">
        <w:rPr>
          <w:rFonts w:ascii="Times New Roman" w:eastAsia="Times New Roman" w:hAnsi="Times New Roman" w:cs="Times New Roman"/>
          <w:sz w:val="24"/>
          <w:szCs w:val="24"/>
          <w:lang w:val="ro-RO"/>
        </w:rPr>
        <w:t xml:space="preserve"> de remunerare a muncii prevede oportunitatea de </w:t>
      </w:r>
      <w:r w:rsidR="00466459" w:rsidRPr="00650D66">
        <w:rPr>
          <w:rFonts w:ascii="Times New Roman" w:eastAsia="Times New Roman" w:hAnsi="Times New Roman" w:cs="Times New Roman"/>
          <w:sz w:val="24"/>
          <w:szCs w:val="24"/>
          <w:lang w:val="ro-RO"/>
        </w:rPr>
        <w:t xml:space="preserve">actualizare </w:t>
      </w:r>
      <w:r w:rsidRPr="00650D66">
        <w:rPr>
          <w:rFonts w:ascii="Times New Roman" w:eastAsia="Times New Roman" w:hAnsi="Times New Roman" w:cs="Times New Roman"/>
          <w:sz w:val="24"/>
          <w:szCs w:val="24"/>
          <w:lang w:val="ro-RO"/>
        </w:rPr>
        <w:t xml:space="preserve">a salariilor în </w:t>
      </w:r>
      <w:r w:rsidR="00052586">
        <w:rPr>
          <w:rFonts w:ascii="Times New Roman" w:eastAsia="Times New Roman" w:hAnsi="Times New Roman" w:cs="Times New Roman"/>
          <w:sz w:val="24"/>
          <w:szCs w:val="24"/>
          <w:lang w:val="ro-RO"/>
        </w:rPr>
        <w:t>funcție</w:t>
      </w:r>
      <w:r w:rsidR="00052586" w:rsidRPr="00650D66">
        <w:rPr>
          <w:rFonts w:ascii="Times New Roman" w:eastAsia="Times New Roman" w:hAnsi="Times New Roman" w:cs="Times New Roman"/>
          <w:sz w:val="24"/>
          <w:szCs w:val="24"/>
          <w:lang w:val="ro-RO"/>
        </w:rPr>
        <w:t xml:space="preserve"> </w:t>
      </w:r>
      <w:r w:rsidRPr="00650D66">
        <w:rPr>
          <w:rFonts w:ascii="Times New Roman" w:eastAsia="Times New Roman" w:hAnsi="Times New Roman" w:cs="Times New Roman"/>
          <w:sz w:val="24"/>
          <w:szCs w:val="24"/>
          <w:lang w:val="ro-RO"/>
        </w:rPr>
        <w:t xml:space="preserve">de evoluțiile semnificative în activitatea BNM și pe piața muncii, </w:t>
      </w:r>
      <w:r w:rsidRPr="00650D66">
        <w:rPr>
          <w:rFonts w:ascii="Times New Roman" w:eastAsia="Times New Roman" w:hAnsi="Times New Roman" w:cs="Times New Roman"/>
          <w:i/>
          <w:sz w:val="24"/>
          <w:szCs w:val="24"/>
          <w:lang w:val="ro-RO"/>
        </w:rPr>
        <w:t>dar nu mai rar decât o dată la 5 ani, de către o companie de consultanță cu renume în domeniul resurse umane</w:t>
      </w:r>
      <w:r w:rsidRPr="00650D66">
        <w:rPr>
          <w:rFonts w:ascii="Times New Roman" w:eastAsia="Times New Roman" w:hAnsi="Times New Roman" w:cs="Times New Roman"/>
          <w:sz w:val="24"/>
          <w:szCs w:val="24"/>
          <w:lang w:val="ro-RO"/>
        </w:rPr>
        <w:t>.</w:t>
      </w:r>
    </w:p>
    <w:p w14:paraId="38C7254E" w14:textId="77777777" w:rsidR="000E050C" w:rsidRPr="00650D66" w:rsidRDefault="000E050C" w:rsidP="00AF367D">
      <w:pPr>
        <w:spacing w:after="0" w:line="276" w:lineRule="auto"/>
        <w:jc w:val="both"/>
        <w:rPr>
          <w:rFonts w:ascii="Times New Roman" w:hAnsi="Times New Roman" w:cs="Times New Roman"/>
          <w:sz w:val="6"/>
          <w:szCs w:val="6"/>
          <w:lang w:val="ro-RO"/>
        </w:rPr>
      </w:pPr>
    </w:p>
    <w:p w14:paraId="4AEEEA9E" w14:textId="7E2A5D7C" w:rsidR="0061503D" w:rsidRPr="00650D66" w:rsidRDefault="000E050C" w:rsidP="00AF367D">
      <w:pPr>
        <w:spacing w:after="0" w:line="276" w:lineRule="auto"/>
        <w:jc w:val="both"/>
        <w:rPr>
          <w:rFonts w:ascii="Times New Roman" w:eastAsia="Times New Roman" w:hAnsi="Times New Roman" w:cs="Times New Roman"/>
          <w:sz w:val="6"/>
          <w:szCs w:val="6"/>
          <w:lang w:val="ro-RO"/>
        </w:rPr>
      </w:pPr>
      <w:r w:rsidRPr="00650D66">
        <w:rPr>
          <w:rFonts w:ascii="Times New Roman" w:hAnsi="Times New Roman" w:cs="Times New Roman"/>
          <w:sz w:val="24"/>
          <w:szCs w:val="24"/>
          <w:lang w:val="ro-RO"/>
        </w:rPr>
        <w:t>Astfel, î</w:t>
      </w:r>
      <w:r w:rsidR="00972F07" w:rsidRPr="00650D66">
        <w:rPr>
          <w:rFonts w:ascii="Times New Roman" w:hAnsi="Times New Roman" w:cs="Times New Roman"/>
          <w:sz w:val="24"/>
          <w:szCs w:val="24"/>
          <w:lang w:val="ro-RO"/>
        </w:rPr>
        <w:t xml:space="preserve">n anul 2021, </w:t>
      </w:r>
      <w:r w:rsidR="003A5162" w:rsidRPr="00650D66">
        <w:rPr>
          <w:rFonts w:ascii="Times New Roman" w:hAnsi="Times New Roman" w:cs="Times New Roman"/>
          <w:sz w:val="24"/>
          <w:szCs w:val="24"/>
          <w:lang w:val="ro-RO"/>
        </w:rPr>
        <w:t xml:space="preserve">în scopul </w:t>
      </w:r>
      <w:r w:rsidR="003A5162" w:rsidRPr="00650D66">
        <w:rPr>
          <w:rFonts w:ascii="Times New Roman" w:eastAsia="Times New Roman" w:hAnsi="Times New Roman" w:cs="Times New Roman"/>
          <w:sz w:val="24"/>
          <w:szCs w:val="24"/>
          <w:lang w:val="ro-RO"/>
        </w:rPr>
        <w:t>actualizării sistemului de salarizare a angajaților BNM</w:t>
      </w:r>
      <w:r w:rsidR="003A5162" w:rsidRPr="00650D66">
        <w:rPr>
          <w:rFonts w:ascii="Times New Roman" w:hAnsi="Times New Roman" w:cs="Times New Roman"/>
          <w:sz w:val="24"/>
          <w:szCs w:val="24"/>
          <w:lang w:val="ro-RO"/>
        </w:rPr>
        <w:t>/</w:t>
      </w:r>
      <w:r w:rsidR="00972F07" w:rsidRPr="00650D66">
        <w:rPr>
          <w:rFonts w:ascii="Times New Roman" w:hAnsi="Times New Roman" w:cs="Times New Roman"/>
          <w:sz w:val="24"/>
          <w:szCs w:val="24"/>
          <w:lang w:val="ro-RO"/>
        </w:rPr>
        <w:t xml:space="preserve">grilelor de salarizare, </w:t>
      </w:r>
      <w:r w:rsidR="00052586">
        <w:rPr>
          <w:rFonts w:ascii="Times New Roman" w:hAnsi="Times New Roman" w:cs="Times New Roman"/>
          <w:sz w:val="24"/>
          <w:szCs w:val="24"/>
          <w:lang w:val="ro-RO"/>
        </w:rPr>
        <w:t xml:space="preserve">luând în </w:t>
      </w:r>
      <w:r w:rsidR="00972F07" w:rsidRPr="00650D66">
        <w:rPr>
          <w:rFonts w:ascii="Times New Roman" w:hAnsi="Times New Roman" w:cs="Times New Roman"/>
          <w:sz w:val="24"/>
          <w:szCs w:val="24"/>
          <w:lang w:val="ro-RO"/>
        </w:rPr>
        <w:t>consider</w:t>
      </w:r>
      <w:r w:rsidR="00052586">
        <w:rPr>
          <w:rFonts w:ascii="Times New Roman" w:hAnsi="Times New Roman" w:cs="Times New Roman"/>
          <w:sz w:val="24"/>
          <w:szCs w:val="24"/>
          <w:lang w:val="ro-RO"/>
        </w:rPr>
        <w:t>are</w:t>
      </w:r>
      <w:r w:rsidR="00972F07" w:rsidRPr="00650D66">
        <w:rPr>
          <w:rFonts w:ascii="Times New Roman" w:hAnsi="Times New Roman" w:cs="Times New Roman"/>
          <w:sz w:val="24"/>
          <w:szCs w:val="24"/>
          <w:lang w:val="ro-RO"/>
        </w:rPr>
        <w:t xml:space="preserve"> evoluția pieței muncii în RM, </w:t>
      </w:r>
      <w:r w:rsidR="003A5162" w:rsidRPr="00650D66">
        <w:rPr>
          <w:rFonts w:ascii="Times New Roman" w:hAnsi="Times New Roman" w:cs="Times New Roman"/>
          <w:sz w:val="24"/>
          <w:szCs w:val="24"/>
          <w:lang w:val="ro-RO"/>
        </w:rPr>
        <w:t>au fost aprobate</w:t>
      </w:r>
      <w:r w:rsidR="00444A72" w:rsidRPr="00650D66">
        <w:rPr>
          <w:rFonts w:ascii="Times New Roman" w:hAnsi="Times New Roman" w:cs="Times New Roman"/>
          <w:sz w:val="24"/>
          <w:szCs w:val="24"/>
          <w:lang w:val="ro-RO"/>
        </w:rPr>
        <w:t xml:space="preserve"> alocații </w:t>
      </w:r>
      <w:r w:rsidR="002D0EB0" w:rsidRPr="00650D66">
        <w:rPr>
          <w:rFonts w:ascii="Times New Roman" w:hAnsi="Times New Roman" w:cs="Times New Roman"/>
          <w:sz w:val="24"/>
          <w:szCs w:val="24"/>
          <w:lang w:val="ro-RO"/>
        </w:rPr>
        <w:t>pentru contractarea serviciilor</w:t>
      </w:r>
      <w:r w:rsidR="0008539C" w:rsidRPr="00650D66">
        <w:rPr>
          <w:rFonts w:ascii="Times New Roman" w:hAnsi="Times New Roman" w:cs="Times New Roman"/>
          <w:sz w:val="24"/>
          <w:szCs w:val="24"/>
          <w:lang w:val="ro-RO"/>
        </w:rPr>
        <w:t xml:space="preserve"> de consultanță</w:t>
      </w:r>
      <w:r w:rsidR="002D0EB0" w:rsidRPr="00650D66">
        <w:rPr>
          <w:rFonts w:ascii="Times New Roman" w:hAnsi="Times New Roman" w:cs="Times New Roman"/>
          <w:sz w:val="24"/>
          <w:szCs w:val="24"/>
          <w:lang w:val="ro-RO"/>
        </w:rPr>
        <w:t xml:space="preserve"> </w:t>
      </w:r>
      <w:r w:rsidR="00444A72" w:rsidRPr="00650D66">
        <w:rPr>
          <w:rFonts w:ascii="Times New Roman" w:hAnsi="Times New Roman" w:cs="Times New Roman"/>
          <w:sz w:val="24"/>
          <w:szCs w:val="24"/>
          <w:lang w:val="ro-RO"/>
        </w:rPr>
        <w:t>în sumă de 1,4 mil.</w:t>
      </w:r>
      <w:r w:rsidR="003A5162" w:rsidRPr="00650D66">
        <w:rPr>
          <w:rFonts w:ascii="Times New Roman" w:hAnsi="Times New Roman" w:cs="Times New Roman"/>
          <w:sz w:val="24"/>
          <w:szCs w:val="24"/>
          <w:lang w:val="ro-RO"/>
        </w:rPr>
        <w:t xml:space="preserve"> lei</w:t>
      </w:r>
      <w:r w:rsidR="00052586">
        <w:rPr>
          <w:rFonts w:ascii="Times New Roman" w:hAnsi="Times New Roman" w:cs="Times New Roman"/>
          <w:sz w:val="24"/>
          <w:szCs w:val="24"/>
          <w:lang w:val="ro-RO"/>
        </w:rPr>
        <w:t>,</w:t>
      </w:r>
      <w:r w:rsidR="003A5162" w:rsidRPr="00650D66">
        <w:rPr>
          <w:rFonts w:ascii="Times New Roman" w:hAnsi="Times New Roman" w:cs="Times New Roman"/>
          <w:sz w:val="24"/>
          <w:szCs w:val="24"/>
          <w:lang w:val="ro-RO"/>
        </w:rPr>
        <w:t xml:space="preserve"> din care au fost executate cheltuieli în sumă de </w:t>
      </w:r>
      <w:r w:rsidR="00444A72" w:rsidRPr="00650D66">
        <w:rPr>
          <w:rFonts w:ascii="Times New Roman" w:hAnsi="Times New Roman" w:cs="Times New Roman"/>
          <w:sz w:val="24"/>
          <w:szCs w:val="24"/>
          <w:lang w:val="ro-RO"/>
        </w:rPr>
        <w:t>1,3 mil.</w:t>
      </w:r>
      <w:r w:rsidR="003A5162" w:rsidRPr="00650D66">
        <w:rPr>
          <w:rFonts w:ascii="Times New Roman" w:hAnsi="Times New Roman" w:cs="Times New Roman"/>
          <w:sz w:val="24"/>
          <w:szCs w:val="24"/>
          <w:lang w:val="ro-RO"/>
        </w:rPr>
        <w:t xml:space="preserve"> lei</w:t>
      </w:r>
      <w:r w:rsidR="003A5162" w:rsidRPr="00650D66">
        <w:rPr>
          <w:rFonts w:ascii="Times New Roman" w:hAnsi="Times New Roman" w:cs="Times New Roman"/>
          <w:sz w:val="24"/>
          <w:szCs w:val="24"/>
          <w:vertAlign w:val="superscript"/>
          <w:lang w:val="ro-RO"/>
        </w:rPr>
        <w:footnoteReference w:id="39"/>
      </w:r>
      <w:r w:rsidR="00052586">
        <w:rPr>
          <w:rFonts w:ascii="Times New Roman" w:hAnsi="Times New Roman" w:cs="Times New Roman"/>
          <w:sz w:val="24"/>
          <w:szCs w:val="24"/>
          <w:lang w:val="ro-RO"/>
        </w:rPr>
        <w:t>,</w:t>
      </w:r>
      <w:r w:rsidR="00163E1D" w:rsidRPr="00650D66">
        <w:rPr>
          <w:rFonts w:ascii="Times New Roman" w:hAnsi="Times New Roman" w:cs="Times New Roman"/>
          <w:sz w:val="24"/>
          <w:szCs w:val="24"/>
          <w:lang w:val="ro-RO"/>
        </w:rPr>
        <w:t xml:space="preserve"> </w:t>
      </w:r>
      <w:r w:rsidR="003A5162" w:rsidRPr="00650D66">
        <w:rPr>
          <w:rFonts w:ascii="Times New Roman" w:hAnsi="Times New Roman" w:cs="Times New Roman"/>
          <w:sz w:val="24"/>
          <w:szCs w:val="24"/>
          <w:lang w:val="ro-RO"/>
        </w:rPr>
        <w:t>sau 94,3%.</w:t>
      </w:r>
      <w:r w:rsidR="00AF367D" w:rsidRPr="00650D66">
        <w:rPr>
          <w:rFonts w:ascii="Times New Roman" w:eastAsia="Times New Roman" w:hAnsi="Times New Roman" w:cs="Times New Roman"/>
          <w:sz w:val="24"/>
          <w:szCs w:val="24"/>
          <w:lang w:val="ro-RO"/>
        </w:rPr>
        <w:t xml:space="preserve"> </w:t>
      </w:r>
      <w:r w:rsidR="007178D7" w:rsidRPr="00650D66">
        <w:rPr>
          <w:rFonts w:ascii="Times New Roman" w:eastAsia="Times New Roman" w:hAnsi="Times New Roman" w:cs="Times New Roman"/>
          <w:sz w:val="24"/>
          <w:szCs w:val="24"/>
          <w:lang w:val="ro-RO"/>
        </w:rPr>
        <w:t xml:space="preserve">În raportul prezentat BNM de către compania de consultanță contractată, s-a evaluat sistemul </w:t>
      </w:r>
      <w:r w:rsidR="00D25430" w:rsidRPr="00650D66">
        <w:rPr>
          <w:rFonts w:ascii="Times New Roman" w:eastAsia="Times New Roman" w:hAnsi="Times New Roman" w:cs="Times New Roman"/>
          <w:sz w:val="24"/>
          <w:szCs w:val="24"/>
          <w:lang w:val="ro-RO"/>
        </w:rPr>
        <w:t xml:space="preserve">și nivelul </w:t>
      </w:r>
      <w:r w:rsidR="007178D7" w:rsidRPr="00650D66">
        <w:rPr>
          <w:rFonts w:ascii="Times New Roman" w:eastAsia="Times New Roman" w:hAnsi="Times New Roman" w:cs="Times New Roman"/>
          <w:sz w:val="24"/>
          <w:szCs w:val="24"/>
          <w:lang w:val="ro-RO"/>
        </w:rPr>
        <w:t xml:space="preserve">de salarizare a </w:t>
      </w:r>
      <w:r w:rsidR="00B20B21" w:rsidRPr="00650D66">
        <w:rPr>
          <w:rFonts w:ascii="Times New Roman" w:eastAsia="Times New Roman" w:hAnsi="Times New Roman" w:cs="Times New Roman"/>
          <w:sz w:val="24"/>
          <w:szCs w:val="24"/>
          <w:lang w:val="ro-RO"/>
        </w:rPr>
        <w:t>unor</w:t>
      </w:r>
      <w:r w:rsidR="007178D7" w:rsidRPr="00650D66">
        <w:rPr>
          <w:rFonts w:ascii="Times New Roman" w:eastAsia="Times New Roman" w:hAnsi="Times New Roman" w:cs="Times New Roman"/>
          <w:sz w:val="24"/>
          <w:szCs w:val="24"/>
          <w:lang w:val="ro-RO"/>
        </w:rPr>
        <w:t xml:space="preserve"> companii naționale, internaționale/private</w:t>
      </w:r>
      <w:r w:rsidR="0056369B" w:rsidRPr="00650D66">
        <w:rPr>
          <w:rFonts w:ascii="Times New Roman" w:eastAsia="Times New Roman" w:hAnsi="Times New Roman" w:cs="Times New Roman"/>
          <w:sz w:val="24"/>
          <w:szCs w:val="24"/>
          <w:lang w:val="ro-RO"/>
        </w:rPr>
        <w:t xml:space="preserve"> </w:t>
      </w:r>
      <w:r w:rsidR="007178D7" w:rsidRPr="00650D66">
        <w:rPr>
          <w:rFonts w:ascii="Times New Roman" w:eastAsia="Times New Roman" w:hAnsi="Times New Roman" w:cs="Times New Roman"/>
          <w:sz w:val="24"/>
          <w:szCs w:val="24"/>
          <w:lang w:val="ro-RO"/>
        </w:rPr>
        <w:t xml:space="preserve">din diverse domenii, </w:t>
      </w:r>
      <w:r w:rsidR="00052586">
        <w:rPr>
          <w:rFonts w:ascii="Times New Roman" w:eastAsia="Times New Roman" w:hAnsi="Times New Roman" w:cs="Times New Roman"/>
          <w:sz w:val="24"/>
          <w:szCs w:val="24"/>
          <w:lang w:val="ro-RO"/>
        </w:rPr>
        <w:t>inclusiv</w:t>
      </w:r>
      <w:r w:rsidR="007178D7" w:rsidRPr="00650D66">
        <w:rPr>
          <w:rFonts w:ascii="Times New Roman" w:eastAsia="Times New Roman" w:hAnsi="Times New Roman" w:cs="Times New Roman"/>
          <w:sz w:val="24"/>
          <w:szCs w:val="24"/>
          <w:lang w:val="ro-RO"/>
        </w:rPr>
        <w:t xml:space="preserve"> bănci comerciale din RM.</w:t>
      </w:r>
      <w:r w:rsidR="00C16149" w:rsidRPr="00650D66">
        <w:rPr>
          <w:rFonts w:ascii="Times New Roman" w:eastAsia="Times New Roman" w:hAnsi="Times New Roman" w:cs="Times New Roman"/>
          <w:sz w:val="24"/>
          <w:szCs w:val="24"/>
          <w:lang w:val="ro-RO"/>
        </w:rPr>
        <w:t xml:space="preserve"> </w:t>
      </w:r>
    </w:p>
    <w:p w14:paraId="4AAB7B9A" w14:textId="63F3CC82" w:rsidR="00796AC7" w:rsidRPr="00650D66" w:rsidRDefault="00666D74" w:rsidP="00666D74">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De menționat că, în anul 2017</w:t>
      </w:r>
      <w:r w:rsidR="00052586">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același agent economic a prestat</w:t>
      </w:r>
      <w:r w:rsidR="00052586">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iar BNM a beneficiat de servicii de implementare a unui sistem integrat de gestiune a resurselor umane. O parte importantă a contractului a </w:t>
      </w:r>
      <w:proofErr w:type="spellStart"/>
      <w:r w:rsidRPr="00650D66">
        <w:rPr>
          <w:rFonts w:ascii="Times New Roman" w:eastAsia="Times New Roman" w:hAnsi="Times New Roman" w:cs="Times New Roman"/>
          <w:sz w:val="24"/>
          <w:szCs w:val="24"/>
          <w:lang w:val="ro-RO"/>
        </w:rPr>
        <w:t>constituit-o</w:t>
      </w:r>
      <w:proofErr w:type="spellEnd"/>
      <w:r w:rsidRPr="00650D66">
        <w:rPr>
          <w:rFonts w:ascii="Times New Roman" w:eastAsia="Times New Roman" w:hAnsi="Times New Roman" w:cs="Times New Roman"/>
          <w:sz w:val="24"/>
          <w:szCs w:val="24"/>
          <w:lang w:val="ro-RO"/>
        </w:rPr>
        <w:t xml:space="preserve"> implementarea unui nou sistem de salarizare a angajaților BNM bazat pe valoarea postului și aliniat la piața de referință. Sistemul integrat de management al resurselor umane din cadrul BNM a fost implementat </w:t>
      </w:r>
      <w:r w:rsidR="00C458CA">
        <w:rPr>
          <w:rFonts w:ascii="Times New Roman" w:eastAsia="Times New Roman" w:hAnsi="Times New Roman" w:cs="Times New Roman"/>
          <w:sz w:val="24"/>
          <w:szCs w:val="24"/>
          <w:lang w:val="ro-RO"/>
        </w:rPr>
        <w:t xml:space="preserve">ca </w:t>
      </w:r>
      <w:r w:rsidRPr="00650D66">
        <w:rPr>
          <w:rFonts w:ascii="Times New Roman" w:eastAsia="Times New Roman" w:hAnsi="Times New Roman" w:cs="Times New Roman"/>
          <w:sz w:val="24"/>
          <w:szCs w:val="24"/>
          <w:lang w:val="ro-RO"/>
        </w:rPr>
        <w:t xml:space="preserve">urmare </w:t>
      </w:r>
      <w:r w:rsidR="00C458CA">
        <w:rPr>
          <w:rFonts w:ascii="Times New Roman" w:eastAsia="Times New Roman" w:hAnsi="Times New Roman" w:cs="Times New Roman"/>
          <w:sz w:val="24"/>
          <w:szCs w:val="24"/>
          <w:lang w:val="ro-RO"/>
        </w:rPr>
        <w:t xml:space="preserve">a </w:t>
      </w:r>
      <w:r w:rsidRPr="00650D66">
        <w:rPr>
          <w:rFonts w:ascii="Times New Roman" w:eastAsia="Times New Roman" w:hAnsi="Times New Roman" w:cs="Times New Roman"/>
          <w:sz w:val="24"/>
          <w:szCs w:val="24"/>
          <w:lang w:val="ro-RO"/>
        </w:rPr>
        <w:t>prestării serviciilor de consultanță în baza contractului de achiziții nr.15/215-LD din 12.09.2017</w:t>
      </w:r>
      <w:r w:rsidR="00C458CA">
        <w:rPr>
          <w:rFonts w:ascii="Times New Roman" w:eastAsia="Times New Roman" w:hAnsi="Times New Roman" w:cs="Times New Roman"/>
          <w:sz w:val="24"/>
          <w:szCs w:val="24"/>
          <w:lang w:val="ro-RO"/>
        </w:rPr>
        <w:t>,</w:t>
      </w:r>
      <w:r w:rsidR="00950E0A" w:rsidRPr="00650D66">
        <w:rPr>
          <w:rFonts w:ascii="Times New Roman" w:hAnsi="Times New Roman" w:cs="Times New Roman"/>
          <w:sz w:val="24"/>
          <w:szCs w:val="24"/>
          <w:lang w:val="ro-RO"/>
        </w:rPr>
        <w:t xml:space="preserve"> în sumă de 112,3 mii </w:t>
      </w:r>
      <w:r w:rsidR="00DA2262" w:rsidRPr="00650D66">
        <w:rPr>
          <w:rFonts w:ascii="Times New Roman" w:hAnsi="Times New Roman" w:cs="Times New Roman"/>
          <w:sz w:val="24"/>
          <w:szCs w:val="24"/>
          <w:lang w:val="ro-RO"/>
        </w:rPr>
        <w:t>euro</w:t>
      </w:r>
      <w:r w:rsidR="0085701A" w:rsidRPr="00650D66">
        <w:rPr>
          <w:rFonts w:ascii="Times New Roman" w:hAnsi="Times New Roman" w:cs="Times New Roman"/>
          <w:sz w:val="24"/>
          <w:szCs w:val="24"/>
          <w:lang w:val="ro-RO"/>
        </w:rPr>
        <w:t>/2</w:t>
      </w:r>
      <w:r w:rsidR="00C458CA">
        <w:rPr>
          <w:rFonts w:ascii="Times New Roman" w:hAnsi="Times New Roman" w:cs="Times New Roman"/>
          <w:sz w:val="24"/>
          <w:szCs w:val="24"/>
          <w:lang w:val="ro-RO"/>
        </w:rPr>
        <w:t>.</w:t>
      </w:r>
      <w:r w:rsidR="0085701A" w:rsidRPr="00650D66">
        <w:rPr>
          <w:rFonts w:ascii="Times New Roman" w:hAnsi="Times New Roman" w:cs="Times New Roman"/>
          <w:sz w:val="24"/>
          <w:szCs w:val="24"/>
          <w:lang w:val="ro-RO"/>
        </w:rPr>
        <w:t>300,2 mii lei</w:t>
      </w:r>
      <w:r w:rsidRPr="00650D66">
        <w:rPr>
          <w:rFonts w:ascii="Times New Roman" w:eastAsia="Times New Roman" w:hAnsi="Times New Roman" w:cs="Times New Roman"/>
          <w:sz w:val="24"/>
          <w:szCs w:val="24"/>
          <w:lang w:val="ro-RO"/>
        </w:rPr>
        <w:t>.</w:t>
      </w:r>
      <w:r w:rsidR="0048455F" w:rsidRPr="00650D66">
        <w:rPr>
          <w:rFonts w:ascii="Times New Roman" w:eastAsia="Times New Roman" w:hAnsi="Times New Roman" w:cs="Times New Roman"/>
          <w:sz w:val="24"/>
          <w:szCs w:val="24"/>
          <w:lang w:val="ro-RO"/>
        </w:rPr>
        <w:t xml:space="preserve"> </w:t>
      </w:r>
      <w:r w:rsidR="000E61D6" w:rsidRPr="00650D66">
        <w:rPr>
          <w:rFonts w:ascii="Times New Roman" w:eastAsia="Times New Roman" w:hAnsi="Times New Roman" w:cs="Times New Roman"/>
          <w:sz w:val="24"/>
          <w:szCs w:val="24"/>
          <w:lang w:val="ro-RO"/>
        </w:rPr>
        <w:t>Din suma totală de 112,3 mii euro</w:t>
      </w:r>
      <w:r w:rsidR="0020547C" w:rsidRPr="00650D66">
        <w:rPr>
          <w:rFonts w:ascii="Times New Roman" w:eastAsia="Times New Roman" w:hAnsi="Times New Roman" w:cs="Times New Roman"/>
          <w:sz w:val="24"/>
          <w:szCs w:val="24"/>
          <w:lang w:val="ro-RO"/>
        </w:rPr>
        <w:t>/2</w:t>
      </w:r>
      <w:r w:rsidR="00C458CA">
        <w:rPr>
          <w:rFonts w:ascii="Times New Roman" w:eastAsia="Times New Roman" w:hAnsi="Times New Roman" w:cs="Times New Roman"/>
          <w:sz w:val="24"/>
          <w:szCs w:val="24"/>
          <w:lang w:val="ro-RO"/>
        </w:rPr>
        <w:t>.</w:t>
      </w:r>
      <w:r w:rsidR="0020547C" w:rsidRPr="00650D66">
        <w:rPr>
          <w:rFonts w:ascii="Times New Roman" w:eastAsia="Times New Roman" w:hAnsi="Times New Roman" w:cs="Times New Roman"/>
          <w:sz w:val="24"/>
          <w:szCs w:val="24"/>
          <w:lang w:val="ro-RO"/>
        </w:rPr>
        <w:t>300,2 mii lei</w:t>
      </w:r>
      <w:r w:rsidR="000E61D6" w:rsidRPr="00650D66">
        <w:rPr>
          <w:rFonts w:ascii="Times New Roman" w:eastAsia="Times New Roman" w:hAnsi="Times New Roman" w:cs="Times New Roman"/>
          <w:sz w:val="24"/>
          <w:szCs w:val="24"/>
          <w:lang w:val="ro-RO"/>
        </w:rPr>
        <w:t>, 70,7 mii euro</w:t>
      </w:r>
      <w:r w:rsidR="0020547C" w:rsidRPr="00650D66">
        <w:rPr>
          <w:rFonts w:ascii="Times New Roman" w:eastAsia="Times New Roman" w:hAnsi="Times New Roman" w:cs="Times New Roman"/>
          <w:sz w:val="24"/>
          <w:szCs w:val="24"/>
          <w:lang w:val="ro-RO"/>
        </w:rPr>
        <w:t>/1</w:t>
      </w:r>
      <w:r w:rsidR="00C458CA">
        <w:rPr>
          <w:rFonts w:ascii="Times New Roman" w:eastAsia="Times New Roman" w:hAnsi="Times New Roman" w:cs="Times New Roman"/>
          <w:sz w:val="24"/>
          <w:szCs w:val="24"/>
          <w:lang w:val="ro-RO"/>
        </w:rPr>
        <w:t>.</w:t>
      </w:r>
      <w:r w:rsidR="0020547C" w:rsidRPr="00650D66">
        <w:rPr>
          <w:rFonts w:ascii="Times New Roman" w:eastAsia="Times New Roman" w:hAnsi="Times New Roman" w:cs="Times New Roman"/>
          <w:sz w:val="24"/>
          <w:szCs w:val="24"/>
          <w:lang w:val="ro-RO"/>
        </w:rPr>
        <w:t>447,2 mii lei</w:t>
      </w:r>
      <w:r w:rsidR="000E61D6" w:rsidRPr="00650D66">
        <w:rPr>
          <w:rFonts w:ascii="Times New Roman" w:eastAsia="Times New Roman" w:hAnsi="Times New Roman" w:cs="Times New Roman"/>
          <w:sz w:val="24"/>
          <w:szCs w:val="24"/>
          <w:lang w:val="ro-RO"/>
        </w:rPr>
        <w:t xml:space="preserve"> </w:t>
      </w:r>
      <w:r w:rsidR="009C067F" w:rsidRPr="00650D66">
        <w:rPr>
          <w:rFonts w:ascii="Times New Roman" w:eastAsia="Times New Roman" w:hAnsi="Times New Roman" w:cs="Times New Roman"/>
          <w:sz w:val="24"/>
          <w:szCs w:val="24"/>
          <w:lang w:val="ro-RO"/>
        </w:rPr>
        <w:t xml:space="preserve">au fost </w:t>
      </w:r>
      <w:r w:rsidR="000E61D6" w:rsidRPr="00650D66">
        <w:rPr>
          <w:rFonts w:ascii="Times New Roman" w:eastAsia="Times New Roman" w:hAnsi="Times New Roman" w:cs="Times New Roman"/>
          <w:sz w:val="24"/>
          <w:szCs w:val="24"/>
          <w:lang w:val="ro-RO"/>
        </w:rPr>
        <w:t>pentru servicii</w:t>
      </w:r>
      <w:r w:rsidR="00C458CA">
        <w:rPr>
          <w:rFonts w:ascii="Times New Roman" w:eastAsia="Times New Roman" w:hAnsi="Times New Roman" w:cs="Times New Roman"/>
          <w:sz w:val="24"/>
          <w:szCs w:val="24"/>
          <w:lang w:val="ro-RO"/>
        </w:rPr>
        <w:t>le</w:t>
      </w:r>
      <w:r w:rsidR="000E61D6" w:rsidRPr="00650D66">
        <w:rPr>
          <w:rFonts w:ascii="Times New Roman" w:eastAsia="Times New Roman" w:hAnsi="Times New Roman" w:cs="Times New Roman"/>
          <w:sz w:val="24"/>
          <w:szCs w:val="24"/>
          <w:lang w:val="ro-RO"/>
        </w:rPr>
        <w:t xml:space="preserve"> </w:t>
      </w:r>
      <w:r w:rsidR="009C067F" w:rsidRPr="00650D66">
        <w:rPr>
          <w:rFonts w:ascii="Times New Roman" w:eastAsia="Times New Roman" w:hAnsi="Times New Roman" w:cs="Times New Roman"/>
          <w:sz w:val="24"/>
          <w:szCs w:val="24"/>
          <w:lang w:val="ro-RO"/>
        </w:rPr>
        <w:t>integrate de consultanță în resurse umane</w:t>
      </w:r>
      <w:r w:rsidR="00C458CA">
        <w:rPr>
          <w:rFonts w:ascii="Times New Roman" w:eastAsia="Times New Roman" w:hAnsi="Times New Roman" w:cs="Times New Roman"/>
          <w:sz w:val="24"/>
          <w:szCs w:val="24"/>
          <w:lang w:val="ro-RO"/>
        </w:rPr>
        <w:t>,</w:t>
      </w:r>
      <w:r w:rsidR="000E61D6" w:rsidRPr="00650D66">
        <w:rPr>
          <w:rFonts w:ascii="Times New Roman" w:eastAsia="Times New Roman" w:hAnsi="Times New Roman" w:cs="Times New Roman"/>
          <w:sz w:val="24"/>
          <w:szCs w:val="24"/>
          <w:lang w:val="ro-RO"/>
        </w:rPr>
        <w:t xml:space="preserve"> iar 41,6 mii euro</w:t>
      </w:r>
      <w:r w:rsidR="0020547C" w:rsidRPr="00650D66">
        <w:rPr>
          <w:rFonts w:ascii="Times New Roman" w:eastAsia="Times New Roman" w:hAnsi="Times New Roman" w:cs="Times New Roman"/>
          <w:sz w:val="24"/>
          <w:szCs w:val="24"/>
          <w:lang w:val="ro-RO"/>
        </w:rPr>
        <w:t>/853,1 mii lei</w:t>
      </w:r>
      <w:r w:rsidR="00C458CA">
        <w:rPr>
          <w:rFonts w:ascii="Times New Roman" w:eastAsia="Times New Roman" w:hAnsi="Times New Roman" w:cs="Times New Roman"/>
          <w:sz w:val="24"/>
          <w:szCs w:val="24"/>
          <w:lang w:val="ro-RO"/>
        </w:rPr>
        <w:t xml:space="preserve"> </w:t>
      </w:r>
      <w:r w:rsidR="00C458CA" w:rsidRPr="00650D66">
        <w:rPr>
          <w:rFonts w:ascii="Times New Roman" w:hAnsi="Times New Roman" w:cs="Times New Roman"/>
          <w:sz w:val="24"/>
          <w:szCs w:val="24"/>
          <w:lang w:val="ro-RO"/>
        </w:rPr>
        <w:t>–</w:t>
      </w:r>
      <w:r w:rsidR="000E61D6" w:rsidRPr="00650D66">
        <w:rPr>
          <w:rFonts w:ascii="Times New Roman" w:eastAsia="Times New Roman" w:hAnsi="Times New Roman" w:cs="Times New Roman"/>
          <w:sz w:val="24"/>
          <w:szCs w:val="24"/>
          <w:lang w:val="ro-RO"/>
        </w:rPr>
        <w:t xml:space="preserve"> pentru servicii de instruire </w:t>
      </w:r>
      <w:r w:rsidR="000E61D6" w:rsidRPr="00C458CA">
        <w:rPr>
          <w:rFonts w:ascii="Times New Roman" w:eastAsia="Times New Roman" w:hAnsi="Times New Roman" w:cs="Times New Roman"/>
          <w:sz w:val="24"/>
          <w:szCs w:val="24"/>
          <w:lang w:val="ro-RO"/>
        </w:rPr>
        <w:t xml:space="preserve">în </w:t>
      </w:r>
      <w:r w:rsidR="003F4DFD" w:rsidRPr="00C458CA">
        <w:rPr>
          <w:rFonts w:ascii="Times New Roman" w:eastAsia="Times New Roman" w:hAnsi="Times New Roman" w:cs="Times New Roman"/>
          <w:sz w:val="24"/>
          <w:szCs w:val="24"/>
          <w:lang w:val="ro-RO"/>
        </w:rPr>
        <w:t>abilitățile manageri</w:t>
      </w:r>
      <w:r w:rsidR="00C458CA" w:rsidRPr="00991A75">
        <w:rPr>
          <w:rFonts w:ascii="Times New Roman" w:eastAsia="Times New Roman" w:hAnsi="Times New Roman" w:cs="Times New Roman"/>
          <w:sz w:val="24"/>
          <w:szCs w:val="24"/>
          <w:lang w:val="ro-RO"/>
        </w:rPr>
        <w:t>a</w:t>
      </w:r>
      <w:r w:rsidR="003F4DFD" w:rsidRPr="00C458CA">
        <w:rPr>
          <w:rFonts w:ascii="Times New Roman" w:eastAsia="Times New Roman" w:hAnsi="Times New Roman" w:cs="Times New Roman"/>
          <w:sz w:val="24"/>
          <w:szCs w:val="24"/>
          <w:lang w:val="ro-RO"/>
        </w:rPr>
        <w:t>l</w:t>
      </w:r>
      <w:r w:rsidR="00C458CA" w:rsidRPr="00991A75">
        <w:rPr>
          <w:rFonts w:ascii="Times New Roman" w:eastAsia="Times New Roman" w:hAnsi="Times New Roman" w:cs="Times New Roman"/>
          <w:sz w:val="24"/>
          <w:szCs w:val="24"/>
          <w:lang w:val="ro-RO"/>
        </w:rPr>
        <w:t>e</w:t>
      </w:r>
      <w:r w:rsidR="000E61D6" w:rsidRPr="00C458CA">
        <w:rPr>
          <w:rFonts w:ascii="Times New Roman" w:eastAsia="Times New Roman" w:hAnsi="Times New Roman" w:cs="Times New Roman"/>
          <w:sz w:val="24"/>
          <w:szCs w:val="24"/>
          <w:lang w:val="ro-RO"/>
        </w:rPr>
        <w:t>.</w:t>
      </w:r>
      <w:r w:rsidR="000E61D6" w:rsidRPr="00650D66">
        <w:rPr>
          <w:rFonts w:ascii="Times New Roman" w:eastAsia="Times New Roman" w:hAnsi="Times New Roman" w:cs="Times New Roman"/>
          <w:sz w:val="24"/>
          <w:szCs w:val="24"/>
          <w:lang w:val="ro-RO"/>
        </w:rPr>
        <w:t xml:space="preserve"> </w:t>
      </w:r>
    </w:p>
    <w:p w14:paraId="2FB1925F" w14:textId="77777777" w:rsidR="007E5833" w:rsidRPr="00650D66" w:rsidRDefault="007E5833" w:rsidP="00E12DD8">
      <w:pPr>
        <w:spacing w:after="0" w:line="276" w:lineRule="auto"/>
        <w:jc w:val="both"/>
        <w:rPr>
          <w:rFonts w:ascii="Times New Roman" w:eastAsia="Times New Roman" w:hAnsi="Times New Roman" w:cs="Times New Roman"/>
          <w:sz w:val="6"/>
          <w:szCs w:val="6"/>
          <w:lang w:val="ro-RO"/>
        </w:rPr>
      </w:pPr>
    </w:p>
    <w:p w14:paraId="4A490EAB" w14:textId="51337603" w:rsidR="003A1681" w:rsidRPr="00650D66" w:rsidRDefault="00EE112D" w:rsidP="003A1681">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Conform</w:t>
      </w:r>
      <w:r w:rsidR="003A1681" w:rsidRPr="00650D66">
        <w:rPr>
          <w:rFonts w:ascii="Times New Roman" w:eastAsia="Times New Roman" w:hAnsi="Times New Roman" w:cs="Times New Roman"/>
          <w:sz w:val="24"/>
          <w:szCs w:val="24"/>
          <w:lang w:val="ro-RO"/>
        </w:rPr>
        <w:t xml:space="preserve"> prevederilor art.34 din Legea cu privire la BNM</w:t>
      </w:r>
      <w:r w:rsidR="00504A52">
        <w:rPr>
          <w:rFonts w:ascii="Times New Roman" w:eastAsia="Times New Roman" w:hAnsi="Times New Roman" w:cs="Times New Roman"/>
          <w:sz w:val="24"/>
          <w:szCs w:val="24"/>
          <w:lang w:val="ro-RO"/>
        </w:rPr>
        <w:t>,</w:t>
      </w:r>
      <w:r w:rsidR="003A1681" w:rsidRPr="00650D66">
        <w:rPr>
          <w:rFonts w:ascii="Times New Roman" w:eastAsia="Times New Roman" w:hAnsi="Times New Roman" w:cs="Times New Roman"/>
          <w:sz w:val="24"/>
          <w:szCs w:val="24"/>
          <w:lang w:val="ro-RO"/>
        </w:rPr>
        <w:t xml:space="preserve"> </w:t>
      </w:r>
      <w:r w:rsidR="003A1681" w:rsidRPr="00650D66">
        <w:rPr>
          <w:rFonts w:ascii="Times New Roman" w:eastAsia="Times New Roman" w:hAnsi="Times New Roman" w:cs="Times New Roman"/>
          <w:b/>
          <w:i/>
          <w:sz w:val="24"/>
          <w:szCs w:val="24"/>
          <w:lang w:val="ro-RO"/>
        </w:rPr>
        <w:t>Comitetul executiv</w:t>
      </w:r>
      <w:r w:rsidR="003A1681" w:rsidRPr="00650D66">
        <w:rPr>
          <w:rFonts w:ascii="Times New Roman" w:eastAsia="Times New Roman" w:hAnsi="Times New Roman" w:cs="Times New Roman"/>
          <w:sz w:val="24"/>
          <w:szCs w:val="24"/>
          <w:lang w:val="ro-RO"/>
        </w:rPr>
        <w:t xml:space="preserve"> </w:t>
      </w:r>
      <w:r w:rsidR="00380F0D" w:rsidRPr="00650D66">
        <w:rPr>
          <w:rFonts w:ascii="Times New Roman" w:eastAsia="Times New Roman" w:hAnsi="Times New Roman" w:cs="Times New Roman"/>
          <w:sz w:val="24"/>
          <w:szCs w:val="24"/>
          <w:lang w:val="ro-RO"/>
        </w:rPr>
        <w:t xml:space="preserve">aprobă Regulamentul cu privire la personalul BNM și decide asupra remunerării personalului scriptic în conformitate cu legislația. </w:t>
      </w:r>
      <w:r w:rsidR="00BD4B09" w:rsidRPr="00650D66">
        <w:rPr>
          <w:rFonts w:ascii="Times New Roman" w:eastAsia="Times New Roman" w:hAnsi="Times New Roman" w:cs="Times New Roman"/>
          <w:sz w:val="24"/>
          <w:szCs w:val="24"/>
          <w:lang w:val="ro-RO"/>
        </w:rPr>
        <w:t>Totodată, BNM</w:t>
      </w:r>
      <w:r w:rsidR="003A1681" w:rsidRPr="00650D66">
        <w:rPr>
          <w:rFonts w:ascii="Times New Roman" w:eastAsia="Times New Roman" w:hAnsi="Times New Roman" w:cs="Times New Roman"/>
          <w:sz w:val="24"/>
          <w:szCs w:val="24"/>
          <w:lang w:val="ro-RO"/>
        </w:rPr>
        <w:t xml:space="preserve"> stabilește și menține sistemul de remunerare a angajaților săi într-un mod care, potrivit principiilor acceptate în practica internațională, asigură echitatea internă și competitivitatea externă, consolidarea capacităților instituționale, continuitatea activității și resurselor umane. </w:t>
      </w:r>
      <w:r w:rsidR="003A1681" w:rsidRPr="00504A52">
        <w:rPr>
          <w:rFonts w:ascii="Times New Roman" w:eastAsia="Times New Roman" w:hAnsi="Times New Roman" w:cs="Times New Roman"/>
          <w:sz w:val="24"/>
          <w:szCs w:val="24"/>
          <w:lang w:val="ro-RO"/>
        </w:rPr>
        <w:t xml:space="preserve">În acest scop, nivelul de remunerare a angajaților </w:t>
      </w:r>
      <w:r w:rsidR="00BD4B09" w:rsidRPr="00504A52">
        <w:rPr>
          <w:rFonts w:ascii="Times New Roman" w:eastAsia="Times New Roman" w:hAnsi="Times New Roman" w:cs="Times New Roman"/>
          <w:sz w:val="24"/>
          <w:szCs w:val="24"/>
          <w:lang w:val="ro-RO"/>
        </w:rPr>
        <w:t>BNM</w:t>
      </w:r>
      <w:r w:rsidR="003A1681" w:rsidRPr="00504A52">
        <w:rPr>
          <w:rFonts w:ascii="Times New Roman" w:eastAsia="Times New Roman" w:hAnsi="Times New Roman" w:cs="Times New Roman"/>
          <w:sz w:val="24"/>
          <w:szCs w:val="24"/>
          <w:lang w:val="ro-RO"/>
        </w:rPr>
        <w:t xml:space="preserve"> nu este inferior nivelului de remunerare a posturilor similare</w:t>
      </w:r>
      <w:r w:rsidR="00A968E1" w:rsidRPr="00504A52">
        <w:rPr>
          <w:rFonts w:ascii="Times New Roman" w:eastAsia="Times New Roman" w:hAnsi="Times New Roman" w:cs="Times New Roman"/>
          <w:sz w:val="24"/>
          <w:szCs w:val="24"/>
          <w:lang w:val="ro-RO"/>
        </w:rPr>
        <w:t>,</w:t>
      </w:r>
      <w:r w:rsidR="003A1681" w:rsidRPr="00504A52">
        <w:rPr>
          <w:rFonts w:ascii="Times New Roman" w:eastAsia="Times New Roman" w:hAnsi="Times New Roman" w:cs="Times New Roman"/>
          <w:sz w:val="24"/>
          <w:szCs w:val="24"/>
          <w:lang w:val="ro-RO"/>
        </w:rPr>
        <w:t xml:space="preserve"> ca impact și complexitate</w:t>
      </w:r>
      <w:r w:rsidR="00D642FF" w:rsidRPr="00504A52">
        <w:rPr>
          <w:rFonts w:ascii="Times New Roman" w:eastAsia="Times New Roman" w:hAnsi="Times New Roman" w:cs="Times New Roman"/>
          <w:sz w:val="24"/>
          <w:szCs w:val="24"/>
          <w:lang w:val="ro-RO"/>
        </w:rPr>
        <w:t>,</w:t>
      </w:r>
      <w:r w:rsidR="003A1681" w:rsidRPr="00504A52">
        <w:rPr>
          <w:rFonts w:ascii="Times New Roman" w:eastAsia="Times New Roman" w:hAnsi="Times New Roman" w:cs="Times New Roman"/>
          <w:sz w:val="24"/>
          <w:szCs w:val="24"/>
          <w:lang w:val="ro-RO"/>
        </w:rPr>
        <w:t xml:space="preserve"> din sectorul bancar și/sau </w:t>
      </w:r>
      <w:r w:rsidR="00C458CA" w:rsidRPr="00504A52">
        <w:rPr>
          <w:rFonts w:ascii="Times New Roman" w:eastAsia="Times New Roman" w:hAnsi="Times New Roman" w:cs="Times New Roman"/>
          <w:sz w:val="24"/>
          <w:szCs w:val="24"/>
          <w:lang w:val="ro-RO"/>
        </w:rPr>
        <w:t xml:space="preserve">de pe </w:t>
      </w:r>
      <w:r w:rsidR="003A1681" w:rsidRPr="00504A52">
        <w:rPr>
          <w:rFonts w:ascii="Times New Roman" w:eastAsia="Times New Roman" w:hAnsi="Times New Roman" w:cs="Times New Roman"/>
          <w:sz w:val="24"/>
          <w:szCs w:val="24"/>
          <w:lang w:val="ro-RO"/>
        </w:rPr>
        <w:t>piața generală de servicii specializate</w:t>
      </w:r>
      <w:r w:rsidR="00504A52" w:rsidRPr="00504A52">
        <w:rPr>
          <w:rFonts w:ascii="Times New Roman" w:eastAsia="Times New Roman" w:hAnsi="Times New Roman" w:cs="Times New Roman"/>
          <w:sz w:val="24"/>
          <w:szCs w:val="24"/>
          <w:vertAlign w:val="superscript"/>
          <w:lang w:val="ro-RO"/>
        </w:rPr>
        <w:footnoteReference w:id="40"/>
      </w:r>
      <w:r w:rsidR="003A1681" w:rsidRPr="00504A52">
        <w:rPr>
          <w:rFonts w:ascii="Times New Roman" w:eastAsia="Times New Roman" w:hAnsi="Times New Roman" w:cs="Times New Roman"/>
          <w:sz w:val="24"/>
          <w:szCs w:val="24"/>
          <w:lang w:val="ro-RO"/>
        </w:rPr>
        <w:t>.</w:t>
      </w:r>
    </w:p>
    <w:p w14:paraId="6FC48CE3" w14:textId="77777777" w:rsidR="00BF1EDC" w:rsidRPr="00650D66" w:rsidRDefault="00BF1EDC" w:rsidP="003A1681">
      <w:pPr>
        <w:spacing w:after="0" w:line="276" w:lineRule="auto"/>
        <w:jc w:val="both"/>
        <w:rPr>
          <w:rFonts w:ascii="Times New Roman" w:eastAsia="Times New Roman" w:hAnsi="Times New Roman" w:cs="Times New Roman"/>
          <w:sz w:val="6"/>
          <w:szCs w:val="6"/>
          <w:lang w:val="ro-RO"/>
        </w:rPr>
      </w:pPr>
    </w:p>
    <w:p w14:paraId="625DC757" w14:textId="7E106C0B" w:rsidR="00AA131B" w:rsidRPr="00650D66" w:rsidRDefault="00B832BF" w:rsidP="00AA131B">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Astfel, prin Hotărârile CE</w:t>
      </w:r>
      <w:r w:rsidR="00583F95" w:rsidRPr="00650D66">
        <w:rPr>
          <w:rFonts w:ascii="Times New Roman" w:hAnsi="Times New Roman" w:cs="Times New Roman"/>
          <w:color w:val="000000"/>
          <w:sz w:val="24"/>
          <w:szCs w:val="24"/>
          <w:vertAlign w:val="superscript"/>
          <w:lang w:val="ro-RO" w:eastAsia="ro-RO" w:bidi="ro-RO"/>
        </w:rPr>
        <w:footnoteReference w:id="41"/>
      </w:r>
      <w:r w:rsidRPr="00650D66">
        <w:rPr>
          <w:rFonts w:ascii="Times New Roman" w:eastAsia="Times New Roman" w:hAnsi="Times New Roman" w:cs="Times New Roman"/>
          <w:sz w:val="24"/>
          <w:szCs w:val="24"/>
          <w:lang w:val="ro-RO"/>
        </w:rPr>
        <w:t xml:space="preserve"> au fost aprobate</w:t>
      </w:r>
      <w:r w:rsidR="008173F8">
        <w:rPr>
          <w:rFonts w:ascii="Times New Roman" w:eastAsia="Times New Roman" w:hAnsi="Times New Roman" w:cs="Times New Roman"/>
          <w:sz w:val="24"/>
          <w:szCs w:val="24"/>
          <w:lang w:val="ro-RO"/>
        </w:rPr>
        <w:t xml:space="preserve"> anual</w:t>
      </w:r>
      <w:r w:rsidRPr="00650D66">
        <w:rPr>
          <w:rFonts w:ascii="Times New Roman" w:eastAsia="Times New Roman" w:hAnsi="Times New Roman" w:cs="Times New Roman"/>
          <w:sz w:val="24"/>
          <w:szCs w:val="24"/>
          <w:lang w:val="ro-RO"/>
        </w:rPr>
        <w:t xml:space="preserve"> </w:t>
      </w:r>
      <w:r w:rsidR="008173F8">
        <w:rPr>
          <w:rFonts w:ascii="Times New Roman" w:eastAsia="Times New Roman" w:hAnsi="Times New Roman" w:cs="Times New Roman"/>
          <w:sz w:val="24"/>
          <w:szCs w:val="24"/>
          <w:lang w:val="ro-RO"/>
        </w:rPr>
        <w:t>s</w:t>
      </w:r>
      <w:r w:rsidRPr="00650D66">
        <w:rPr>
          <w:rFonts w:ascii="Times New Roman" w:eastAsia="Times New Roman" w:hAnsi="Times New Roman" w:cs="Times New Roman"/>
          <w:sz w:val="24"/>
          <w:szCs w:val="24"/>
          <w:lang w:val="ro-RO"/>
        </w:rPr>
        <w:t>tatele de personal</w:t>
      </w:r>
      <w:r w:rsidR="006866BD" w:rsidRPr="00650D66">
        <w:rPr>
          <w:rFonts w:ascii="Times New Roman" w:eastAsia="Times New Roman" w:hAnsi="Times New Roman" w:cs="Times New Roman"/>
          <w:sz w:val="24"/>
          <w:szCs w:val="24"/>
          <w:lang w:val="ro-RO"/>
        </w:rPr>
        <w:t xml:space="preserve">, care au </w:t>
      </w:r>
      <w:r w:rsidR="00EF6FF1" w:rsidRPr="00650D66">
        <w:rPr>
          <w:rFonts w:ascii="Times New Roman" w:eastAsia="Times New Roman" w:hAnsi="Times New Roman" w:cs="Times New Roman"/>
          <w:sz w:val="24"/>
          <w:szCs w:val="24"/>
          <w:lang w:val="ro-RO"/>
        </w:rPr>
        <w:t>fost modificate</w:t>
      </w:r>
      <w:r w:rsidR="006866BD" w:rsidRPr="00650D66">
        <w:rPr>
          <w:rFonts w:ascii="Times New Roman" w:eastAsia="Times New Roman" w:hAnsi="Times New Roman" w:cs="Times New Roman"/>
          <w:sz w:val="24"/>
          <w:szCs w:val="24"/>
          <w:lang w:val="ro-RO"/>
        </w:rPr>
        <w:t xml:space="preserve"> pe parcurs înregistrând în anul 2019 – 519 unități, în anul 2020 – 518 unități, în anul 2021 – 522 </w:t>
      </w:r>
      <w:r w:rsidR="008173F8">
        <w:rPr>
          <w:rFonts w:ascii="Times New Roman" w:eastAsia="Times New Roman" w:hAnsi="Times New Roman" w:cs="Times New Roman"/>
          <w:sz w:val="24"/>
          <w:szCs w:val="24"/>
          <w:lang w:val="ro-RO"/>
        </w:rPr>
        <w:t xml:space="preserve">de </w:t>
      </w:r>
      <w:r w:rsidR="006866BD" w:rsidRPr="00650D66">
        <w:rPr>
          <w:rFonts w:ascii="Times New Roman" w:eastAsia="Times New Roman" w:hAnsi="Times New Roman" w:cs="Times New Roman"/>
          <w:sz w:val="24"/>
          <w:szCs w:val="24"/>
          <w:lang w:val="ro-RO"/>
        </w:rPr>
        <w:t>unități</w:t>
      </w:r>
      <w:r w:rsidR="008173F8">
        <w:rPr>
          <w:rFonts w:ascii="Times New Roman" w:eastAsia="Times New Roman" w:hAnsi="Times New Roman" w:cs="Times New Roman"/>
          <w:sz w:val="24"/>
          <w:szCs w:val="24"/>
          <w:lang w:val="ro-RO"/>
        </w:rPr>
        <w:t>,</w:t>
      </w:r>
      <w:r w:rsidR="006866BD" w:rsidRPr="00650D66">
        <w:rPr>
          <w:rFonts w:ascii="Times New Roman" w:eastAsia="Times New Roman" w:hAnsi="Times New Roman" w:cs="Times New Roman"/>
          <w:sz w:val="24"/>
          <w:szCs w:val="24"/>
          <w:lang w:val="ro-RO"/>
        </w:rPr>
        <w:t xml:space="preserve"> și în anul 2022 – 574 </w:t>
      </w:r>
      <w:r w:rsidR="008173F8">
        <w:rPr>
          <w:rFonts w:ascii="Times New Roman" w:eastAsia="Times New Roman" w:hAnsi="Times New Roman" w:cs="Times New Roman"/>
          <w:sz w:val="24"/>
          <w:szCs w:val="24"/>
          <w:lang w:val="ro-RO"/>
        </w:rPr>
        <w:t xml:space="preserve">de </w:t>
      </w:r>
      <w:r w:rsidR="00D3249C" w:rsidRPr="00650D66">
        <w:rPr>
          <w:rFonts w:ascii="Times New Roman" w:eastAsia="Times New Roman" w:hAnsi="Times New Roman" w:cs="Times New Roman"/>
          <w:sz w:val="24"/>
          <w:szCs w:val="24"/>
          <w:lang w:val="ro-RO"/>
        </w:rPr>
        <w:t xml:space="preserve">unități, fiind cu 55 </w:t>
      </w:r>
      <w:r w:rsidR="008173F8">
        <w:rPr>
          <w:rFonts w:ascii="Times New Roman" w:eastAsia="Times New Roman" w:hAnsi="Times New Roman" w:cs="Times New Roman"/>
          <w:sz w:val="24"/>
          <w:szCs w:val="24"/>
          <w:lang w:val="ro-RO"/>
        </w:rPr>
        <w:t xml:space="preserve">de </w:t>
      </w:r>
      <w:r w:rsidR="00D3249C" w:rsidRPr="00650D66">
        <w:rPr>
          <w:rFonts w:ascii="Times New Roman" w:eastAsia="Times New Roman" w:hAnsi="Times New Roman" w:cs="Times New Roman"/>
          <w:sz w:val="24"/>
          <w:szCs w:val="24"/>
          <w:lang w:val="ro-RO"/>
        </w:rPr>
        <w:t>unități mai mult în anul 2022 față de anul 2019.</w:t>
      </w:r>
      <w:r w:rsidR="00AA131B" w:rsidRPr="00650D66">
        <w:rPr>
          <w:rFonts w:ascii="Times New Roman" w:eastAsia="Times New Roman" w:hAnsi="Times New Roman" w:cs="Times New Roman"/>
          <w:sz w:val="24"/>
          <w:szCs w:val="24"/>
          <w:lang w:val="ro-RO"/>
        </w:rPr>
        <w:t xml:space="preserve"> Această creștere a fost motivată </w:t>
      </w:r>
      <w:r w:rsidR="00645F88" w:rsidRPr="00650D66">
        <w:rPr>
          <w:rFonts w:ascii="Times New Roman" w:eastAsia="Times New Roman" w:hAnsi="Times New Roman" w:cs="Times New Roman"/>
          <w:sz w:val="24"/>
          <w:szCs w:val="24"/>
          <w:lang w:val="ro-RO"/>
        </w:rPr>
        <w:t xml:space="preserve">în principal </w:t>
      </w:r>
      <w:r w:rsidR="00AA131B" w:rsidRPr="00650D66">
        <w:rPr>
          <w:rFonts w:ascii="Times New Roman" w:eastAsia="Times New Roman" w:hAnsi="Times New Roman" w:cs="Times New Roman"/>
          <w:sz w:val="24"/>
          <w:szCs w:val="24"/>
          <w:lang w:val="ro-RO"/>
        </w:rPr>
        <w:t>de necesitatea consolidării capacității BNM în domeniul supravegherii, precum și educației financiare.</w:t>
      </w:r>
    </w:p>
    <w:p w14:paraId="42B53D95" w14:textId="77777777" w:rsidR="008B5053" w:rsidRPr="00650D66" w:rsidRDefault="008B5053" w:rsidP="005D315F">
      <w:pPr>
        <w:spacing w:after="0" w:line="276" w:lineRule="auto"/>
        <w:jc w:val="both"/>
        <w:rPr>
          <w:rFonts w:ascii="Times New Roman" w:eastAsia="Times New Roman" w:hAnsi="Times New Roman" w:cs="Times New Roman"/>
          <w:sz w:val="6"/>
          <w:szCs w:val="6"/>
          <w:lang w:val="ro-RO"/>
        </w:rPr>
      </w:pPr>
    </w:p>
    <w:p w14:paraId="3E0842F6" w14:textId="6F3CE5E7" w:rsidR="00182FFD" w:rsidRPr="00650D66" w:rsidRDefault="008173F8" w:rsidP="00583F95">
      <w:pPr>
        <w:tabs>
          <w:tab w:val="left" w:pos="567"/>
          <w:tab w:val="left" w:pos="851"/>
        </w:tabs>
        <w:spacing w:after="0" w:line="276" w:lineRule="auto"/>
        <w:contextualSpacing/>
        <w:jc w:val="both"/>
        <w:rPr>
          <w:rFonts w:ascii="Times New Roman" w:hAnsi="Times New Roman" w:cs="Times New Roman"/>
          <w:color w:val="000000"/>
          <w:sz w:val="24"/>
          <w:szCs w:val="24"/>
          <w:lang w:val="ro-RO" w:eastAsia="ro-RO" w:bidi="ro-RO"/>
        </w:rPr>
      </w:pPr>
      <w:r>
        <w:rPr>
          <w:rFonts w:ascii="Times New Roman" w:hAnsi="Times New Roman" w:cs="Times New Roman"/>
          <w:color w:val="000000"/>
          <w:sz w:val="24"/>
          <w:szCs w:val="24"/>
          <w:lang w:val="ro-RO" w:eastAsia="ro-RO" w:bidi="ro-RO"/>
        </w:rPr>
        <w:t>Ca u</w:t>
      </w:r>
      <w:r w:rsidR="00352187" w:rsidRPr="00650D66">
        <w:rPr>
          <w:rFonts w:ascii="Times New Roman" w:hAnsi="Times New Roman" w:cs="Times New Roman"/>
          <w:color w:val="000000"/>
          <w:sz w:val="24"/>
          <w:szCs w:val="24"/>
          <w:lang w:val="ro-RO" w:eastAsia="ro-RO" w:bidi="ro-RO"/>
        </w:rPr>
        <w:t xml:space="preserve">rmare </w:t>
      </w:r>
      <w:r>
        <w:rPr>
          <w:rFonts w:ascii="Times New Roman" w:hAnsi="Times New Roman" w:cs="Times New Roman"/>
          <w:color w:val="000000"/>
          <w:sz w:val="24"/>
          <w:szCs w:val="24"/>
          <w:lang w:val="ro-RO" w:eastAsia="ro-RO" w:bidi="ro-RO"/>
        </w:rPr>
        <w:t xml:space="preserve">a </w:t>
      </w:r>
      <w:r w:rsidR="00352187" w:rsidRPr="00650D66">
        <w:rPr>
          <w:rFonts w:ascii="Times New Roman" w:hAnsi="Times New Roman" w:cs="Times New Roman"/>
          <w:color w:val="000000"/>
          <w:sz w:val="24"/>
          <w:szCs w:val="24"/>
          <w:lang w:val="ro-RO" w:eastAsia="ro-RO" w:bidi="ro-RO"/>
        </w:rPr>
        <w:t>verificărilor auditului</w:t>
      </w:r>
      <w:r>
        <w:rPr>
          <w:rFonts w:ascii="Times New Roman" w:hAnsi="Times New Roman" w:cs="Times New Roman"/>
          <w:color w:val="000000"/>
          <w:sz w:val="24"/>
          <w:szCs w:val="24"/>
          <w:lang w:val="ro-RO" w:eastAsia="ro-RO" w:bidi="ro-RO"/>
        </w:rPr>
        <w:t>,</w:t>
      </w:r>
      <w:r w:rsidR="00583F95" w:rsidRPr="00650D66">
        <w:rPr>
          <w:rFonts w:ascii="Times New Roman" w:hAnsi="Times New Roman" w:cs="Times New Roman"/>
          <w:color w:val="000000"/>
          <w:sz w:val="24"/>
          <w:szCs w:val="24"/>
          <w:lang w:val="ro-RO" w:eastAsia="ro-RO" w:bidi="ro-RO"/>
        </w:rPr>
        <w:t xml:space="preserve"> s-a constatat că</w:t>
      </w:r>
      <w:r w:rsidR="00352187" w:rsidRPr="00650D66">
        <w:rPr>
          <w:rFonts w:ascii="Times New Roman" w:hAnsi="Times New Roman" w:cs="Times New Roman"/>
          <w:color w:val="000000"/>
          <w:sz w:val="24"/>
          <w:szCs w:val="24"/>
          <w:lang w:val="ro-RO" w:eastAsia="ro-RO" w:bidi="ro-RO"/>
        </w:rPr>
        <w:t>,</w:t>
      </w:r>
      <w:r w:rsidR="00583F95" w:rsidRPr="00650D66">
        <w:rPr>
          <w:rFonts w:ascii="Times New Roman" w:hAnsi="Times New Roman" w:cs="Times New Roman"/>
          <w:color w:val="000000"/>
          <w:sz w:val="24"/>
          <w:szCs w:val="24"/>
          <w:lang w:val="ro-RO" w:eastAsia="ro-RO" w:bidi="ro-RO"/>
        </w:rPr>
        <w:t xml:space="preserve"> deși numă</w:t>
      </w:r>
      <w:r w:rsidR="00352187" w:rsidRPr="00650D66">
        <w:rPr>
          <w:rFonts w:ascii="Times New Roman" w:hAnsi="Times New Roman" w:cs="Times New Roman"/>
          <w:color w:val="000000"/>
          <w:sz w:val="24"/>
          <w:szCs w:val="24"/>
          <w:lang w:val="ro-RO" w:eastAsia="ro-RO" w:bidi="ro-RO"/>
        </w:rPr>
        <w:t xml:space="preserve">rul de unități aprobat conform </w:t>
      </w:r>
      <w:r>
        <w:rPr>
          <w:rFonts w:ascii="Times New Roman" w:hAnsi="Times New Roman" w:cs="Times New Roman"/>
          <w:color w:val="000000"/>
          <w:sz w:val="24"/>
          <w:szCs w:val="24"/>
          <w:lang w:val="ro-RO" w:eastAsia="ro-RO" w:bidi="ro-RO"/>
        </w:rPr>
        <w:t>s</w:t>
      </w:r>
      <w:r w:rsidR="00583F95" w:rsidRPr="00650D66">
        <w:rPr>
          <w:rFonts w:ascii="Times New Roman" w:hAnsi="Times New Roman" w:cs="Times New Roman"/>
          <w:color w:val="000000"/>
          <w:sz w:val="24"/>
          <w:szCs w:val="24"/>
          <w:lang w:val="ro-RO" w:eastAsia="ro-RO" w:bidi="ro-RO"/>
        </w:rPr>
        <w:t>tatelor de personal este în creștere, angajați activi</w:t>
      </w:r>
      <w:r w:rsidR="00352187" w:rsidRPr="00650D66">
        <w:rPr>
          <w:rFonts w:ascii="Times New Roman" w:hAnsi="Times New Roman" w:cs="Times New Roman"/>
          <w:color w:val="000000"/>
          <w:sz w:val="24"/>
          <w:szCs w:val="24"/>
          <w:lang w:val="ro-RO" w:eastAsia="ro-RO" w:bidi="ro-RO"/>
        </w:rPr>
        <w:t xml:space="preserve"> se înregistrează </w:t>
      </w:r>
      <w:r w:rsidR="00CB67E2" w:rsidRPr="00650D66">
        <w:rPr>
          <w:rFonts w:ascii="Times New Roman" w:hAnsi="Times New Roman" w:cs="Times New Roman"/>
          <w:color w:val="000000"/>
          <w:sz w:val="24"/>
          <w:szCs w:val="24"/>
          <w:lang w:val="ro-RO" w:eastAsia="ro-RO" w:bidi="ro-RO"/>
        </w:rPr>
        <w:t>anual mai puțini sau în medi</w:t>
      </w:r>
      <w:r w:rsidR="00A968E1">
        <w:rPr>
          <w:rFonts w:ascii="Times New Roman" w:hAnsi="Times New Roman" w:cs="Times New Roman"/>
          <w:color w:val="000000"/>
          <w:sz w:val="24"/>
          <w:szCs w:val="24"/>
          <w:lang w:val="ro-RO" w:eastAsia="ro-RO" w:bidi="ro-RO"/>
        </w:rPr>
        <w:t>e</w:t>
      </w:r>
      <w:r w:rsidR="00352187" w:rsidRPr="00650D66">
        <w:rPr>
          <w:rFonts w:ascii="Times New Roman" w:hAnsi="Times New Roman" w:cs="Times New Roman"/>
          <w:color w:val="000000"/>
          <w:sz w:val="24"/>
          <w:szCs w:val="24"/>
          <w:lang w:val="ro-RO" w:eastAsia="ro-RO" w:bidi="ro-RO"/>
        </w:rPr>
        <w:t xml:space="preserve"> </w:t>
      </w:r>
      <w:r w:rsidR="008A4F34" w:rsidRPr="00650D66">
        <w:rPr>
          <w:rFonts w:ascii="Times New Roman" w:hAnsi="Times New Roman" w:cs="Times New Roman"/>
          <w:color w:val="000000"/>
          <w:sz w:val="24"/>
          <w:szCs w:val="24"/>
          <w:lang w:val="ro-RO" w:eastAsia="ro-RO" w:bidi="ro-RO"/>
        </w:rPr>
        <w:t xml:space="preserve">cu </w:t>
      </w:r>
      <w:r w:rsidR="00352187" w:rsidRPr="00650D66">
        <w:rPr>
          <w:rFonts w:ascii="Times New Roman" w:hAnsi="Times New Roman" w:cs="Times New Roman"/>
          <w:color w:val="000000"/>
          <w:sz w:val="24"/>
          <w:szCs w:val="24"/>
          <w:lang w:val="ro-RO" w:eastAsia="ro-RO" w:bidi="ro-RO"/>
        </w:rPr>
        <w:t>circa 111 unități, astfel activi la finele anului au fost: în anul 2019 – 419 unități, 2020 – 408 unități, 2021 – 415 unități</w:t>
      </w:r>
      <w:r w:rsidR="00A968E1">
        <w:rPr>
          <w:rFonts w:ascii="Times New Roman" w:hAnsi="Times New Roman" w:cs="Times New Roman"/>
          <w:color w:val="000000"/>
          <w:sz w:val="24"/>
          <w:szCs w:val="24"/>
          <w:lang w:val="ro-RO" w:eastAsia="ro-RO" w:bidi="ro-RO"/>
        </w:rPr>
        <w:t>,</w:t>
      </w:r>
      <w:r w:rsidR="00352187" w:rsidRPr="00650D66">
        <w:rPr>
          <w:rFonts w:ascii="Times New Roman" w:hAnsi="Times New Roman" w:cs="Times New Roman"/>
          <w:color w:val="000000"/>
          <w:sz w:val="24"/>
          <w:szCs w:val="24"/>
          <w:lang w:val="ro-RO" w:eastAsia="ro-RO" w:bidi="ro-RO"/>
        </w:rPr>
        <w:t xml:space="preserve"> și </w:t>
      </w:r>
      <w:r w:rsidR="00BB5992" w:rsidRPr="00650D66">
        <w:rPr>
          <w:rFonts w:ascii="Times New Roman" w:hAnsi="Times New Roman" w:cs="Times New Roman"/>
          <w:color w:val="000000"/>
          <w:sz w:val="24"/>
          <w:szCs w:val="24"/>
          <w:lang w:val="ro-RO" w:eastAsia="ro-RO" w:bidi="ro-RO"/>
        </w:rPr>
        <w:t xml:space="preserve">în anul </w:t>
      </w:r>
      <w:r w:rsidR="00352187" w:rsidRPr="00650D66">
        <w:rPr>
          <w:rFonts w:ascii="Times New Roman" w:hAnsi="Times New Roman" w:cs="Times New Roman"/>
          <w:color w:val="000000"/>
          <w:sz w:val="24"/>
          <w:szCs w:val="24"/>
          <w:lang w:val="ro-RO" w:eastAsia="ro-RO" w:bidi="ro-RO"/>
        </w:rPr>
        <w:t xml:space="preserve">2022 – 444 </w:t>
      </w:r>
      <w:r w:rsidR="00A968E1">
        <w:rPr>
          <w:rFonts w:ascii="Times New Roman" w:hAnsi="Times New Roman" w:cs="Times New Roman"/>
          <w:color w:val="000000"/>
          <w:sz w:val="24"/>
          <w:szCs w:val="24"/>
          <w:lang w:val="ro-RO" w:eastAsia="ro-RO" w:bidi="ro-RO"/>
        </w:rPr>
        <w:t xml:space="preserve">de </w:t>
      </w:r>
      <w:r w:rsidR="00352187" w:rsidRPr="00650D66">
        <w:rPr>
          <w:rFonts w:ascii="Times New Roman" w:hAnsi="Times New Roman" w:cs="Times New Roman"/>
          <w:color w:val="000000"/>
          <w:sz w:val="24"/>
          <w:szCs w:val="24"/>
          <w:lang w:val="ro-RO" w:eastAsia="ro-RO" w:bidi="ro-RO"/>
        </w:rPr>
        <w:t>unități.</w:t>
      </w:r>
      <w:r w:rsidR="00540899" w:rsidRPr="00650D66">
        <w:rPr>
          <w:rFonts w:ascii="Times New Roman" w:hAnsi="Times New Roman" w:cs="Times New Roman"/>
          <w:color w:val="000000"/>
          <w:sz w:val="24"/>
          <w:szCs w:val="24"/>
          <w:lang w:val="ro-RO" w:eastAsia="ro-RO" w:bidi="ro-RO"/>
        </w:rPr>
        <w:t xml:space="preserve"> </w:t>
      </w:r>
      <w:r w:rsidR="00583F95" w:rsidRPr="00650D66">
        <w:rPr>
          <w:rFonts w:ascii="Times New Roman" w:hAnsi="Times New Roman" w:cs="Times New Roman"/>
          <w:color w:val="000000"/>
          <w:sz w:val="24"/>
          <w:szCs w:val="24"/>
          <w:lang w:val="ro-RO" w:eastAsia="ro-RO" w:bidi="ro-RO"/>
        </w:rPr>
        <w:t xml:space="preserve">Totodată, auditul relevă că, deși numărul mediu de unități </w:t>
      </w:r>
      <w:r w:rsidR="00540899" w:rsidRPr="00650D66">
        <w:rPr>
          <w:rFonts w:ascii="Times New Roman" w:hAnsi="Times New Roman" w:cs="Times New Roman"/>
          <w:color w:val="000000"/>
          <w:sz w:val="24"/>
          <w:szCs w:val="24"/>
          <w:lang w:val="ro-RO" w:eastAsia="ro-RO" w:bidi="ro-RO"/>
        </w:rPr>
        <w:t>activ</w:t>
      </w:r>
      <w:r w:rsidR="00A968E1">
        <w:rPr>
          <w:rFonts w:ascii="Times New Roman" w:hAnsi="Times New Roman" w:cs="Times New Roman"/>
          <w:color w:val="000000"/>
          <w:sz w:val="24"/>
          <w:szCs w:val="24"/>
          <w:lang w:val="ro-RO" w:eastAsia="ro-RO" w:bidi="ro-RO"/>
        </w:rPr>
        <w:t>e</w:t>
      </w:r>
      <w:r w:rsidR="00583F95" w:rsidRPr="00650D66">
        <w:rPr>
          <w:rFonts w:ascii="Times New Roman" w:hAnsi="Times New Roman" w:cs="Times New Roman"/>
          <w:color w:val="000000"/>
          <w:sz w:val="24"/>
          <w:szCs w:val="24"/>
          <w:lang w:val="ro-RO" w:eastAsia="ro-RO" w:bidi="ro-RO"/>
        </w:rPr>
        <w:t xml:space="preserve"> </w:t>
      </w:r>
      <w:r w:rsidR="00540899" w:rsidRPr="00650D66">
        <w:rPr>
          <w:rFonts w:ascii="Times New Roman" w:hAnsi="Times New Roman" w:cs="Times New Roman"/>
          <w:color w:val="000000"/>
          <w:sz w:val="24"/>
          <w:szCs w:val="24"/>
          <w:lang w:val="ro-RO" w:eastAsia="ro-RO" w:bidi="ro-RO"/>
        </w:rPr>
        <w:t xml:space="preserve">constituie </w:t>
      </w:r>
      <w:r w:rsidR="00583F95" w:rsidRPr="00650D66">
        <w:rPr>
          <w:rFonts w:ascii="Times New Roman" w:hAnsi="Times New Roman" w:cs="Times New Roman"/>
          <w:color w:val="000000"/>
          <w:sz w:val="24"/>
          <w:szCs w:val="24"/>
          <w:lang w:val="ro-RO" w:eastAsia="ro-RO" w:bidi="ro-RO"/>
        </w:rPr>
        <w:t>79</w:t>
      </w:r>
      <w:r w:rsidR="00540899" w:rsidRPr="00650D66">
        <w:rPr>
          <w:rFonts w:ascii="Times New Roman" w:hAnsi="Times New Roman" w:cs="Times New Roman"/>
          <w:color w:val="000000"/>
          <w:sz w:val="24"/>
          <w:szCs w:val="24"/>
          <w:lang w:val="ro-RO" w:eastAsia="ro-RO" w:bidi="ro-RO"/>
        </w:rPr>
        <w:t>,0</w:t>
      </w:r>
      <w:r w:rsidR="00583F95" w:rsidRPr="00650D66">
        <w:rPr>
          <w:rFonts w:ascii="Times New Roman" w:hAnsi="Times New Roman" w:cs="Times New Roman"/>
          <w:color w:val="000000"/>
          <w:sz w:val="24"/>
          <w:szCs w:val="24"/>
          <w:lang w:val="ro-RO" w:eastAsia="ro-RO" w:bidi="ro-RO"/>
        </w:rPr>
        <w:t>%</w:t>
      </w:r>
      <w:r w:rsidR="00540899" w:rsidRPr="00650D66">
        <w:rPr>
          <w:rFonts w:ascii="Times New Roman" w:hAnsi="Times New Roman" w:cs="Times New Roman"/>
          <w:color w:val="000000"/>
          <w:sz w:val="24"/>
          <w:szCs w:val="24"/>
          <w:lang w:val="ro-RO" w:eastAsia="ro-RO" w:bidi="ro-RO"/>
        </w:rPr>
        <w:t xml:space="preserve"> (21,0% </w:t>
      </w:r>
      <w:r w:rsidR="00A968E1">
        <w:rPr>
          <w:rFonts w:ascii="Times New Roman" w:hAnsi="Times New Roman" w:cs="Times New Roman"/>
          <w:color w:val="000000"/>
          <w:sz w:val="24"/>
          <w:szCs w:val="24"/>
          <w:lang w:val="ro-RO" w:eastAsia="ro-RO" w:bidi="ro-RO"/>
        </w:rPr>
        <w:t xml:space="preserve">de </w:t>
      </w:r>
      <w:r w:rsidR="00540899" w:rsidRPr="00650D66">
        <w:rPr>
          <w:rFonts w:ascii="Times New Roman" w:hAnsi="Times New Roman" w:cs="Times New Roman"/>
          <w:color w:val="000000"/>
          <w:sz w:val="24"/>
          <w:szCs w:val="24"/>
          <w:lang w:val="ro-RO" w:eastAsia="ro-RO" w:bidi="ro-RO"/>
        </w:rPr>
        <w:t>posturi vacante)</w:t>
      </w:r>
      <w:r w:rsidR="00583F95" w:rsidRPr="00650D66">
        <w:rPr>
          <w:rFonts w:ascii="Times New Roman" w:hAnsi="Times New Roman" w:cs="Times New Roman"/>
          <w:color w:val="000000"/>
          <w:sz w:val="24"/>
          <w:szCs w:val="24"/>
          <w:lang w:val="ro-RO" w:eastAsia="ro-RO" w:bidi="ro-RO"/>
        </w:rPr>
        <w:t xml:space="preserve">, </w:t>
      </w:r>
      <w:r w:rsidR="00540899" w:rsidRPr="00650D66">
        <w:rPr>
          <w:rFonts w:ascii="Times New Roman" w:hAnsi="Times New Roman" w:cs="Times New Roman"/>
          <w:color w:val="000000"/>
          <w:sz w:val="24"/>
          <w:szCs w:val="24"/>
          <w:lang w:val="ro-RO" w:eastAsia="ro-RO" w:bidi="ro-RO"/>
        </w:rPr>
        <w:t xml:space="preserve">alocațiile aprobate pentru </w:t>
      </w:r>
      <w:r w:rsidR="00583F95" w:rsidRPr="00650D66">
        <w:rPr>
          <w:rFonts w:ascii="Times New Roman" w:hAnsi="Times New Roman" w:cs="Times New Roman"/>
          <w:color w:val="000000"/>
          <w:sz w:val="24"/>
          <w:szCs w:val="24"/>
          <w:lang w:val="ro-RO" w:eastAsia="ro-RO" w:bidi="ro-RO"/>
        </w:rPr>
        <w:t>cheltuielile de personal au fost executate în medi</w:t>
      </w:r>
      <w:r w:rsidR="00A968E1">
        <w:rPr>
          <w:rFonts w:ascii="Times New Roman" w:hAnsi="Times New Roman" w:cs="Times New Roman"/>
          <w:color w:val="000000"/>
          <w:sz w:val="24"/>
          <w:szCs w:val="24"/>
          <w:lang w:val="ro-RO" w:eastAsia="ro-RO" w:bidi="ro-RO"/>
        </w:rPr>
        <w:t>e</w:t>
      </w:r>
      <w:r w:rsidR="00583F95" w:rsidRPr="00650D66">
        <w:rPr>
          <w:rFonts w:ascii="Times New Roman" w:hAnsi="Times New Roman" w:cs="Times New Roman"/>
          <w:color w:val="000000"/>
          <w:sz w:val="24"/>
          <w:szCs w:val="24"/>
          <w:lang w:val="ro-RO" w:eastAsia="ro-RO" w:bidi="ro-RO"/>
        </w:rPr>
        <w:t xml:space="preserve"> la nivel de 92,2%.</w:t>
      </w:r>
      <w:r w:rsidR="00482104" w:rsidRPr="00650D66">
        <w:rPr>
          <w:rFonts w:ascii="Times New Roman" w:hAnsi="Times New Roman" w:cs="Times New Roman"/>
          <w:color w:val="000000"/>
          <w:sz w:val="24"/>
          <w:szCs w:val="24"/>
          <w:lang w:val="ro-RO" w:eastAsia="ro-RO" w:bidi="ro-RO"/>
        </w:rPr>
        <w:t xml:space="preserve"> </w:t>
      </w:r>
      <w:r w:rsidR="00645F88" w:rsidRPr="00650D66">
        <w:rPr>
          <w:rFonts w:ascii="Times New Roman" w:hAnsi="Times New Roman" w:cs="Times New Roman"/>
          <w:color w:val="000000"/>
          <w:sz w:val="24"/>
          <w:szCs w:val="24"/>
          <w:lang w:val="ro-RO" w:eastAsia="ro-RO" w:bidi="ro-RO"/>
        </w:rPr>
        <w:t xml:space="preserve">Conform motivației </w:t>
      </w:r>
      <w:r w:rsidR="00645F88" w:rsidRPr="00650D66">
        <w:rPr>
          <w:rFonts w:ascii="Times New Roman" w:hAnsi="Times New Roman" w:cs="Times New Roman"/>
          <w:color w:val="000000"/>
          <w:sz w:val="24"/>
          <w:szCs w:val="24"/>
          <w:lang w:val="ro-RO" w:eastAsia="ro-RO" w:bidi="ro-RO"/>
        </w:rPr>
        <w:lastRenderedPageBreak/>
        <w:t>BNM</w:t>
      </w:r>
      <w:r w:rsidR="00A968E1">
        <w:rPr>
          <w:rFonts w:ascii="Times New Roman" w:hAnsi="Times New Roman" w:cs="Times New Roman"/>
          <w:color w:val="000000"/>
          <w:sz w:val="24"/>
          <w:szCs w:val="24"/>
          <w:lang w:val="ro-RO" w:eastAsia="ro-RO" w:bidi="ro-RO"/>
        </w:rPr>
        <w:t>,</w:t>
      </w:r>
      <w:r w:rsidR="00645F88" w:rsidRPr="00650D66">
        <w:rPr>
          <w:rFonts w:ascii="Times New Roman" w:hAnsi="Times New Roman" w:cs="Times New Roman"/>
          <w:color w:val="000000"/>
          <w:sz w:val="24"/>
          <w:szCs w:val="24"/>
          <w:lang w:val="ro-RO" w:eastAsia="ro-RO" w:bidi="ro-RO"/>
        </w:rPr>
        <w:t xml:space="preserve"> aceasta se datorează faptului că</w:t>
      </w:r>
      <w:r w:rsidR="00A968E1">
        <w:rPr>
          <w:rFonts w:ascii="Times New Roman" w:hAnsi="Times New Roman" w:cs="Times New Roman"/>
          <w:color w:val="000000"/>
          <w:sz w:val="24"/>
          <w:szCs w:val="24"/>
          <w:lang w:val="ro-RO" w:eastAsia="ro-RO" w:bidi="ro-RO"/>
        </w:rPr>
        <w:t>,</w:t>
      </w:r>
      <w:r w:rsidR="00645F88" w:rsidRPr="00650D66">
        <w:rPr>
          <w:rFonts w:ascii="Times New Roman" w:hAnsi="Times New Roman" w:cs="Times New Roman"/>
          <w:color w:val="000000"/>
          <w:sz w:val="24"/>
          <w:szCs w:val="24"/>
          <w:lang w:val="ro-RO" w:eastAsia="ro-RO" w:bidi="ro-RO"/>
        </w:rPr>
        <w:t xml:space="preserve"> la planificarea cheltuielilor de personal este </w:t>
      </w:r>
      <w:r w:rsidR="000B6A9E">
        <w:rPr>
          <w:rFonts w:ascii="Times New Roman" w:hAnsi="Times New Roman" w:cs="Times New Roman"/>
          <w:color w:val="000000"/>
          <w:sz w:val="24"/>
          <w:szCs w:val="24"/>
          <w:lang w:val="ro-RO" w:eastAsia="ro-RO" w:bidi="ro-RO"/>
        </w:rPr>
        <w:t>luat în calcul</w:t>
      </w:r>
      <w:r w:rsidR="000B6A9E" w:rsidRPr="00650D66">
        <w:rPr>
          <w:rFonts w:ascii="Times New Roman" w:hAnsi="Times New Roman" w:cs="Times New Roman"/>
          <w:color w:val="000000"/>
          <w:sz w:val="24"/>
          <w:szCs w:val="24"/>
          <w:lang w:val="ro-RO" w:eastAsia="ro-RO" w:bidi="ro-RO"/>
        </w:rPr>
        <w:t xml:space="preserve"> </w:t>
      </w:r>
      <w:r w:rsidR="00645F88" w:rsidRPr="00650D66">
        <w:rPr>
          <w:rFonts w:ascii="Times New Roman" w:hAnsi="Times New Roman" w:cs="Times New Roman"/>
          <w:color w:val="000000"/>
          <w:sz w:val="24"/>
          <w:szCs w:val="24"/>
          <w:lang w:val="ro-RO" w:eastAsia="ro-RO" w:bidi="ro-RO"/>
        </w:rPr>
        <w:t>numărul de angajați activi la momentul planificării</w:t>
      </w:r>
      <w:r w:rsidR="000B6A9E">
        <w:rPr>
          <w:rFonts w:ascii="Times New Roman" w:hAnsi="Times New Roman" w:cs="Times New Roman"/>
          <w:color w:val="000000"/>
          <w:sz w:val="24"/>
          <w:szCs w:val="24"/>
          <w:lang w:val="ro-RO" w:eastAsia="ro-RO" w:bidi="ro-RO"/>
        </w:rPr>
        <w:t>,</w:t>
      </w:r>
      <w:r w:rsidR="00645F88" w:rsidRPr="00650D66">
        <w:rPr>
          <w:rFonts w:ascii="Times New Roman" w:hAnsi="Times New Roman" w:cs="Times New Roman"/>
          <w:color w:val="000000"/>
          <w:sz w:val="24"/>
          <w:szCs w:val="24"/>
          <w:lang w:val="ro-RO" w:eastAsia="ro-RO" w:bidi="ro-RO"/>
        </w:rPr>
        <w:t xml:space="preserve"> plus estimarea de completare a locurilor vacante, </w:t>
      </w:r>
      <w:r w:rsidR="000B6A9E">
        <w:rPr>
          <w:rFonts w:ascii="Times New Roman" w:hAnsi="Times New Roman" w:cs="Times New Roman"/>
          <w:color w:val="000000"/>
          <w:sz w:val="24"/>
          <w:szCs w:val="24"/>
          <w:lang w:val="ro-RO" w:eastAsia="ro-RO" w:bidi="ro-RO"/>
        </w:rPr>
        <w:t xml:space="preserve">și </w:t>
      </w:r>
      <w:r w:rsidR="00645F88" w:rsidRPr="00650D66">
        <w:rPr>
          <w:rFonts w:ascii="Times New Roman" w:hAnsi="Times New Roman" w:cs="Times New Roman"/>
          <w:color w:val="000000"/>
          <w:sz w:val="24"/>
          <w:szCs w:val="24"/>
          <w:lang w:val="ro-RO" w:eastAsia="ro-RO" w:bidi="ro-RO"/>
        </w:rPr>
        <w:t>nu structura de state în mărime completă. Sporu</w:t>
      </w:r>
      <w:r w:rsidR="00A968E1">
        <w:rPr>
          <w:rFonts w:ascii="Times New Roman" w:hAnsi="Times New Roman" w:cs="Times New Roman"/>
          <w:color w:val="000000"/>
          <w:sz w:val="24"/>
          <w:szCs w:val="24"/>
          <w:lang w:val="ro-RO" w:eastAsia="ro-RO" w:bidi="ro-RO"/>
        </w:rPr>
        <w:t>ri</w:t>
      </w:r>
      <w:r w:rsidR="00645F88" w:rsidRPr="00650D66">
        <w:rPr>
          <w:rFonts w:ascii="Times New Roman" w:hAnsi="Times New Roman" w:cs="Times New Roman"/>
          <w:color w:val="000000"/>
          <w:sz w:val="24"/>
          <w:szCs w:val="24"/>
          <w:lang w:val="ro-RO" w:eastAsia="ro-RO" w:bidi="ro-RO"/>
        </w:rPr>
        <w:t>l</w:t>
      </w:r>
      <w:r w:rsidR="00A968E1">
        <w:rPr>
          <w:rFonts w:ascii="Times New Roman" w:hAnsi="Times New Roman" w:cs="Times New Roman"/>
          <w:color w:val="000000"/>
          <w:sz w:val="24"/>
          <w:szCs w:val="24"/>
          <w:lang w:val="ro-RO" w:eastAsia="ro-RO" w:bidi="ro-RO"/>
        </w:rPr>
        <w:t>e</w:t>
      </w:r>
      <w:r w:rsidR="00645F88" w:rsidRPr="00650D66">
        <w:rPr>
          <w:rFonts w:ascii="Times New Roman" w:hAnsi="Times New Roman" w:cs="Times New Roman"/>
          <w:color w:val="000000"/>
          <w:sz w:val="24"/>
          <w:szCs w:val="24"/>
          <w:lang w:val="ro-RO" w:eastAsia="ro-RO" w:bidi="ro-RO"/>
        </w:rPr>
        <w:t xml:space="preserve"> pentru cumulare de funcții au fost achitate în sumă totală de 4</w:t>
      </w:r>
      <w:r w:rsidR="00A968E1">
        <w:rPr>
          <w:rFonts w:ascii="Times New Roman" w:hAnsi="Times New Roman" w:cs="Times New Roman"/>
          <w:color w:val="000000"/>
          <w:sz w:val="24"/>
          <w:szCs w:val="24"/>
          <w:lang w:val="ro-RO" w:eastAsia="ro-RO" w:bidi="ro-RO"/>
        </w:rPr>
        <w:t>.</w:t>
      </w:r>
      <w:r w:rsidR="00645F88" w:rsidRPr="00650D66">
        <w:rPr>
          <w:rFonts w:ascii="Times New Roman" w:hAnsi="Times New Roman" w:cs="Times New Roman"/>
          <w:color w:val="000000"/>
          <w:sz w:val="24"/>
          <w:szCs w:val="24"/>
          <w:lang w:val="ro-RO" w:eastAsia="ro-RO" w:bidi="ro-RO"/>
        </w:rPr>
        <w:t>342,2 mii lei.</w:t>
      </w:r>
    </w:p>
    <w:p w14:paraId="5DFDBC4B" w14:textId="77777777" w:rsidR="003218A8" w:rsidRPr="00650D66" w:rsidRDefault="003218A8" w:rsidP="00583F95">
      <w:pPr>
        <w:tabs>
          <w:tab w:val="left" w:pos="567"/>
          <w:tab w:val="left" w:pos="851"/>
        </w:tabs>
        <w:spacing w:after="0" w:line="276" w:lineRule="auto"/>
        <w:contextualSpacing/>
        <w:jc w:val="both"/>
        <w:rPr>
          <w:rFonts w:ascii="Times New Roman" w:hAnsi="Times New Roman" w:cs="Times New Roman"/>
          <w:i/>
          <w:color w:val="000000"/>
          <w:sz w:val="6"/>
          <w:szCs w:val="6"/>
          <w:lang w:val="ro-RO" w:eastAsia="ro-RO" w:bidi="ro-RO"/>
        </w:rPr>
      </w:pPr>
    </w:p>
    <w:p w14:paraId="6A2D7CC9" w14:textId="0E4CAEE8" w:rsidR="00FC0FE5" w:rsidRPr="00650D66" w:rsidRDefault="00182FFD" w:rsidP="00182FFD">
      <w:pPr>
        <w:spacing w:after="0" w:line="276" w:lineRule="auto"/>
        <w:jc w:val="both"/>
        <w:rPr>
          <w:rFonts w:ascii="Times New Roman" w:eastAsia="Times New Roman" w:hAnsi="Times New Roman" w:cs="Times New Roman"/>
          <w:b/>
          <w:sz w:val="24"/>
          <w:szCs w:val="24"/>
          <w:lang w:val="ro-RO"/>
        </w:rPr>
      </w:pPr>
      <w:r w:rsidRPr="00650D66">
        <w:rPr>
          <w:rFonts w:ascii="Times New Roman" w:eastAsia="Times New Roman" w:hAnsi="Times New Roman" w:cs="Times New Roman"/>
          <w:sz w:val="24"/>
          <w:szCs w:val="24"/>
          <w:lang w:val="ro-RO"/>
        </w:rPr>
        <w:t xml:space="preserve">Salariile de bază lunare pentru angajații BNM se stabilesc în conformitate cu nivelul de referință a postului (funcției), conform Regulamentului privind salarizarea angajaților BNM, aprobat prin Hotărârea CS al BNM nr.15 din 11.07.2018 (cu modificările ulterioare). Salarizarea se face în </w:t>
      </w:r>
      <w:r w:rsidR="00A968E1">
        <w:rPr>
          <w:rFonts w:ascii="Times New Roman" w:eastAsia="Times New Roman" w:hAnsi="Times New Roman" w:cs="Times New Roman"/>
          <w:sz w:val="24"/>
          <w:szCs w:val="24"/>
          <w:lang w:val="ro-RO"/>
        </w:rPr>
        <w:t>funcție</w:t>
      </w:r>
      <w:r w:rsidR="00A968E1" w:rsidRPr="00650D66">
        <w:rPr>
          <w:rFonts w:ascii="Times New Roman" w:eastAsia="Times New Roman" w:hAnsi="Times New Roman" w:cs="Times New Roman"/>
          <w:sz w:val="24"/>
          <w:szCs w:val="24"/>
          <w:lang w:val="ro-RO"/>
        </w:rPr>
        <w:t xml:space="preserve"> </w:t>
      </w:r>
      <w:r w:rsidRPr="00650D66">
        <w:rPr>
          <w:rFonts w:ascii="Times New Roman" w:eastAsia="Times New Roman" w:hAnsi="Times New Roman" w:cs="Times New Roman"/>
          <w:sz w:val="24"/>
          <w:szCs w:val="24"/>
          <w:lang w:val="ro-RO"/>
        </w:rPr>
        <w:t>de contribuția postului (funcției) la realizarea obiectivelor BNM, responsabilitatea și valoarea acestuia.</w:t>
      </w:r>
      <w:r w:rsidRPr="00650D66">
        <w:rPr>
          <w:rFonts w:ascii="Times New Roman" w:eastAsia="Times New Roman" w:hAnsi="Times New Roman" w:cs="Times New Roman"/>
          <w:b/>
          <w:sz w:val="24"/>
          <w:szCs w:val="24"/>
          <w:lang w:val="ro-RO"/>
        </w:rPr>
        <w:t xml:space="preserve"> </w:t>
      </w:r>
    </w:p>
    <w:p w14:paraId="6E19084E" w14:textId="2EDEA19F" w:rsidR="00182FFD" w:rsidRPr="00650D66" w:rsidRDefault="00FC0FE5" w:rsidP="00182FFD">
      <w:pPr>
        <w:spacing w:after="0" w:line="276" w:lineRule="auto"/>
        <w:jc w:val="both"/>
        <w:rPr>
          <w:rFonts w:ascii="Times New Roman" w:eastAsia="Times New Roman" w:hAnsi="Times New Roman" w:cs="Times New Roman"/>
          <w:i/>
          <w:sz w:val="24"/>
          <w:szCs w:val="24"/>
          <w:lang w:val="ro-RO"/>
        </w:rPr>
      </w:pPr>
      <w:r w:rsidRPr="00650D66">
        <w:rPr>
          <w:rFonts w:ascii="Times New Roman" w:hAnsi="Times New Roman" w:cs="Times New Roman"/>
          <w:sz w:val="24"/>
          <w:szCs w:val="24"/>
          <w:lang w:val="ro-RO"/>
        </w:rPr>
        <w:t>Auditul r</w:t>
      </w:r>
      <w:r w:rsidR="008C24F0" w:rsidRPr="00650D66">
        <w:rPr>
          <w:rFonts w:ascii="Times New Roman" w:hAnsi="Times New Roman" w:cs="Times New Roman"/>
          <w:sz w:val="24"/>
          <w:szCs w:val="24"/>
          <w:lang w:val="ro-RO"/>
        </w:rPr>
        <w:t>elevă că</w:t>
      </w:r>
      <w:r w:rsidR="008C24F0" w:rsidRPr="00650D66">
        <w:rPr>
          <w:rFonts w:ascii="Times New Roman" w:eastAsia="Times New Roman" w:hAnsi="Times New Roman" w:cs="Times New Roman"/>
          <w:sz w:val="24"/>
          <w:szCs w:val="24"/>
          <w:lang w:val="ro-RO"/>
        </w:rPr>
        <w:t xml:space="preserve"> serviciile de consultanță</w:t>
      </w:r>
      <w:r w:rsidRPr="00650D66">
        <w:rPr>
          <w:rFonts w:ascii="Times New Roman" w:eastAsia="Times New Roman" w:hAnsi="Times New Roman" w:cs="Times New Roman"/>
          <w:sz w:val="24"/>
          <w:szCs w:val="24"/>
          <w:lang w:val="ro-RO"/>
        </w:rPr>
        <w:t xml:space="preserve"> în domeniul resurselor umane contractate </w:t>
      </w:r>
      <w:r w:rsidR="00F7114B" w:rsidRPr="00650D66">
        <w:rPr>
          <w:rFonts w:ascii="Times New Roman" w:eastAsia="Times New Roman" w:hAnsi="Times New Roman" w:cs="Times New Roman"/>
          <w:sz w:val="24"/>
          <w:szCs w:val="24"/>
          <w:lang w:val="ro-RO"/>
        </w:rPr>
        <w:t xml:space="preserve">la sfârșitul anului </w:t>
      </w:r>
      <w:r w:rsidR="00065E99" w:rsidRPr="00650D66">
        <w:rPr>
          <w:rFonts w:ascii="Times New Roman" w:eastAsia="Times New Roman" w:hAnsi="Times New Roman" w:cs="Times New Roman"/>
          <w:sz w:val="24"/>
          <w:szCs w:val="24"/>
          <w:lang w:val="ro-RO"/>
        </w:rPr>
        <w:t>2021</w:t>
      </w:r>
      <w:r w:rsidR="00F7114B" w:rsidRPr="00650D66">
        <w:rPr>
          <w:rFonts w:ascii="Times New Roman" w:eastAsia="Times New Roman" w:hAnsi="Times New Roman" w:cs="Times New Roman"/>
          <w:sz w:val="24"/>
          <w:szCs w:val="24"/>
          <w:lang w:val="ro-RO"/>
        </w:rPr>
        <w:t>, luna decembrie,</w:t>
      </w:r>
      <w:r w:rsidR="00065E99" w:rsidRPr="00650D66">
        <w:rPr>
          <w:rFonts w:ascii="Times New Roman" w:eastAsia="Times New Roman" w:hAnsi="Times New Roman" w:cs="Times New Roman"/>
          <w:sz w:val="24"/>
          <w:szCs w:val="24"/>
          <w:lang w:val="ro-RO"/>
        </w:rPr>
        <w:t xml:space="preserve"> </w:t>
      </w:r>
      <w:r w:rsidRPr="00650D66">
        <w:rPr>
          <w:rFonts w:ascii="Times New Roman" w:eastAsia="Times New Roman" w:hAnsi="Times New Roman" w:cs="Times New Roman"/>
          <w:sz w:val="24"/>
          <w:szCs w:val="24"/>
          <w:lang w:val="ro-RO"/>
        </w:rPr>
        <w:t>de către BNM</w:t>
      </w:r>
      <w:r w:rsidRPr="00650D66">
        <w:rPr>
          <w:rStyle w:val="FootnoteReference"/>
          <w:rFonts w:ascii="Times New Roman" w:eastAsia="Times New Roman" w:hAnsi="Times New Roman" w:cs="Times New Roman"/>
          <w:sz w:val="24"/>
          <w:szCs w:val="24"/>
          <w:lang w:val="ro-RO"/>
        </w:rPr>
        <w:footnoteReference w:id="42"/>
      </w:r>
      <w:r w:rsidRPr="00650D66">
        <w:rPr>
          <w:rFonts w:ascii="Times New Roman" w:eastAsia="Times New Roman" w:hAnsi="Times New Roman" w:cs="Times New Roman"/>
          <w:sz w:val="24"/>
          <w:szCs w:val="24"/>
          <w:lang w:val="ro-RO"/>
        </w:rPr>
        <w:t xml:space="preserve"> au fost recepționate în luna februarie 2022, ulterior </w:t>
      </w:r>
      <w:r w:rsidR="00132B0F" w:rsidRPr="00650D66">
        <w:rPr>
          <w:rFonts w:ascii="Times New Roman" w:eastAsia="Times New Roman" w:hAnsi="Times New Roman" w:cs="Times New Roman"/>
          <w:sz w:val="24"/>
          <w:szCs w:val="24"/>
          <w:lang w:val="ro-RO"/>
        </w:rPr>
        <w:t>a fost</w:t>
      </w:r>
      <w:r w:rsidRPr="00650D66">
        <w:rPr>
          <w:rFonts w:ascii="Times New Roman" w:eastAsia="Times New Roman" w:hAnsi="Times New Roman" w:cs="Times New Roman"/>
          <w:sz w:val="24"/>
          <w:szCs w:val="24"/>
          <w:lang w:val="ro-RO"/>
        </w:rPr>
        <w:t xml:space="preserve"> modificat Regulamentul privind salarizarea angajaților BNM la data de 14 martie 2022 și, respectiv, statele de personal la data de 21 martie 2022. </w:t>
      </w:r>
    </w:p>
    <w:p w14:paraId="516077A5" w14:textId="0DACE518" w:rsidR="00EC734D" w:rsidRPr="00650D66" w:rsidRDefault="00700FF7" w:rsidP="00955C46">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Astfel</w:t>
      </w:r>
      <w:r w:rsidR="000E44A4" w:rsidRPr="00650D66">
        <w:rPr>
          <w:rFonts w:ascii="Times New Roman" w:hAnsi="Times New Roman" w:cs="Times New Roman"/>
          <w:sz w:val="24"/>
          <w:szCs w:val="24"/>
          <w:lang w:val="ro-RO"/>
        </w:rPr>
        <w:t xml:space="preserve">, </w:t>
      </w:r>
      <w:r w:rsidR="003F605F" w:rsidRPr="00650D66">
        <w:rPr>
          <w:rFonts w:ascii="Times New Roman" w:hAnsi="Times New Roman" w:cs="Times New Roman"/>
          <w:sz w:val="24"/>
          <w:szCs w:val="24"/>
          <w:lang w:val="ro-RO"/>
        </w:rPr>
        <w:t xml:space="preserve">începând cu luna martie </w:t>
      </w:r>
      <w:r w:rsidR="000E44A4" w:rsidRPr="00650D66">
        <w:rPr>
          <w:rFonts w:ascii="Times New Roman" w:hAnsi="Times New Roman" w:cs="Times New Roman"/>
          <w:sz w:val="24"/>
          <w:szCs w:val="24"/>
          <w:lang w:val="ro-RO"/>
        </w:rPr>
        <w:t>2022</w:t>
      </w:r>
      <w:r w:rsidR="000B6A9E">
        <w:rPr>
          <w:rFonts w:ascii="Times New Roman" w:hAnsi="Times New Roman" w:cs="Times New Roman"/>
          <w:sz w:val="24"/>
          <w:szCs w:val="24"/>
          <w:lang w:val="ro-RO"/>
        </w:rPr>
        <w:t>, ca</w:t>
      </w:r>
      <w:r w:rsidR="000E44A4" w:rsidRPr="00650D66">
        <w:rPr>
          <w:rFonts w:ascii="Times New Roman" w:hAnsi="Times New Roman" w:cs="Times New Roman"/>
          <w:sz w:val="24"/>
          <w:szCs w:val="24"/>
          <w:lang w:val="ro-RO"/>
        </w:rPr>
        <w:t xml:space="preserve"> </w:t>
      </w:r>
      <w:r w:rsidR="00353C63" w:rsidRPr="00650D66">
        <w:rPr>
          <w:rFonts w:ascii="Times New Roman" w:hAnsi="Times New Roman" w:cs="Times New Roman"/>
          <w:sz w:val="24"/>
          <w:szCs w:val="24"/>
          <w:lang w:val="ro-RO"/>
        </w:rPr>
        <w:t xml:space="preserve">urmare </w:t>
      </w:r>
      <w:r w:rsidR="000B6A9E">
        <w:rPr>
          <w:rFonts w:ascii="Times New Roman" w:hAnsi="Times New Roman" w:cs="Times New Roman"/>
          <w:sz w:val="24"/>
          <w:szCs w:val="24"/>
          <w:lang w:val="ro-RO"/>
        </w:rPr>
        <w:t xml:space="preserve">a </w:t>
      </w:r>
      <w:r w:rsidR="00353C63" w:rsidRPr="00650D66">
        <w:rPr>
          <w:rFonts w:ascii="Times New Roman" w:hAnsi="Times New Roman" w:cs="Times New Roman"/>
          <w:sz w:val="24"/>
          <w:szCs w:val="24"/>
          <w:lang w:val="ro-RO"/>
        </w:rPr>
        <w:t xml:space="preserve">revizuirii pieței de referință și a grilelor de salarizare, </w:t>
      </w:r>
      <w:r w:rsidR="003F605F" w:rsidRPr="00650D66">
        <w:rPr>
          <w:rFonts w:ascii="Times New Roman" w:hAnsi="Times New Roman" w:cs="Times New Roman"/>
          <w:sz w:val="24"/>
          <w:szCs w:val="24"/>
          <w:lang w:val="ro-RO"/>
        </w:rPr>
        <w:t xml:space="preserve">se înregistrează </w:t>
      </w:r>
      <w:r w:rsidR="000E44A4" w:rsidRPr="00650D66">
        <w:rPr>
          <w:rFonts w:ascii="Times New Roman" w:hAnsi="Times New Roman" w:cs="Times New Roman"/>
          <w:sz w:val="24"/>
          <w:szCs w:val="24"/>
          <w:lang w:val="ro-RO"/>
        </w:rPr>
        <w:t>o maj</w:t>
      </w:r>
      <w:r w:rsidR="003F605F" w:rsidRPr="00650D66">
        <w:rPr>
          <w:rFonts w:ascii="Times New Roman" w:hAnsi="Times New Roman" w:cs="Times New Roman"/>
          <w:sz w:val="24"/>
          <w:szCs w:val="24"/>
          <w:lang w:val="ro-RO"/>
        </w:rPr>
        <w:t>orare semnificativă a salariilor</w:t>
      </w:r>
      <w:r w:rsidR="000E44A4" w:rsidRPr="00650D66">
        <w:rPr>
          <w:rFonts w:ascii="Times New Roman" w:hAnsi="Times New Roman" w:cs="Times New Roman"/>
          <w:sz w:val="24"/>
          <w:szCs w:val="24"/>
          <w:lang w:val="ro-RO"/>
        </w:rPr>
        <w:t xml:space="preserve"> de bază</w:t>
      </w:r>
      <w:r w:rsidR="003F605F" w:rsidRPr="00650D66">
        <w:rPr>
          <w:rFonts w:ascii="Times New Roman" w:hAnsi="Times New Roman" w:cs="Times New Roman"/>
          <w:sz w:val="24"/>
          <w:szCs w:val="24"/>
          <w:lang w:val="ro-RO"/>
        </w:rPr>
        <w:t xml:space="preserve"> stabilite</w:t>
      </w:r>
      <w:r w:rsidR="000E44A4" w:rsidRPr="00650D66">
        <w:rPr>
          <w:rFonts w:ascii="Times New Roman" w:hAnsi="Times New Roman" w:cs="Times New Roman"/>
          <w:sz w:val="24"/>
          <w:szCs w:val="24"/>
          <w:lang w:val="ro-RO"/>
        </w:rPr>
        <w:t xml:space="preserve">, </w:t>
      </w:r>
      <w:r w:rsidR="003F605F" w:rsidRPr="00650D66">
        <w:rPr>
          <w:rFonts w:ascii="Times New Roman" w:hAnsi="Times New Roman" w:cs="Times New Roman"/>
          <w:sz w:val="24"/>
          <w:szCs w:val="24"/>
          <w:lang w:val="ro-RO"/>
        </w:rPr>
        <w:t xml:space="preserve">fiind </w:t>
      </w:r>
      <w:r w:rsidR="000E44A4" w:rsidRPr="00650D66">
        <w:rPr>
          <w:rFonts w:ascii="Times New Roman" w:hAnsi="Times New Roman" w:cs="Times New Roman"/>
          <w:sz w:val="24"/>
          <w:szCs w:val="24"/>
          <w:lang w:val="ro-RO"/>
        </w:rPr>
        <w:t xml:space="preserve">cu circa 31,2% </w:t>
      </w:r>
      <w:r w:rsidR="003F605F" w:rsidRPr="00650D66">
        <w:rPr>
          <w:rFonts w:ascii="Times New Roman" w:hAnsi="Times New Roman" w:cs="Times New Roman"/>
          <w:sz w:val="24"/>
          <w:szCs w:val="24"/>
          <w:lang w:val="ro-RO"/>
        </w:rPr>
        <w:t xml:space="preserve">mai mult </w:t>
      </w:r>
      <w:r w:rsidR="000E44A4" w:rsidRPr="00650D66">
        <w:rPr>
          <w:rFonts w:ascii="Times New Roman" w:hAnsi="Times New Roman" w:cs="Times New Roman"/>
          <w:sz w:val="24"/>
          <w:szCs w:val="24"/>
          <w:lang w:val="ro-RO"/>
        </w:rPr>
        <w:t xml:space="preserve">față de </w:t>
      </w:r>
      <w:r w:rsidR="003F605F" w:rsidRPr="00650D66">
        <w:rPr>
          <w:rFonts w:ascii="Times New Roman" w:hAnsi="Times New Roman" w:cs="Times New Roman"/>
          <w:sz w:val="24"/>
          <w:szCs w:val="24"/>
          <w:lang w:val="ro-RO"/>
        </w:rPr>
        <w:t xml:space="preserve">luna ianuarie </w:t>
      </w:r>
      <w:r w:rsidR="000E44A4" w:rsidRPr="00650D66">
        <w:rPr>
          <w:rFonts w:ascii="Times New Roman" w:hAnsi="Times New Roman" w:cs="Times New Roman"/>
          <w:sz w:val="24"/>
          <w:szCs w:val="24"/>
          <w:lang w:val="ro-RO"/>
        </w:rPr>
        <w:t>2022 și cu 41,4%</w:t>
      </w:r>
      <w:r w:rsidR="003F605F" w:rsidRPr="00650D66">
        <w:rPr>
          <w:rFonts w:ascii="Times New Roman" w:hAnsi="Times New Roman" w:cs="Times New Roman"/>
          <w:sz w:val="24"/>
          <w:szCs w:val="24"/>
          <w:lang w:val="ro-RO"/>
        </w:rPr>
        <w:t xml:space="preserve"> mai mult</w:t>
      </w:r>
      <w:r w:rsidR="001C4301" w:rsidRPr="00650D66">
        <w:rPr>
          <w:rFonts w:ascii="Times New Roman" w:hAnsi="Times New Roman" w:cs="Times New Roman"/>
          <w:sz w:val="24"/>
          <w:szCs w:val="24"/>
          <w:lang w:val="ro-RO"/>
        </w:rPr>
        <w:t xml:space="preserve"> față de anul 2019. Potrivit motivației BNM, această majorare cuprinde evoluția salariilor medii aferente perioadei 2018-2021, în această perioadă sistemul de salarizare nefiind ajustat. </w:t>
      </w:r>
      <w:r w:rsidR="00D54911" w:rsidRPr="00650D66">
        <w:rPr>
          <w:rFonts w:ascii="Times New Roman" w:hAnsi="Times New Roman" w:cs="Times New Roman"/>
          <w:sz w:val="24"/>
          <w:szCs w:val="24"/>
          <w:lang w:val="ro-RO"/>
        </w:rPr>
        <w:t>S</w:t>
      </w:r>
      <w:r w:rsidR="00FD72C0" w:rsidRPr="00650D66">
        <w:rPr>
          <w:rFonts w:ascii="Times New Roman" w:hAnsi="Times New Roman" w:cs="Times New Roman"/>
          <w:sz w:val="24"/>
          <w:szCs w:val="24"/>
          <w:lang w:val="ro-RO"/>
        </w:rPr>
        <w:t xml:space="preserve">alariile medii lunare </w:t>
      </w:r>
      <w:r w:rsidR="00D54911" w:rsidRPr="00650D66">
        <w:rPr>
          <w:rFonts w:ascii="Times New Roman" w:hAnsi="Times New Roman" w:cs="Times New Roman"/>
          <w:sz w:val="24"/>
          <w:szCs w:val="24"/>
          <w:lang w:val="ro-RO"/>
        </w:rPr>
        <w:t xml:space="preserve">stabilite la 21 martie 2022 </w:t>
      </w:r>
      <w:r w:rsidR="00FD72C0" w:rsidRPr="00650D66">
        <w:rPr>
          <w:rFonts w:ascii="Times New Roman" w:hAnsi="Times New Roman" w:cs="Times New Roman"/>
          <w:sz w:val="24"/>
          <w:szCs w:val="24"/>
          <w:lang w:val="ro-RO"/>
        </w:rPr>
        <w:t>s-au majorat</w:t>
      </w:r>
      <w:r w:rsidR="000B6A9E">
        <w:rPr>
          <w:rFonts w:ascii="Times New Roman" w:hAnsi="Times New Roman" w:cs="Times New Roman"/>
          <w:sz w:val="24"/>
          <w:szCs w:val="24"/>
          <w:lang w:val="ro-RO"/>
        </w:rPr>
        <w:t>,</w:t>
      </w:r>
      <w:r w:rsidR="00FD72C0" w:rsidRPr="00650D66">
        <w:rPr>
          <w:rFonts w:ascii="Times New Roman" w:hAnsi="Times New Roman" w:cs="Times New Roman"/>
          <w:sz w:val="24"/>
          <w:szCs w:val="24"/>
          <w:lang w:val="ro-RO"/>
        </w:rPr>
        <w:t xml:space="preserve"> </w:t>
      </w:r>
      <w:r w:rsidR="00D54911" w:rsidRPr="00650D66">
        <w:rPr>
          <w:rFonts w:ascii="Times New Roman" w:hAnsi="Times New Roman" w:cs="Times New Roman"/>
          <w:sz w:val="24"/>
          <w:szCs w:val="24"/>
          <w:lang w:val="ro-RO"/>
        </w:rPr>
        <w:t>față de anul 2019</w:t>
      </w:r>
      <w:r w:rsidR="000B6A9E">
        <w:rPr>
          <w:rFonts w:ascii="Times New Roman" w:hAnsi="Times New Roman" w:cs="Times New Roman"/>
          <w:sz w:val="24"/>
          <w:szCs w:val="24"/>
          <w:lang w:val="ro-RO"/>
        </w:rPr>
        <w:t>,</w:t>
      </w:r>
      <w:r w:rsidR="00D54911" w:rsidRPr="00650D66">
        <w:rPr>
          <w:rFonts w:ascii="Times New Roman" w:hAnsi="Times New Roman" w:cs="Times New Roman"/>
          <w:sz w:val="24"/>
          <w:szCs w:val="24"/>
          <w:lang w:val="ro-RO"/>
        </w:rPr>
        <w:t xml:space="preserve"> </w:t>
      </w:r>
      <w:r w:rsidR="00FD72C0" w:rsidRPr="00650D66">
        <w:rPr>
          <w:rFonts w:ascii="Times New Roman" w:hAnsi="Times New Roman" w:cs="Times New Roman"/>
          <w:sz w:val="24"/>
          <w:szCs w:val="24"/>
          <w:lang w:val="ro-RO"/>
        </w:rPr>
        <w:t xml:space="preserve">în funcție de nivelul de referință a postului, astfel cele mai </w:t>
      </w:r>
      <w:r w:rsidR="000B6A9E">
        <w:rPr>
          <w:rFonts w:ascii="Times New Roman" w:hAnsi="Times New Roman" w:cs="Times New Roman"/>
          <w:sz w:val="24"/>
          <w:szCs w:val="24"/>
          <w:lang w:val="ro-RO"/>
        </w:rPr>
        <w:t>mari</w:t>
      </w:r>
      <w:r w:rsidR="00FD72C0" w:rsidRPr="00650D66">
        <w:rPr>
          <w:rFonts w:ascii="Times New Roman" w:hAnsi="Times New Roman" w:cs="Times New Roman"/>
          <w:sz w:val="24"/>
          <w:szCs w:val="24"/>
          <w:lang w:val="ro-RO"/>
        </w:rPr>
        <w:t xml:space="preserve"> fiind la: șefii de direcție </w:t>
      </w:r>
      <w:r w:rsidR="000B6A9E">
        <w:rPr>
          <w:rFonts w:ascii="Times New Roman" w:hAnsi="Times New Roman" w:cs="Times New Roman"/>
          <w:sz w:val="24"/>
          <w:szCs w:val="24"/>
          <w:lang w:val="ro-RO"/>
        </w:rPr>
        <w:t xml:space="preserve">– </w:t>
      </w:r>
      <w:r w:rsidR="00FD72C0" w:rsidRPr="00650D66">
        <w:rPr>
          <w:rFonts w:ascii="Times New Roman" w:hAnsi="Times New Roman" w:cs="Times New Roman"/>
          <w:sz w:val="24"/>
          <w:szCs w:val="24"/>
          <w:lang w:val="ro-RO"/>
        </w:rPr>
        <w:t xml:space="preserve">cu 60,7%, </w:t>
      </w:r>
      <w:r w:rsidR="000B6A9E">
        <w:rPr>
          <w:rFonts w:ascii="Times New Roman" w:hAnsi="Times New Roman" w:cs="Times New Roman"/>
          <w:sz w:val="24"/>
          <w:szCs w:val="24"/>
          <w:lang w:val="ro-RO"/>
        </w:rPr>
        <w:t>d</w:t>
      </w:r>
      <w:r w:rsidR="00216785" w:rsidRPr="00650D66">
        <w:rPr>
          <w:rFonts w:ascii="Times New Roman" w:hAnsi="Times New Roman" w:cs="Times New Roman"/>
          <w:sz w:val="24"/>
          <w:szCs w:val="24"/>
          <w:lang w:val="ro-RO"/>
        </w:rPr>
        <w:t xml:space="preserve">irectorii de departamente </w:t>
      </w:r>
      <w:r w:rsidR="000B6A9E">
        <w:rPr>
          <w:rFonts w:ascii="Times New Roman" w:hAnsi="Times New Roman" w:cs="Times New Roman"/>
          <w:sz w:val="24"/>
          <w:szCs w:val="24"/>
          <w:lang w:val="ro-RO"/>
        </w:rPr>
        <w:t xml:space="preserve">– </w:t>
      </w:r>
      <w:r w:rsidR="00216785" w:rsidRPr="00650D66">
        <w:rPr>
          <w:rFonts w:ascii="Times New Roman" w:hAnsi="Times New Roman" w:cs="Times New Roman"/>
          <w:sz w:val="24"/>
          <w:szCs w:val="24"/>
          <w:lang w:val="ro-RO"/>
        </w:rPr>
        <w:t xml:space="preserve">cu 57,8%, secretarii </w:t>
      </w:r>
      <w:r w:rsidR="000B6A9E">
        <w:rPr>
          <w:rFonts w:ascii="Times New Roman" w:hAnsi="Times New Roman" w:cs="Times New Roman"/>
          <w:sz w:val="24"/>
          <w:szCs w:val="24"/>
          <w:lang w:val="ro-RO"/>
        </w:rPr>
        <w:t xml:space="preserve">– </w:t>
      </w:r>
      <w:r w:rsidR="00216785" w:rsidRPr="00650D66">
        <w:rPr>
          <w:rFonts w:ascii="Times New Roman" w:hAnsi="Times New Roman" w:cs="Times New Roman"/>
          <w:sz w:val="24"/>
          <w:szCs w:val="24"/>
          <w:lang w:val="ro-RO"/>
        </w:rPr>
        <w:t xml:space="preserve">cu 55,4%, personalul tehnic </w:t>
      </w:r>
      <w:r w:rsidR="000B6A9E">
        <w:rPr>
          <w:rFonts w:ascii="Times New Roman" w:hAnsi="Times New Roman" w:cs="Times New Roman"/>
          <w:sz w:val="24"/>
          <w:szCs w:val="24"/>
          <w:lang w:val="ro-RO"/>
        </w:rPr>
        <w:t xml:space="preserve">– </w:t>
      </w:r>
      <w:r w:rsidR="00216785" w:rsidRPr="00650D66">
        <w:rPr>
          <w:rFonts w:ascii="Times New Roman" w:hAnsi="Times New Roman" w:cs="Times New Roman"/>
          <w:sz w:val="24"/>
          <w:szCs w:val="24"/>
          <w:lang w:val="ro-RO"/>
        </w:rPr>
        <w:t>cu 54,4%, șefi</w:t>
      </w:r>
      <w:r w:rsidR="000B6A9E">
        <w:rPr>
          <w:rFonts w:ascii="Times New Roman" w:hAnsi="Times New Roman" w:cs="Times New Roman"/>
          <w:sz w:val="24"/>
          <w:szCs w:val="24"/>
          <w:lang w:val="ro-RO"/>
        </w:rPr>
        <w:t>i</w:t>
      </w:r>
      <w:r w:rsidR="00216785" w:rsidRPr="00650D66">
        <w:rPr>
          <w:rFonts w:ascii="Times New Roman" w:hAnsi="Times New Roman" w:cs="Times New Roman"/>
          <w:sz w:val="24"/>
          <w:szCs w:val="24"/>
          <w:lang w:val="ro-RO"/>
        </w:rPr>
        <w:t xml:space="preserve"> adjuncți a</w:t>
      </w:r>
      <w:r w:rsidR="000B6A9E">
        <w:rPr>
          <w:rFonts w:ascii="Times New Roman" w:hAnsi="Times New Roman" w:cs="Times New Roman"/>
          <w:sz w:val="24"/>
          <w:szCs w:val="24"/>
          <w:lang w:val="ro-RO"/>
        </w:rPr>
        <w:t>i</w:t>
      </w:r>
      <w:r w:rsidR="00216785" w:rsidRPr="00650D66">
        <w:rPr>
          <w:rFonts w:ascii="Times New Roman" w:hAnsi="Times New Roman" w:cs="Times New Roman"/>
          <w:sz w:val="24"/>
          <w:szCs w:val="24"/>
          <w:lang w:val="ro-RO"/>
        </w:rPr>
        <w:t xml:space="preserve"> secții</w:t>
      </w:r>
      <w:r w:rsidR="000B6A9E">
        <w:rPr>
          <w:rFonts w:ascii="Times New Roman" w:hAnsi="Times New Roman" w:cs="Times New Roman"/>
          <w:sz w:val="24"/>
          <w:szCs w:val="24"/>
          <w:lang w:val="ro-RO"/>
        </w:rPr>
        <w:t>lor –</w:t>
      </w:r>
      <w:r w:rsidR="00216785" w:rsidRPr="00650D66">
        <w:rPr>
          <w:rFonts w:ascii="Times New Roman" w:hAnsi="Times New Roman" w:cs="Times New Roman"/>
          <w:sz w:val="24"/>
          <w:szCs w:val="24"/>
          <w:lang w:val="ro-RO"/>
        </w:rPr>
        <w:t xml:space="preserve"> cu 51,7% etc.</w:t>
      </w:r>
      <w:r w:rsidRPr="00650D66">
        <w:rPr>
          <w:rFonts w:ascii="Times New Roman" w:eastAsia="Times New Roman" w:hAnsi="Times New Roman" w:cs="Times New Roman"/>
          <w:i/>
          <w:sz w:val="24"/>
          <w:szCs w:val="24"/>
          <w:lang w:val="ro-RO"/>
        </w:rPr>
        <w:t xml:space="preserve"> </w:t>
      </w:r>
      <w:r w:rsidR="001C4301" w:rsidRPr="00650D66">
        <w:rPr>
          <w:rFonts w:ascii="Times New Roman" w:eastAsia="Times New Roman" w:hAnsi="Times New Roman" w:cs="Times New Roman"/>
          <w:sz w:val="24"/>
          <w:szCs w:val="24"/>
          <w:lang w:val="ro-RO"/>
        </w:rPr>
        <w:t xml:space="preserve">Aceste creșteri nu consideră sporul pentru acces la secretul de stat, care era stabilit la salariul de bază în anul 2019, fiind ulterior exclus. </w:t>
      </w:r>
      <w:r w:rsidRPr="00650D66">
        <w:rPr>
          <w:rFonts w:ascii="Times New Roman" w:eastAsia="Times New Roman" w:hAnsi="Times New Roman" w:cs="Times New Roman"/>
          <w:i/>
          <w:sz w:val="24"/>
          <w:szCs w:val="24"/>
          <w:lang w:val="ro-RO"/>
        </w:rPr>
        <w:t>Analiza unităților de personal și salariilor de bază stabilite</w:t>
      </w:r>
      <w:r w:rsidR="008B504B">
        <w:rPr>
          <w:rFonts w:ascii="Times New Roman" w:eastAsia="Times New Roman" w:hAnsi="Times New Roman" w:cs="Times New Roman"/>
          <w:i/>
          <w:sz w:val="24"/>
          <w:szCs w:val="24"/>
          <w:lang w:val="ro-RO"/>
        </w:rPr>
        <w:t xml:space="preserve"> pe</w:t>
      </w:r>
      <w:r w:rsidRPr="00650D66">
        <w:rPr>
          <w:rFonts w:ascii="Times New Roman" w:eastAsia="Times New Roman" w:hAnsi="Times New Roman" w:cs="Times New Roman"/>
          <w:i/>
          <w:sz w:val="24"/>
          <w:szCs w:val="24"/>
          <w:lang w:val="ro-RO"/>
        </w:rPr>
        <w:t xml:space="preserve"> funcții, se prezintă în Anexa nr.</w:t>
      </w:r>
      <w:r w:rsidR="00FF1B71" w:rsidRPr="00650D66">
        <w:rPr>
          <w:rFonts w:ascii="Times New Roman" w:eastAsia="Times New Roman" w:hAnsi="Times New Roman" w:cs="Times New Roman"/>
          <w:i/>
          <w:sz w:val="24"/>
          <w:szCs w:val="24"/>
          <w:lang w:val="ro-RO"/>
        </w:rPr>
        <w:t>4</w:t>
      </w:r>
      <w:r w:rsidRPr="00650D66">
        <w:rPr>
          <w:rFonts w:ascii="Times New Roman" w:eastAsia="Times New Roman" w:hAnsi="Times New Roman" w:cs="Times New Roman"/>
          <w:i/>
          <w:sz w:val="24"/>
          <w:szCs w:val="24"/>
          <w:lang w:val="ro-RO"/>
        </w:rPr>
        <w:t xml:space="preserve"> la prezentul Raport de audit.</w:t>
      </w:r>
    </w:p>
    <w:p w14:paraId="7CDAD093" w14:textId="77777777" w:rsidR="00347ECE" w:rsidRPr="00650D66" w:rsidRDefault="00347ECE" w:rsidP="005A58C8">
      <w:pPr>
        <w:spacing w:after="0" w:line="276" w:lineRule="auto"/>
        <w:jc w:val="both"/>
        <w:rPr>
          <w:rFonts w:ascii="Times New Roman" w:eastAsia="Times New Roman" w:hAnsi="Times New Roman" w:cs="Times New Roman"/>
          <w:sz w:val="6"/>
          <w:szCs w:val="6"/>
          <w:lang w:val="ro-RO"/>
        </w:rPr>
      </w:pPr>
    </w:p>
    <w:p w14:paraId="71809D39" w14:textId="47FFA551" w:rsidR="005A58C8" w:rsidRPr="00650D66" w:rsidRDefault="005324AC" w:rsidP="005A58C8">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 xml:space="preserve">Auditul denotă că, </w:t>
      </w:r>
      <w:r w:rsidR="00751A88" w:rsidRPr="00650D66">
        <w:rPr>
          <w:rFonts w:ascii="Times New Roman" w:eastAsia="Times New Roman" w:hAnsi="Times New Roman" w:cs="Times New Roman"/>
          <w:sz w:val="24"/>
          <w:szCs w:val="24"/>
          <w:lang w:val="ro-RO"/>
        </w:rPr>
        <w:t>c</w:t>
      </w:r>
      <w:r w:rsidR="005A58C8" w:rsidRPr="00650D66">
        <w:rPr>
          <w:rFonts w:ascii="Times New Roman" w:eastAsia="Times New Roman" w:hAnsi="Times New Roman" w:cs="Times New Roman"/>
          <w:sz w:val="24"/>
          <w:szCs w:val="24"/>
          <w:lang w:val="ro-RO"/>
        </w:rPr>
        <w:t>omponentele sistemului de salarizare a angajaților BNM</w:t>
      </w:r>
      <w:r w:rsidR="00F56C52" w:rsidRPr="00650D66">
        <w:rPr>
          <w:rFonts w:ascii="Times New Roman" w:eastAsia="Times New Roman" w:hAnsi="Times New Roman" w:cs="Times New Roman"/>
          <w:sz w:val="24"/>
          <w:szCs w:val="24"/>
          <w:lang w:val="ro-RO"/>
        </w:rPr>
        <w:t xml:space="preserve"> </w:t>
      </w:r>
      <w:r w:rsidR="00DC45D2" w:rsidRPr="00650D66">
        <w:rPr>
          <w:rFonts w:ascii="Times New Roman" w:eastAsia="Times New Roman" w:hAnsi="Times New Roman" w:cs="Times New Roman"/>
          <w:sz w:val="24"/>
          <w:szCs w:val="24"/>
          <w:lang w:val="ro-RO"/>
        </w:rPr>
        <w:t xml:space="preserve">și remunerarea membrilor CS </w:t>
      </w:r>
      <w:r w:rsidR="00F56C52" w:rsidRPr="00650D66">
        <w:rPr>
          <w:rFonts w:ascii="Times New Roman" w:eastAsia="Times New Roman" w:hAnsi="Times New Roman" w:cs="Times New Roman"/>
          <w:sz w:val="24"/>
          <w:szCs w:val="24"/>
          <w:lang w:val="ro-RO"/>
        </w:rPr>
        <w:t>includ cheltuielile executate în perioada auditată</w:t>
      </w:r>
      <w:r w:rsidR="005A58C8" w:rsidRPr="00650D66">
        <w:rPr>
          <w:rFonts w:ascii="Times New Roman" w:eastAsia="Times New Roman" w:hAnsi="Times New Roman" w:cs="Times New Roman"/>
          <w:sz w:val="24"/>
          <w:szCs w:val="24"/>
          <w:lang w:val="ro-RO"/>
        </w:rPr>
        <w:t xml:space="preserve"> (697,4 mil. lei) </w:t>
      </w:r>
      <w:r w:rsidR="00F56C52" w:rsidRPr="00650D66">
        <w:rPr>
          <w:rFonts w:ascii="Times New Roman" w:eastAsia="Times New Roman" w:hAnsi="Times New Roman" w:cs="Times New Roman"/>
          <w:sz w:val="24"/>
          <w:szCs w:val="24"/>
          <w:lang w:val="ro-RO"/>
        </w:rPr>
        <w:t>formate</w:t>
      </w:r>
      <w:r w:rsidR="005A58C8" w:rsidRPr="00650D66">
        <w:rPr>
          <w:rFonts w:ascii="Times New Roman" w:eastAsia="Times New Roman" w:hAnsi="Times New Roman" w:cs="Times New Roman"/>
          <w:sz w:val="24"/>
          <w:szCs w:val="24"/>
          <w:lang w:val="ro-RO"/>
        </w:rPr>
        <w:t xml:space="preserve"> din: salariul de bază – 480,2 mil. lei (68,9%), premii și alte drepturi – 40,0 mil. lei (5,7%), </w:t>
      </w:r>
      <w:r w:rsidR="000B6A9E">
        <w:rPr>
          <w:rFonts w:ascii="Times New Roman" w:eastAsia="Times New Roman" w:hAnsi="Times New Roman" w:cs="Times New Roman"/>
          <w:sz w:val="24"/>
          <w:szCs w:val="24"/>
          <w:lang w:val="ro-RO"/>
        </w:rPr>
        <w:t>i</w:t>
      </w:r>
      <w:r w:rsidR="005A58C8" w:rsidRPr="00650D66">
        <w:rPr>
          <w:rFonts w:ascii="Times New Roman" w:eastAsia="Times New Roman" w:hAnsi="Times New Roman" w:cs="Times New Roman"/>
          <w:sz w:val="24"/>
          <w:szCs w:val="24"/>
          <w:lang w:val="ro-RO"/>
        </w:rPr>
        <w:t>ndemnizații</w:t>
      </w:r>
      <w:r w:rsidR="001B2C80" w:rsidRPr="00650D66">
        <w:rPr>
          <w:rFonts w:ascii="Times New Roman" w:eastAsia="Times New Roman" w:hAnsi="Times New Roman" w:cs="Times New Roman"/>
          <w:sz w:val="24"/>
          <w:szCs w:val="24"/>
          <w:lang w:val="ro-RO"/>
        </w:rPr>
        <w:t xml:space="preserve"> CS</w:t>
      </w:r>
      <w:r w:rsidR="005A58C8" w:rsidRPr="00650D66">
        <w:rPr>
          <w:rFonts w:ascii="Times New Roman" w:eastAsia="Times New Roman" w:hAnsi="Times New Roman" w:cs="Times New Roman"/>
          <w:sz w:val="24"/>
          <w:szCs w:val="24"/>
          <w:lang w:val="ro-RO"/>
        </w:rPr>
        <w:t xml:space="preserve"> – 16,2 mil. lei (2,3%)</w:t>
      </w:r>
      <w:r w:rsidR="001B2C80" w:rsidRPr="00650D66">
        <w:rPr>
          <w:rFonts w:ascii="Times New Roman" w:eastAsia="Times New Roman" w:hAnsi="Times New Roman" w:cs="Times New Roman"/>
          <w:sz w:val="24"/>
          <w:szCs w:val="24"/>
          <w:lang w:val="ro-RO"/>
        </w:rPr>
        <w:t xml:space="preserve">, ajutoare materiale – 5,2 mil. lei (0,7%), </w:t>
      </w:r>
      <w:r w:rsidR="000B6A9E">
        <w:rPr>
          <w:rFonts w:ascii="Times New Roman" w:eastAsia="Times New Roman" w:hAnsi="Times New Roman" w:cs="Times New Roman"/>
          <w:sz w:val="24"/>
          <w:szCs w:val="24"/>
          <w:lang w:val="ro-RO"/>
        </w:rPr>
        <w:t>i</w:t>
      </w:r>
      <w:r w:rsidR="001B2C80" w:rsidRPr="00650D66">
        <w:rPr>
          <w:rFonts w:ascii="Times New Roman" w:eastAsia="Times New Roman" w:hAnsi="Times New Roman" w:cs="Times New Roman"/>
          <w:sz w:val="24"/>
          <w:szCs w:val="24"/>
          <w:lang w:val="ro-RO"/>
        </w:rPr>
        <w:t>ndemnizații pentru incapacitate temporară de muncă – 2,0 mil. lei (0,3%)</w:t>
      </w:r>
      <w:r w:rsidR="000B6A9E">
        <w:rPr>
          <w:rFonts w:ascii="Times New Roman" w:eastAsia="Times New Roman" w:hAnsi="Times New Roman" w:cs="Times New Roman"/>
          <w:sz w:val="24"/>
          <w:szCs w:val="24"/>
          <w:lang w:val="ro-RO"/>
        </w:rPr>
        <w:t>,</w:t>
      </w:r>
      <w:r w:rsidR="00C12BCC" w:rsidRPr="00650D66">
        <w:rPr>
          <w:rFonts w:ascii="Times New Roman" w:eastAsia="Times New Roman" w:hAnsi="Times New Roman" w:cs="Times New Roman"/>
          <w:sz w:val="24"/>
          <w:szCs w:val="24"/>
          <w:lang w:val="ro-RO"/>
        </w:rPr>
        <w:t xml:space="preserve"> și</w:t>
      </w:r>
      <w:r w:rsidR="00AE15B9" w:rsidRPr="00650D66">
        <w:rPr>
          <w:rFonts w:ascii="Times New Roman" w:eastAsia="Times New Roman" w:hAnsi="Times New Roman" w:cs="Times New Roman"/>
          <w:sz w:val="24"/>
          <w:szCs w:val="24"/>
          <w:lang w:val="ro-RO"/>
        </w:rPr>
        <w:t xml:space="preserve"> prime de asigurare</w:t>
      </w:r>
      <w:r w:rsidR="00023931" w:rsidRPr="00650D66">
        <w:rPr>
          <w:rFonts w:ascii="Times New Roman" w:eastAsia="Times New Roman" w:hAnsi="Times New Roman" w:cs="Times New Roman"/>
          <w:sz w:val="24"/>
          <w:szCs w:val="24"/>
          <w:lang w:val="ro-RO"/>
        </w:rPr>
        <w:t xml:space="preserve"> </w:t>
      </w:r>
      <w:r w:rsidR="00AE15B9" w:rsidRPr="00650D66">
        <w:rPr>
          <w:rFonts w:ascii="Times New Roman" w:eastAsia="Times New Roman" w:hAnsi="Times New Roman" w:cs="Times New Roman"/>
          <w:sz w:val="24"/>
          <w:szCs w:val="24"/>
          <w:lang w:val="ro-RO"/>
        </w:rPr>
        <w:t>– 153,9 mil. lei (22,1%).</w:t>
      </w:r>
      <w:r w:rsidR="00722362" w:rsidRPr="00650D66">
        <w:rPr>
          <w:rFonts w:ascii="Times New Roman" w:eastAsia="Times New Roman" w:hAnsi="Times New Roman" w:cs="Times New Roman"/>
          <w:sz w:val="24"/>
          <w:szCs w:val="24"/>
          <w:lang w:val="ro-RO"/>
        </w:rPr>
        <w:t xml:space="preserve"> Astfel, cheltuielile pentru retribuirea personalului scriptic (salariul de bază) în perioada auditată a</w:t>
      </w:r>
      <w:r w:rsidR="000B6A9E">
        <w:rPr>
          <w:rFonts w:ascii="Times New Roman" w:eastAsia="Times New Roman" w:hAnsi="Times New Roman" w:cs="Times New Roman"/>
          <w:sz w:val="24"/>
          <w:szCs w:val="24"/>
          <w:lang w:val="ro-RO"/>
        </w:rPr>
        <w:t>u</w:t>
      </w:r>
      <w:r w:rsidR="00722362" w:rsidRPr="00650D66">
        <w:rPr>
          <w:rFonts w:ascii="Times New Roman" w:eastAsia="Times New Roman" w:hAnsi="Times New Roman" w:cs="Times New Roman"/>
          <w:sz w:val="24"/>
          <w:szCs w:val="24"/>
          <w:lang w:val="ro-RO"/>
        </w:rPr>
        <w:t xml:space="preserve"> constituit:</w:t>
      </w:r>
      <w:r w:rsidR="00722362" w:rsidRPr="00650D66">
        <w:rPr>
          <w:rFonts w:ascii="Times New Roman" w:hAnsi="Times New Roman" w:cs="Times New Roman"/>
          <w:lang w:val="ro-RO"/>
        </w:rPr>
        <w:t xml:space="preserve"> </w:t>
      </w:r>
      <w:r w:rsidR="00722362" w:rsidRPr="00650D66">
        <w:rPr>
          <w:rFonts w:ascii="Times New Roman" w:eastAsia="Times New Roman" w:hAnsi="Times New Roman" w:cs="Times New Roman"/>
          <w:sz w:val="24"/>
          <w:szCs w:val="24"/>
          <w:lang w:val="ro-RO"/>
        </w:rPr>
        <w:t>în anul 2019 – 111,8 mil. lei, 2020 – 106,2 mil. lei, 2021 – 111,0 mil. lei și în anul 2022 – 151,2 mil. lei.</w:t>
      </w:r>
    </w:p>
    <w:p w14:paraId="6E1C7D6E" w14:textId="77777777" w:rsidR="00CF3E90" w:rsidRPr="00650D66" w:rsidRDefault="00CF3E90" w:rsidP="005A58C8">
      <w:pPr>
        <w:spacing w:after="0" w:line="276" w:lineRule="auto"/>
        <w:jc w:val="both"/>
        <w:rPr>
          <w:rFonts w:ascii="Times New Roman" w:eastAsia="Times New Roman" w:hAnsi="Times New Roman" w:cs="Times New Roman"/>
          <w:sz w:val="6"/>
          <w:szCs w:val="6"/>
          <w:lang w:val="ro-RO"/>
        </w:rPr>
      </w:pPr>
    </w:p>
    <w:p w14:paraId="5604CA30" w14:textId="0B16D7CA" w:rsidR="003168AB" w:rsidRPr="004B4226" w:rsidRDefault="00C40C58" w:rsidP="005A58C8">
      <w:pPr>
        <w:spacing w:after="0" w:line="276"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 u</w:t>
      </w:r>
      <w:r w:rsidR="00CF3E90" w:rsidRPr="00650D66">
        <w:rPr>
          <w:rFonts w:ascii="Times New Roman" w:eastAsia="Times New Roman" w:hAnsi="Times New Roman" w:cs="Times New Roman"/>
          <w:sz w:val="24"/>
          <w:szCs w:val="24"/>
          <w:lang w:val="ro-RO"/>
        </w:rPr>
        <w:t xml:space="preserve">rmare </w:t>
      </w:r>
      <w:r>
        <w:rPr>
          <w:rFonts w:ascii="Times New Roman" w:eastAsia="Times New Roman" w:hAnsi="Times New Roman" w:cs="Times New Roman"/>
          <w:sz w:val="24"/>
          <w:szCs w:val="24"/>
          <w:lang w:val="ro-RO"/>
        </w:rPr>
        <w:t xml:space="preserve">a </w:t>
      </w:r>
      <w:r w:rsidR="00CF3E90" w:rsidRPr="00650D66">
        <w:rPr>
          <w:rFonts w:ascii="Times New Roman" w:eastAsia="Times New Roman" w:hAnsi="Times New Roman" w:cs="Times New Roman"/>
          <w:sz w:val="24"/>
          <w:szCs w:val="24"/>
          <w:lang w:val="ro-RO"/>
        </w:rPr>
        <w:t>verificări</w:t>
      </w:r>
      <w:r>
        <w:rPr>
          <w:rFonts w:ascii="Times New Roman" w:eastAsia="Times New Roman" w:hAnsi="Times New Roman" w:cs="Times New Roman"/>
          <w:sz w:val="24"/>
          <w:szCs w:val="24"/>
          <w:lang w:val="ro-RO"/>
        </w:rPr>
        <w:t>i</w:t>
      </w:r>
      <w:r w:rsidR="00CF3E90" w:rsidRPr="00650D66">
        <w:rPr>
          <w:rFonts w:ascii="Times New Roman" w:eastAsia="Times New Roman" w:hAnsi="Times New Roman" w:cs="Times New Roman"/>
          <w:sz w:val="24"/>
          <w:szCs w:val="24"/>
          <w:lang w:val="ro-RO"/>
        </w:rPr>
        <w:t xml:space="preserve"> unui eșantion reprezentativ selectat de către echipa de audit cu privire la corectitudinea calculării și achitării salariilor angajaților BNM, nu au fost constatate abateri de la prevederile cadrului normativ intern aprobat de către BNM.</w:t>
      </w:r>
    </w:p>
    <w:p w14:paraId="10CD7C91" w14:textId="1B58121E" w:rsidR="00C541CF" w:rsidRPr="00650D66" w:rsidRDefault="004F0403" w:rsidP="001D469F">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De menționat că, condițiile de salarizare a angajaților BNM sunt diferențiate de sistemul unitar de salarizare în sectorul bugetar. Astfel, în baza prevederilor Codului muncii, Regulamentului privind salarizarea angajaților BNM și conform Ordinelor conducerii BNM</w:t>
      </w:r>
      <w:r w:rsidR="00C40C58">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în perioada 2019-2022 </w:t>
      </w:r>
      <w:r w:rsidRPr="00650D66">
        <w:rPr>
          <w:rFonts w:ascii="Times New Roman" w:eastAsia="Times New Roman" w:hAnsi="Times New Roman" w:cs="Times New Roman"/>
          <w:i/>
          <w:sz w:val="24"/>
          <w:szCs w:val="24"/>
          <w:lang w:val="ro-RO"/>
        </w:rPr>
        <w:t>au fost executate cheltuieli pentru stimulare și compensare</w:t>
      </w:r>
      <w:r w:rsidR="008E6F80" w:rsidRPr="00650D66">
        <w:rPr>
          <w:rFonts w:ascii="Times New Roman" w:eastAsia="Times New Roman" w:hAnsi="Times New Roman" w:cs="Times New Roman"/>
          <w:sz w:val="24"/>
          <w:szCs w:val="24"/>
          <w:lang w:val="ro-RO"/>
        </w:rPr>
        <w:t xml:space="preserve">, </w:t>
      </w:r>
      <w:r w:rsidR="00F054A3" w:rsidRPr="00650D66">
        <w:rPr>
          <w:rFonts w:ascii="Times New Roman" w:eastAsia="Times New Roman" w:hAnsi="Times New Roman" w:cs="Times New Roman"/>
          <w:sz w:val="24"/>
          <w:szCs w:val="24"/>
          <w:lang w:val="ro-RO"/>
        </w:rPr>
        <w:t>după cum urmează</w:t>
      </w:r>
      <w:r w:rsidR="008E6F80" w:rsidRPr="00650D66">
        <w:rPr>
          <w:rFonts w:ascii="Times New Roman" w:eastAsia="Times New Roman" w:hAnsi="Times New Roman" w:cs="Times New Roman"/>
          <w:sz w:val="24"/>
          <w:szCs w:val="24"/>
          <w:lang w:val="ro-RO"/>
        </w:rPr>
        <w:t>:</w:t>
      </w:r>
      <w:r w:rsidR="00A953B4" w:rsidRPr="00650D66">
        <w:rPr>
          <w:rFonts w:ascii="Times New Roman" w:eastAsia="Times New Roman" w:hAnsi="Times New Roman" w:cs="Times New Roman"/>
          <w:sz w:val="24"/>
          <w:szCs w:val="24"/>
          <w:lang w:val="ro-RO"/>
        </w:rPr>
        <w:t xml:space="preserve"> </w:t>
      </w:r>
      <w:r w:rsidR="00A953B4" w:rsidRPr="00650D66">
        <w:rPr>
          <w:rFonts w:ascii="Times New Roman" w:eastAsia="Times New Roman" w:hAnsi="Times New Roman" w:cs="Times New Roman"/>
          <w:i/>
          <w:sz w:val="24"/>
          <w:szCs w:val="24"/>
          <w:lang w:val="ro-RO"/>
        </w:rPr>
        <w:t>(i)</w:t>
      </w:r>
      <w:r w:rsidR="00A953B4" w:rsidRPr="00650D66">
        <w:rPr>
          <w:rFonts w:ascii="Times New Roman" w:eastAsia="Times New Roman" w:hAnsi="Times New Roman" w:cs="Times New Roman"/>
          <w:sz w:val="24"/>
          <w:szCs w:val="24"/>
          <w:lang w:val="ro-RO"/>
        </w:rPr>
        <w:t xml:space="preserve"> </w:t>
      </w:r>
      <w:r w:rsidR="00577D0B" w:rsidRPr="00650D66">
        <w:rPr>
          <w:rFonts w:ascii="Times New Roman" w:eastAsia="Times New Roman" w:hAnsi="Times New Roman" w:cs="Times New Roman"/>
          <w:sz w:val="24"/>
          <w:szCs w:val="24"/>
          <w:lang w:val="ro-RO"/>
        </w:rPr>
        <w:t>remunerarea în regim de staționare – 3</w:t>
      </w:r>
      <w:r w:rsidR="00C40C58">
        <w:rPr>
          <w:rFonts w:ascii="Times New Roman" w:eastAsia="Times New Roman" w:hAnsi="Times New Roman" w:cs="Times New Roman"/>
          <w:sz w:val="24"/>
          <w:szCs w:val="24"/>
          <w:lang w:val="ro-RO"/>
        </w:rPr>
        <w:t>.</w:t>
      </w:r>
      <w:r w:rsidR="00577D0B" w:rsidRPr="00650D66">
        <w:rPr>
          <w:rFonts w:ascii="Times New Roman" w:eastAsia="Times New Roman" w:hAnsi="Times New Roman" w:cs="Times New Roman"/>
          <w:sz w:val="24"/>
          <w:szCs w:val="24"/>
          <w:lang w:val="ro-RO"/>
        </w:rPr>
        <w:t>351,9 mii lei</w:t>
      </w:r>
      <w:r w:rsidR="00922A58" w:rsidRPr="00650D66">
        <w:rPr>
          <w:rFonts w:ascii="Times New Roman" w:eastAsia="Times New Roman" w:hAnsi="Times New Roman" w:cs="Times New Roman"/>
          <w:sz w:val="24"/>
          <w:szCs w:val="24"/>
          <w:lang w:val="ro-RO"/>
        </w:rPr>
        <w:t xml:space="preserve"> (pe parcursul perioadei pandemice)</w:t>
      </w:r>
      <w:r w:rsidR="00577D0B" w:rsidRPr="00650D66">
        <w:rPr>
          <w:rFonts w:ascii="Times New Roman" w:eastAsia="Times New Roman" w:hAnsi="Times New Roman" w:cs="Times New Roman"/>
          <w:sz w:val="24"/>
          <w:szCs w:val="24"/>
          <w:lang w:val="ro-RO"/>
        </w:rPr>
        <w:t>;</w:t>
      </w:r>
      <w:r w:rsidR="00A953B4" w:rsidRPr="00650D66">
        <w:rPr>
          <w:rFonts w:ascii="Times New Roman" w:eastAsia="Times New Roman" w:hAnsi="Times New Roman" w:cs="Times New Roman"/>
          <w:sz w:val="24"/>
          <w:szCs w:val="24"/>
          <w:lang w:val="ro-RO"/>
        </w:rPr>
        <w:t xml:space="preserve"> </w:t>
      </w:r>
      <w:r w:rsidR="00A953B4" w:rsidRPr="00650D66">
        <w:rPr>
          <w:rFonts w:ascii="Times New Roman" w:eastAsia="Times New Roman" w:hAnsi="Times New Roman" w:cs="Times New Roman"/>
          <w:i/>
          <w:sz w:val="24"/>
          <w:szCs w:val="24"/>
          <w:lang w:val="ro-RO"/>
        </w:rPr>
        <w:t>(ii)</w:t>
      </w:r>
      <w:r w:rsidR="00A953B4" w:rsidRPr="00650D66">
        <w:rPr>
          <w:rFonts w:ascii="Times New Roman" w:eastAsia="Times New Roman" w:hAnsi="Times New Roman" w:cs="Times New Roman"/>
          <w:sz w:val="24"/>
          <w:szCs w:val="24"/>
          <w:lang w:val="ro-RO"/>
        </w:rPr>
        <w:t xml:space="preserve"> </w:t>
      </w:r>
      <w:r w:rsidR="0061118C" w:rsidRPr="00650D66">
        <w:rPr>
          <w:rFonts w:ascii="Times New Roman" w:eastAsia="Times New Roman" w:hAnsi="Times New Roman" w:cs="Times New Roman"/>
          <w:sz w:val="24"/>
          <w:szCs w:val="24"/>
          <w:lang w:val="ro-RO"/>
        </w:rPr>
        <w:t xml:space="preserve">angajații aflați mai </w:t>
      </w:r>
      <w:r w:rsidR="00B46008" w:rsidRPr="00650D66">
        <w:rPr>
          <w:rFonts w:ascii="Times New Roman" w:eastAsia="Times New Roman" w:hAnsi="Times New Roman" w:cs="Times New Roman"/>
          <w:sz w:val="24"/>
          <w:szCs w:val="24"/>
          <w:lang w:val="ro-RO"/>
        </w:rPr>
        <w:t>mult de 6 luni, pe parcursul unui</w:t>
      </w:r>
      <w:r w:rsidR="0061118C" w:rsidRPr="00650D66">
        <w:rPr>
          <w:rFonts w:ascii="Times New Roman" w:eastAsia="Times New Roman" w:hAnsi="Times New Roman" w:cs="Times New Roman"/>
          <w:sz w:val="24"/>
          <w:szCs w:val="24"/>
          <w:lang w:val="ro-RO"/>
        </w:rPr>
        <w:t xml:space="preserve"> an calendaristic, în concediu de maternitate sau </w:t>
      </w:r>
      <w:r w:rsidR="00C40C58">
        <w:rPr>
          <w:rFonts w:ascii="Times New Roman" w:eastAsia="Times New Roman" w:hAnsi="Times New Roman" w:cs="Times New Roman"/>
          <w:sz w:val="24"/>
          <w:szCs w:val="24"/>
          <w:lang w:val="ro-RO"/>
        </w:rPr>
        <w:t>de</w:t>
      </w:r>
      <w:r w:rsidR="0061118C" w:rsidRPr="00650D66">
        <w:rPr>
          <w:rFonts w:ascii="Times New Roman" w:eastAsia="Times New Roman" w:hAnsi="Times New Roman" w:cs="Times New Roman"/>
          <w:sz w:val="24"/>
          <w:szCs w:val="24"/>
          <w:lang w:val="ro-RO"/>
        </w:rPr>
        <w:t xml:space="preserve"> îngrijire</w:t>
      </w:r>
      <w:r w:rsidR="00C40C58">
        <w:rPr>
          <w:rFonts w:ascii="Times New Roman" w:eastAsia="Times New Roman" w:hAnsi="Times New Roman" w:cs="Times New Roman"/>
          <w:sz w:val="24"/>
          <w:szCs w:val="24"/>
          <w:lang w:val="ro-RO"/>
        </w:rPr>
        <w:t xml:space="preserve"> </w:t>
      </w:r>
      <w:r w:rsidR="0061118C" w:rsidRPr="00650D66">
        <w:rPr>
          <w:rFonts w:ascii="Times New Roman" w:eastAsia="Times New Roman" w:hAnsi="Times New Roman" w:cs="Times New Roman"/>
          <w:sz w:val="24"/>
          <w:szCs w:val="24"/>
          <w:lang w:val="ro-RO"/>
        </w:rPr>
        <w:t>a copilului până la vârsta de 3 ani, beneficiază anual de un ajutor material în mărime de un salariu de bază – 2</w:t>
      </w:r>
      <w:r w:rsidR="00C40C58">
        <w:rPr>
          <w:rFonts w:ascii="Times New Roman" w:eastAsia="Times New Roman" w:hAnsi="Times New Roman" w:cs="Times New Roman"/>
          <w:sz w:val="24"/>
          <w:szCs w:val="24"/>
          <w:lang w:val="ro-RO"/>
        </w:rPr>
        <w:t>.</w:t>
      </w:r>
      <w:r w:rsidR="008626D6" w:rsidRPr="00650D66">
        <w:rPr>
          <w:rFonts w:ascii="Times New Roman" w:eastAsia="Times New Roman" w:hAnsi="Times New Roman" w:cs="Times New Roman"/>
          <w:sz w:val="24"/>
          <w:szCs w:val="24"/>
          <w:lang w:val="ro-RO"/>
        </w:rPr>
        <w:t>3</w:t>
      </w:r>
      <w:r w:rsidR="0061118C" w:rsidRPr="00650D66">
        <w:rPr>
          <w:rFonts w:ascii="Times New Roman" w:eastAsia="Times New Roman" w:hAnsi="Times New Roman" w:cs="Times New Roman"/>
          <w:sz w:val="24"/>
          <w:szCs w:val="24"/>
          <w:lang w:val="ro-RO"/>
        </w:rPr>
        <w:t>06,8 mii lei;</w:t>
      </w:r>
      <w:r w:rsidR="00A953B4" w:rsidRPr="00650D66">
        <w:rPr>
          <w:rFonts w:ascii="Times New Roman" w:eastAsia="Times New Roman" w:hAnsi="Times New Roman" w:cs="Times New Roman"/>
          <w:sz w:val="24"/>
          <w:szCs w:val="24"/>
          <w:lang w:val="ro-RO"/>
        </w:rPr>
        <w:t xml:space="preserve"> </w:t>
      </w:r>
      <w:r w:rsidR="00A953B4" w:rsidRPr="00650D66">
        <w:rPr>
          <w:rFonts w:ascii="Times New Roman" w:eastAsia="Times New Roman" w:hAnsi="Times New Roman" w:cs="Times New Roman"/>
          <w:i/>
          <w:sz w:val="24"/>
          <w:szCs w:val="24"/>
          <w:lang w:val="ro-RO"/>
        </w:rPr>
        <w:t>(iii)</w:t>
      </w:r>
      <w:r w:rsidR="00A953B4" w:rsidRPr="00650D66">
        <w:rPr>
          <w:rFonts w:ascii="Times New Roman" w:eastAsia="Times New Roman" w:hAnsi="Times New Roman" w:cs="Times New Roman"/>
          <w:sz w:val="24"/>
          <w:szCs w:val="24"/>
          <w:lang w:val="ro-RO"/>
        </w:rPr>
        <w:t xml:space="preserve"> </w:t>
      </w:r>
      <w:r w:rsidR="00151774" w:rsidRPr="00650D66">
        <w:rPr>
          <w:rFonts w:ascii="Times New Roman" w:eastAsia="Times New Roman" w:hAnsi="Times New Roman" w:cs="Times New Roman"/>
          <w:sz w:val="24"/>
          <w:szCs w:val="24"/>
          <w:lang w:val="ro-RO"/>
        </w:rPr>
        <w:t xml:space="preserve">la încetarea contractului individual de muncă, angajații care dețin statutul de </w:t>
      </w:r>
      <w:r w:rsidR="00151774" w:rsidRPr="00650D66">
        <w:rPr>
          <w:rFonts w:ascii="Times New Roman" w:eastAsia="Times New Roman" w:hAnsi="Times New Roman" w:cs="Times New Roman"/>
          <w:sz w:val="24"/>
          <w:szCs w:val="24"/>
          <w:lang w:val="ro-RO"/>
        </w:rPr>
        <w:lastRenderedPageBreak/>
        <w:t xml:space="preserve">pensionar pentru limita de vârstă și nu au încheiat un alt contract de muncă pe perioadă determinată, beneficiază de o primă unică în mărimea unui salariu de bază lunar – 247,1 mii lei; </w:t>
      </w:r>
      <w:r w:rsidR="00A953B4" w:rsidRPr="00650D66">
        <w:rPr>
          <w:rFonts w:ascii="Times New Roman" w:eastAsia="Times New Roman" w:hAnsi="Times New Roman" w:cs="Times New Roman"/>
          <w:i/>
          <w:sz w:val="24"/>
          <w:szCs w:val="24"/>
          <w:lang w:val="ro-RO"/>
        </w:rPr>
        <w:t>(iv)</w:t>
      </w:r>
      <w:r w:rsidR="00A953B4" w:rsidRPr="00650D66">
        <w:rPr>
          <w:rFonts w:ascii="Times New Roman" w:eastAsia="Times New Roman" w:hAnsi="Times New Roman" w:cs="Times New Roman"/>
          <w:sz w:val="24"/>
          <w:szCs w:val="24"/>
          <w:lang w:val="ro-RO"/>
        </w:rPr>
        <w:t xml:space="preserve"> </w:t>
      </w:r>
      <w:r w:rsidR="00151774" w:rsidRPr="00650D66">
        <w:rPr>
          <w:rFonts w:ascii="Times New Roman" w:eastAsia="Times New Roman" w:hAnsi="Times New Roman" w:cs="Times New Roman"/>
          <w:sz w:val="24"/>
          <w:szCs w:val="24"/>
          <w:lang w:val="ro-RO"/>
        </w:rPr>
        <w:t>spor pentru certificare profesională de gradul I și II – 132,7 mii lei;</w:t>
      </w:r>
      <w:r w:rsidR="00A953B4" w:rsidRPr="00650D66">
        <w:rPr>
          <w:rFonts w:ascii="Times New Roman" w:eastAsia="Times New Roman" w:hAnsi="Times New Roman" w:cs="Times New Roman"/>
          <w:sz w:val="24"/>
          <w:szCs w:val="24"/>
          <w:lang w:val="ro-RO"/>
        </w:rPr>
        <w:t xml:space="preserve"> </w:t>
      </w:r>
      <w:r w:rsidR="00A953B4" w:rsidRPr="00650D66">
        <w:rPr>
          <w:rFonts w:ascii="Times New Roman" w:eastAsia="Times New Roman" w:hAnsi="Times New Roman" w:cs="Times New Roman"/>
          <w:i/>
          <w:sz w:val="24"/>
          <w:szCs w:val="24"/>
          <w:lang w:val="ro-RO"/>
        </w:rPr>
        <w:t>(v)</w:t>
      </w:r>
      <w:r w:rsidR="00A953B4" w:rsidRPr="00650D66">
        <w:rPr>
          <w:rFonts w:ascii="Times New Roman" w:eastAsia="Times New Roman" w:hAnsi="Times New Roman" w:cs="Times New Roman"/>
          <w:sz w:val="24"/>
          <w:szCs w:val="24"/>
          <w:lang w:val="ro-RO"/>
        </w:rPr>
        <w:t xml:space="preserve"> </w:t>
      </w:r>
      <w:r w:rsidR="0061118C" w:rsidRPr="00650D66">
        <w:rPr>
          <w:rFonts w:ascii="Times New Roman" w:eastAsia="Times New Roman" w:hAnsi="Times New Roman" w:cs="Times New Roman"/>
          <w:sz w:val="24"/>
          <w:szCs w:val="24"/>
          <w:lang w:val="ro-RO"/>
        </w:rPr>
        <w:t xml:space="preserve">noii angajați, fără experiență de muncă sau cu experiență în domeniul solicitat mai mică de 12 luni, cu excepția personalului tehnic, beneficiază în primele 2 săptămâni de muncă de la angajare în BNM </w:t>
      </w:r>
      <w:r w:rsidR="00C40C58">
        <w:rPr>
          <w:rFonts w:ascii="Times New Roman" w:eastAsia="Times New Roman" w:hAnsi="Times New Roman" w:cs="Times New Roman"/>
          <w:sz w:val="24"/>
          <w:szCs w:val="24"/>
          <w:lang w:val="ro-RO"/>
        </w:rPr>
        <w:t xml:space="preserve">de un suport financiar de </w:t>
      </w:r>
      <w:r w:rsidR="0061118C" w:rsidRPr="00650D66">
        <w:rPr>
          <w:rFonts w:ascii="Times New Roman" w:eastAsia="Times New Roman" w:hAnsi="Times New Roman" w:cs="Times New Roman"/>
          <w:sz w:val="24"/>
          <w:szCs w:val="24"/>
          <w:lang w:val="ro-RO"/>
        </w:rPr>
        <w:t>3,0 mii lei – 45,0 mii lei</w:t>
      </w:r>
      <w:r w:rsidR="008764B1" w:rsidRPr="00650D66">
        <w:rPr>
          <w:rFonts w:ascii="Times New Roman" w:eastAsia="Times New Roman" w:hAnsi="Times New Roman" w:cs="Times New Roman"/>
          <w:sz w:val="24"/>
          <w:szCs w:val="24"/>
          <w:lang w:val="ro-RO"/>
        </w:rPr>
        <w:t>.</w:t>
      </w:r>
      <w:r w:rsidR="001D469F" w:rsidRPr="00650D66">
        <w:rPr>
          <w:rFonts w:ascii="Times New Roman" w:eastAsia="Times New Roman" w:hAnsi="Times New Roman" w:cs="Times New Roman"/>
          <w:sz w:val="24"/>
          <w:szCs w:val="24"/>
          <w:lang w:val="ro-RO"/>
        </w:rPr>
        <w:t xml:space="preserve"> </w:t>
      </w:r>
      <w:r w:rsidR="00E223C7" w:rsidRPr="00650D66">
        <w:rPr>
          <w:rFonts w:ascii="Times New Roman" w:eastAsia="Times New Roman" w:hAnsi="Times New Roman" w:cs="Times New Roman"/>
          <w:sz w:val="24"/>
          <w:szCs w:val="24"/>
          <w:lang w:val="ro-RO"/>
        </w:rPr>
        <w:t>Totodată</w:t>
      </w:r>
      <w:r w:rsidR="00C40C58">
        <w:rPr>
          <w:rFonts w:ascii="Times New Roman" w:eastAsia="Times New Roman" w:hAnsi="Times New Roman" w:cs="Times New Roman"/>
          <w:sz w:val="24"/>
          <w:szCs w:val="24"/>
          <w:lang w:val="ro-RO"/>
        </w:rPr>
        <w:t>,</w:t>
      </w:r>
      <w:r w:rsidR="00E223C7" w:rsidRPr="00650D66">
        <w:rPr>
          <w:rFonts w:ascii="Times New Roman" w:eastAsia="Times New Roman" w:hAnsi="Times New Roman" w:cs="Times New Roman"/>
          <w:sz w:val="24"/>
          <w:szCs w:val="24"/>
          <w:lang w:val="ro-RO"/>
        </w:rPr>
        <w:t xml:space="preserve"> au fost executate </w:t>
      </w:r>
      <w:r w:rsidR="001D469F" w:rsidRPr="00650D66">
        <w:rPr>
          <w:rFonts w:ascii="Times New Roman" w:eastAsia="Times New Roman" w:hAnsi="Times New Roman" w:cs="Times New Roman"/>
          <w:sz w:val="24"/>
          <w:szCs w:val="24"/>
          <w:lang w:val="ro-RO"/>
        </w:rPr>
        <w:t xml:space="preserve">și alte </w:t>
      </w:r>
      <w:r w:rsidR="00E223C7" w:rsidRPr="00650D66">
        <w:rPr>
          <w:rFonts w:ascii="Times New Roman" w:eastAsia="Times New Roman" w:hAnsi="Times New Roman" w:cs="Times New Roman"/>
          <w:sz w:val="24"/>
          <w:szCs w:val="24"/>
          <w:lang w:val="ro-RO"/>
        </w:rPr>
        <w:t xml:space="preserve">cheltuieli </w:t>
      </w:r>
      <w:r w:rsidR="00E223C7" w:rsidRPr="00650D66">
        <w:rPr>
          <w:rFonts w:ascii="Times New Roman" w:eastAsia="Times New Roman" w:hAnsi="Times New Roman" w:cs="Times New Roman"/>
          <w:i/>
          <w:sz w:val="24"/>
          <w:szCs w:val="24"/>
          <w:lang w:val="ro-RO"/>
        </w:rPr>
        <w:t xml:space="preserve">pentru stimulare și compensare: </w:t>
      </w:r>
      <w:r w:rsidR="00E223C7" w:rsidRPr="00650D66">
        <w:rPr>
          <w:rFonts w:ascii="Times New Roman" w:eastAsia="Times New Roman" w:hAnsi="Times New Roman" w:cs="Times New Roman"/>
          <w:sz w:val="24"/>
          <w:szCs w:val="24"/>
          <w:lang w:val="ro-RO"/>
        </w:rPr>
        <w:t>ajutor material unic (COVID) – 2</w:t>
      </w:r>
      <w:r w:rsidR="00C40C58">
        <w:rPr>
          <w:rFonts w:ascii="Times New Roman" w:eastAsia="Times New Roman" w:hAnsi="Times New Roman" w:cs="Times New Roman"/>
          <w:sz w:val="24"/>
          <w:szCs w:val="24"/>
          <w:lang w:val="ro-RO"/>
        </w:rPr>
        <w:t>.</w:t>
      </w:r>
      <w:r w:rsidR="00E223C7" w:rsidRPr="00650D66">
        <w:rPr>
          <w:rFonts w:ascii="Times New Roman" w:eastAsia="Times New Roman" w:hAnsi="Times New Roman" w:cs="Times New Roman"/>
          <w:sz w:val="24"/>
          <w:szCs w:val="24"/>
          <w:lang w:val="ro-RO"/>
        </w:rPr>
        <w:t>555,0 mii lei,</w:t>
      </w:r>
      <w:r w:rsidR="00E223C7" w:rsidRPr="00650D66">
        <w:rPr>
          <w:rFonts w:ascii="Times New Roman" w:eastAsia="Times New Roman" w:hAnsi="Times New Roman" w:cs="Times New Roman"/>
          <w:i/>
          <w:sz w:val="24"/>
          <w:szCs w:val="24"/>
          <w:lang w:val="ro-RO"/>
        </w:rPr>
        <w:t xml:space="preserve"> </w:t>
      </w:r>
      <w:r w:rsidR="00CF13A6" w:rsidRPr="00650D66">
        <w:rPr>
          <w:rFonts w:ascii="Times New Roman" w:eastAsia="Times New Roman" w:hAnsi="Times New Roman" w:cs="Times New Roman"/>
          <w:sz w:val="24"/>
          <w:szCs w:val="24"/>
          <w:lang w:val="ro-RO"/>
        </w:rPr>
        <w:t>spor pentru grad științific – 402,8 mii lei</w:t>
      </w:r>
      <w:r w:rsidR="004A6D9F" w:rsidRPr="00650D66">
        <w:rPr>
          <w:rFonts w:ascii="Times New Roman" w:eastAsia="Times New Roman" w:hAnsi="Times New Roman" w:cs="Times New Roman"/>
          <w:sz w:val="24"/>
          <w:szCs w:val="24"/>
          <w:lang w:val="ro-RO"/>
        </w:rPr>
        <w:t xml:space="preserve"> etc.</w:t>
      </w:r>
    </w:p>
    <w:p w14:paraId="36307415" w14:textId="77777777" w:rsidR="00532585" w:rsidRPr="00650D66" w:rsidRDefault="00532585" w:rsidP="00E223C7">
      <w:pPr>
        <w:pStyle w:val="ListParagraph"/>
        <w:tabs>
          <w:tab w:val="left" w:pos="142"/>
        </w:tabs>
        <w:spacing w:after="0" w:line="276" w:lineRule="auto"/>
        <w:ind w:left="0"/>
        <w:jc w:val="both"/>
        <w:rPr>
          <w:rFonts w:ascii="Times New Roman" w:eastAsia="Times New Roman" w:hAnsi="Times New Roman" w:cs="Times New Roman"/>
          <w:sz w:val="6"/>
          <w:szCs w:val="6"/>
          <w:lang w:val="ro-RO"/>
        </w:rPr>
      </w:pPr>
    </w:p>
    <w:p w14:paraId="7BE22650" w14:textId="08E7ECB9" w:rsidR="0034086B" w:rsidRPr="00650D66" w:rsidRDefault="00FC0668" w:rsidP="0034086B">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Verificările auditului privind reținerile salariale a</w:t>
      </w:r>
      <w:r w:rsidR="00C40C58">
        <w:rPr>
          <w:rFonts w:ascii="Times New Roman" w:eastAsia="Times New Roman" w:hAnsi="Times New Roman" w:cs="Times New Roman"/>
          <w:sz w:val="24"/>
          <w:szCs w:val="24"/>
          <w:lang w:val="ro-RO"/>
        </w:rPr>
        <w:t>u</w:t>
      </w:r>
      <w:r w:rsidRPr="00650D66">
        <w:rPr>
          <w:rFonts w:ascii="Times New Roman" w:eastAsia="Times New Roman" w:hAnsi="Times New Roman" w:cs="Times New Roman"/>
          <w:sz w:val="24"/>
          <w:szCs w:val="24"/>
          <w:lang w:val="ro-RO"/>
        </w:rPr>
        <w:t xml:space="preserve"> constatat că</w:t>
      </w:r>
      <w:r w:rsidR="00C40C58">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w:t>
      </w:r>
      <w:r w:rsidR="00BC7DBC" w:rsidRPr="00650D66">
        <w:rPr>
          <w:rFonts w:ascii="Times New Roman" w:eastAsia="Times New Roman" w:hAnsi="Times New Roman" w:cs="Times New Roman"/>
          <w:sz w:val="24"/>
          <w:szCs w:val="24"/>
          <w:lang w:val="ro-RO"/>
        </w:rPr>
        <w:t>pe parcursul anilor 2019-2022</w:t>
      </w:r>
      <w:r w:rsidR="00C40C58">
        <w:rPr>
          <w:rFonts w:ascii="Times New Roman" w:eastAsia="Times New Roman" w:hAnsi="Times New Roman" w:cs="Times New Roman"/>
          <w:sz w:val="24"/>
          <w:szCs w:val="24"/>
          <w:lang w:val="ro-RO"/>
        </w:rPr>
        <w:t>,</w:t>
      </w:r>
      <w:r w:rsidR="00BC7DBC" w:rsidRPr="00650D66">
        <w:rPr>
          <w:rFonts w:ascii="Times New Roman" w:eastAsia="Times New Roman" w:hAnsi="Times New Roman" w:cs="Times New Roman"/>
          <w:sz w:val="24"/>
          <w:szCs w:val="24"/>
          <w:lang w:val="ro-RO"/>
        </w:rPr>
        <w:t xml:space="preserve"> din salariile calculate angajaților beneficiari de credite au fost reținute</w:t>
      </w:r>
      <w:r w:rsidR="007668C8" w:rsidRPr="00650D66">
        <w:rPr>
          <w:rFonts w:ascii="Times New Roman" w:eastAsia="Times New Roman" w:hAnsi="Times New Roman" w:cs="Times New Roman"/>
          <w:sz w:val="24"/>
          <w:szCs w:val="24"/>
          <w:lang w:val="ro-RO"/>
        </w:rPr>
        <w:t xml:space="preserve"> sumele de</w:t>
      </w:r>
      <w:r w:rsidR="00BC7DBC" w:rsidRPr="00650D66">
        <w:rPr>
          <w:rFonts w:ascii="Times New Roman" w:eastAsia="Times New Roman" w:hAnsi="Times New Roman" w:cs="Times New Roman"/>
          <w:sz w:val="24"/>
          <w:szCs w:val="24"/>
          <w:lang w:val="ro-RO"/>
        </w:rPr>
        <w:t xml:space="preserve"> rambursare</w:t>
      </w:r>
      <w:r w:rsidR="007668C8" w:rsidRPr="00650D66">
        <w:rPr>
          <w:rFonts w:ascii="Times New Roman" w:eastAsia="Times New Roman" w:hAnsi="Times New Roman" w:cs="Times New Roman"/>
          <w:sz w:val="24"/>
          <w:szCs w:val="24"/>
          <w:lang w:val="ro-RO"/>
        </w:rPr>
        <w:t xml:space="preserve"> </w:t>
      </w:r>
      <w:r w:rsidR="00BC7DBC" w:rsidRPr="00650D66">
        <w:rPr>
          <w:rFonts w:ascii="Times New Roman" w:eastAsia="Times New Roman" w:hAnsi="Times New Roman" w:cs="Times New Roman"/>
          <w:sz w:val="24"/>
          <w:szCs w:val="24"/>
          <w:lang w:val="ro-RO"/>
        </w:rPr>
        <w:t xml:space="preserve">a creditului și dobânda aferentă în sumă totală de </w:t>
      </w:r>
      <w:r w:rsidR="00AA50C8" w:rsidRPr="00650D66">
        <w:rPr>
          <w:rFonts w:ascii="Times New Roman" w:eastAsia="Times New Roman" w:hAnsi="Times New Roman" w:cs="Times New Roman"/>
          <w:sz w:val="24"/>
          <w:szCs w:val="24"/>
          <w:lang w:val="ro-RO"/>
        </w:rPr>
        <w:t>10</w:t>
      </w:r>
      <w:r w:rsidR="00C40C58">
        <w:rPr>
          <w:rFonts w:ascii="Times New Roman" w:eastAsia="Times New Roman" w:hAnsi="Times New Roman" w:cs="Times New Roman"/>
          <w:sz w:val="24"/>
          <w:szCs w:val="24"/>
          <w:lang w:val="ro-RO"/>
        </w:rPr>
        <w:t>.</w:t>
      </w:r>
      <w:r w:rsidR="00AA50C8" w:rsidRPr="00650D66">
        <w:rPr>
          <w:rFonts w:ascii="Times New Roman" w:eastAsia="Times New Roman" w:hAnsi="Times New Roman" w:cs="Times New Roman"/>
          <w:sz w:val="24"/>
          <w:szCs w:val="24"/>
          <w:lang w:val="ro-RO"/>
        </w:rPr>
        <w:t>963,2 mii lei</w:t>
      </w:r>
      <w:r w:rsidR="005E12C8" w:rsidRPr="00650D66">
        <w:rPr>
          <w:rFonts w:ascii="Times New Roman" w:eastAsia="Times New Roman" w:hAnsi="Times New Roman" w:cs="Times New Roman"/>
          <w:sz w:val="24"/>
          <w:szCs w:val="24"/>
          <w:lang w:val="ro-RO"/>
        </w:rPr>
        <w:t>, din care dobânda constituie 1</w:t>
      </w:r>
      <w:r w:rsidR="00C40C58">
        <w:rPr>
          <w:rFonts w:ascii="Times New Roman" w:eastAsia="Times New Roman" w:hAnsi="Times New Roman" w:cs="Times New Roman"/>
          <w:sz w:val="24"/>
          <w:szCs w:val="24"/>
          <w:lang w:val="ro-RO"/>
        </w:rPr>
        <w:t>.</w:t>
      </w:r>
      <w:r w:rsidR="005E12C8" w:rsidRPr="00650D66">
        <w:rPr>
          <w:rFonts w:ascii="Times New Roman" w:eastAsia="Times New Roman" w:hAnsi="Times New Roman" w:cs="Times New Roman"/>
          <w:sz w:val="24"/>
          <w:szCs w:val="24"/>
          <w:lang w:val="ro-RO"/>
        </w:rPr>
        <w:t>344,1 mii lei</w:t>
      </w:r>
      <w:r w:rsidR="00AA50C8" w:rsidRPr="00650D66">
        <w:rPr>
          <w:rFonts w:ascii="Times New Roman" w:eastAsia="Times New Roman" w:hAnsi="Times New Roman" w:cs="Times New Roman"/>
          <w:sz w:val="24"/>
          <w:szCs w:val="24"/>
          <w:lang w:val="ro-RO"/>
        </w:rPr>
        <w:t>. Totodată, f</w:t>
      </w:r>
      <w:r w:rsidR="0034086B" w:rsidRPr="00650D66">
        <w:rPr>
          <w:rFonts w:ascii="Times New Roman" w:eastAsia="Times New Roman" w:hAnsi="Times New Roman" w:cs="Times New Roman"/>
          <w:sz w:val="24"/>
          <w:szCs w:val="24"/>
          <w:lang w:val="ro-RO"/>
        </w:rPr>
        <w:t xml:space="preserve">acilitarea creditelor acordate în perioada 2019-2022 </w:t>
      </w:r>
      <w:r w:rsidR="00575537" w:rsidRPr="00650D66">
        <w:rPr>
          <w:rFonts w:ascii="Times New Roman" w:eastAsia="Times New Roman" w:hAnsi="Times New Roman" w:cs="Times New Roman"/>
          <w:sz w:val="24"/>
          <w:szCs w:val="24"/>
          <w:lang w:val="ro-RO"/>
        </w:rPr>
        <w:t>a constituit</w:t>
      </w:r>
      <w:r w:rsidR="0034086B" w:rsidRPr="00650D66">
        <w:rPr>
          <w:rFonts w:ascii="Times New Roman" w:eastAsia="Times New Roman" w:hAnsi="Times New Roman" w:cs="Times New Roman"/>
          <w:sz w:val="24"/>
          <w:szCs w:val="24"/>
          <w:lang w:val="ro-RO"/>
        </w:rPr>
        <w:t xml:space="preserve"> 4</w:t>
      </w:r>
      <w:r w:rsidR="00C40C58">
        <w:rPr>
          <w:rFonts w:ascii="Times New Roman" w:eastAsia="Times New Roman" w:hAnsi="Times New Roman" w:cs="Times New Roman"/>
          <w:sz w:val="24"/>
          <w:szCs w:val="24"/>
          <w:lang w:val="ro-RO"/>
        </w:rPr>
        <w:t>.</w:t>
      </w:r>
      <w:r w:rsidR="0034086B" w:rsidRPr="00650D66">
        <w:rPr>
          <w:rFonts w:ascii="Times New Roman" w:eastAsia="Times New Roman" w:hAnsi="Times New Roman" w:cs="Times New Roman"/>
          <w:sz w:val="24"/>
          <w:szCs w:val="24"/>
          <w:lang w:val="ro-RO"/>
        </w:rPr>
        <w:t>501,6 mii lei</w:t>
      </w:r>
      <w:r w:rsidR="00274074" w:rsidRPr="00650D66">
        <w:rPr>
          <w:rStyle w:val="FootnoteReference"/>
          <w:rFonts w:ascii="Times New Roman" w:eastAsia="Times New Roman" w:hAnsi="Times New Roman" w:cs="Times New Roman"/>
          <w:sz w:val="24"/>
          <w:szCs w:val="24"/>
          <w:lang w:val="ro-RO"/>
        </w:rPr>
        <w:footnoteReference w:id="43"/>
      </w:r>
      <w:r w:rsidR="0034086B" w:rsidRPr="00650D66">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Potrivi</w:t>
      </w:r>
      <w:r w:rsidR="009E2294">
        <w:rPr>
          <w:rFonts w:ascii="Times New Roman" w:eastAsia="Times New Roman" w:hAnsi="Times New Roman" w:cs="Times New Roman"/>
          <w:sz w:val="24"/>
          <w:szCs w:val="24"/>
          <w:lang w:val="ro-RO"/>
        </w:rPr>
        <w:t>t prevederilor Legii nr.548</w:t>
      </w:r>
      <w:r w:rsidRPr="00650D66">
        <w:rPr>
          <w:rFonts w:ascii="Times New Roman" w:eastAsia="Times New Roman" w:hAnsi="Times New Roman" w:cs="Times New Roman"/>
          <w:sz w:val="24"/>
          <w:szCs w:val="24"/>
          <w:lang w:val="ro-RO"/>
        </w:rPr>
        <w:t xml:space="preserve"> din 21.07.1995</w:t>
      </w:r>
      <w:r w:rsidRPr="00650D66">
        <w:rPr>
          <w:rFonts w:ascii="Times New Roman" w:eastAsia="Times New Roman" w:hAnsi="Times New Roman" w:cs="Times New Roman"/>
          <w:sz w:val="24"/>
          <w:szCs w:val="24"/>
          <w:vertAlign w:val="superscript"/>
          <w:lang w:val="ro-RO"/>
        </w:rPr>
        <w:footnoteReference w:id="44"/>
      </w:r>
      <w:r w:rsidRPr="00650D66">
        <w:rPr>
          <w:rFonts w:ascii="Times New Roman" w:eastAsia="Times New Roman" w:hAnsi="Times New Roman" w:cs="Times New Roman"/>
          <w:sz w:val="24"/>
          <w:szCs w:val="24"/>
          <w:lang w:val="ro-RO"/>
        </w:rPr>
        <w:t xml:space="preserve"> și </w:t>
      </w:r>
      <w:r w:rsidR="00C40C58">
        <w:rPr>
          <w:rFonts w:ascii="Times New Roman" w:eastAsia="Times New Roman" w:hAnsi="Times New Roman" w:cs="Times New Roman"/>
          <w:sz w:val="24"/>
          <w:szCs w:val="24"/>
          <w:lang w:val="ro-RO"/>
        </w:rPr>
        <w:t>R</w:t>
      </w:r>
      <w:r w:rsidRPr="00650D66">
        <w:rPr>
          <w:rFonts w:ascii="Times New Roman" w:eastAsia="Times New Roman" w:hAnsi="Times New Roman" w:cs="Times New Roman"/>
          <w:sz w:val="24"/>
          <w:szCs w:val="24"/>
          <w:lang w:val="ro-RO"/>
        </w:rPr>
        <w:t>egulamentului aprobat de Consiliul de supraveghere, BNM poate să acorde credite oricărui salariat al său</w:t>
      </w:r>
      <w:r w:rsidR="00C10AE8" w:rsidRPr="00650D66">
        <w:rPr>
          <w:rFonts w:ascii="Times New Roman" w:eastAsia="Times New Roman" w:hAnsi="Times New Roman" w:cs="Times New Roman"/>
          <w:sz w:val="24"/>
          <w:szCs w:val="24"/>
          <w:lang w:val="ro-RO"/>
        </w:rPr>
        <w:t xml:space="preserve"> în corespundere cu criteriile de eligibilitate</w:t>
      </w:r>
      <w:r w:rsidRPr="00650D66">
        <w:rPr>
          <w:rFonts w:ascii="Times New Roman" w:eastAsia="Times New Roman" w:hAnsi="Times New Roman" w:cs="Times New Roman"/>
          <w:sz w:val="24"/>
          <w:szCs w:val="24"/>
          <w:lang w:val="ro-RO"/>
        </w:rPr>
        <w:t>. Se menționează că</w:t>
      </w:r>
      <w:r w:rsidR="00C10AE8" w:rsidRPr="00650D66">
        <w:rPr>
          <w:rFonts w:ascii="Times New Roman" w:eastAsia="Times New Roman" w:hAnsi="Times New Roman" w:cs="Times New Roman"/>
          <w:sz w:val="24"/>
          <w:szCs w:val="24"/>
          <w:lang w:val="ro-RO"/>
        </w:rPr>
        <w:t>,</w:t>
      </w:r>
      <w:r w:rsidRPr="00650D66">
        <w:rPr>
          <w:rFonts w:ascii="Times New Roman" w:eastAsia="Times New Roman" w:hAnsi="Times New Roman" w:cs="Times New Roman"/>
          <w:sz w:val="24"/>
          <w:szCs w:val="24"/>
          <w:lang w:val="ro-RO"/>
        </w:rPr>
        <w:t xml:space="preserve"> creditele acordate salariaților BNM nu se încadrează în aria de audit în conformitate cu prevederile cadrului normativ actual.</w:t>
      </w:r>
    </w:p>
    <w:p w14:paraId="2DE4BF5A" w14:textId="77777777" w:rsidR="00532585" w:rsidRPr="00650D66" w:rsidRDefault="00532585" w:rsidP="005D315F">
      <w:pPr>
        <w:spacing w:after="0" w:line="276" w:lineRule="auto"/>
        <w:jc w:val="both"/>
        <w:rPr>
          <w:rFonts w:ascii="Times New Roman" w:eastAsia="Times New Roman" w:hAnsi="Times New Roman" w:cs="Times New Roman"/>
          <w:sz w:val="24"/>
          <w:szCs w:val="24"/>
          <w:lang w:val="ro-RO"/>
        </w:rPr>
      </w:pPr>
    </w:p>
    <w:p w14:paraId="3B8DB5F0" w14:textId="0D884EEE" w:rsidR="00063087" w:rsidRPr="009E4073" w:rsidRDefault="009E4073" w:rsidP="009E4073">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4.2.3 </w:t>
      </w:r>
      <w:r w:rsidR="0035050B" w:rsidRPr="009E4073">
        <w:rPr>
          <w:rFonts w:ascii="Times New Roman" w:hAnsi="Times New Roman" w:cs="Times New Roman"/>
          <w:b/>
          <w:sz w:val="24"/>
          <w:szCs w:val="24"/>
          <w:lang w:val="ro-RO"/>
        </w:rPr>
        <w:t>La e</w:t>
      </w:r>
      <w:r w:rsidR="00247518" w:rsidRPr="009E4073">
        <w:rPr>
          <w:rFonts w:ascii="Times New Roman" w:hAnsi="Times New Roman" w:cs="Times New Roman"/>
          <w:b/>
          <w:sz w:val="24"/>
          <w:szCs w:val="24"/>
          <w:lang w:val="ro-RO"/>
        </w:rPr>
        <w:t>xecutarea cheltuielilor</w:t>
      </w:r>
      <w:r w:rsidR="0035050B" w:rsidRPr="009E4073">
        <w:rPr>
          <w:rFonts w:ascii="Times New Roman" w:hAnsi="Times New Roman" w:cs="Times New Roman"/>
          <w:b/>
          <w:sz w:val="24"/>
          <w:szCs w:val="24"/>
          <w:lang w:val="ro-RO"/>
        </w:rPr>
        <w:t xml:space="preserve"> pentru delegarea și instruirea profesională a salariaților BNM</w:t>
      </w:r>
      <w:r w:rsidR="00C40C58" w:rsidRPr="009E4073">
        <w:rPr>
          <w:rFonts w:ascii="Times New Roman" w:hAnsi="Times New Roman" w:cs="Times New Roman"/>
          <w:b/>
          <w:sz w:val="24"/>
          <w:szCs w:val="24"/>
          <w:lang w:val="ro-RO"/>
        </w:rPr>
        <w:t>,</w:t>
      </w:r>
      <w:r w:rsidR="0035050B" w:rsidRPr="009E4073">
        <w:rPr>
          <w:rFonts w:ascii="Times New Roman" w:hAnsi="Times New Roman" w:cs="Times New Roman"/>
          <w:b/>
          <w:sz w:val="24"/>
          <w:szCs w:val="24"/>
          <w:lang w:val="ro-RO"/>
        </w:rPr>
        <w:t xml:space="preserve"> </w:t>
      </w:r>
      <w:r w:rsidR="00AD49C1" w:rsidRPr="009E4073">
        <w:rPr>
          <w:rFonts w:ascii="Times New Roman" w:hAnsi="Times New Roman" w:cs="Times New Roman"/>
          <w:b/>
          <w:sz w:val="24"/>
          <w:szCs w:val="24"/>
          <w:lang w:val="ro-RO"/>
        </w:rPr>
        <w:t xml:space="preserve">au fost identificate unele </w:t>
      </w:r>
      <w:r w:rsidR="009F2B39" w:rsidRPr="009E4073">
        <w:rPr>
          <w:rFonts w:ascii="Times New Roman" w:hAnsi="Times New Roman" w:cs="Times New Roman"/>
          <w:b/>
          <w:sz w:val="24"/>
          <w:szCs w:val="24"/>
          <w:lang w:val="ro-RO"/>
        </w:rPr>
        <w:t>carențe</w:t>
      </w:r>
      <w:r w:rsidR="00247518" w:rsidRPr="009E4073">
        <w:rPr>
          <w:rFonts w:ascii="Times New Roman" w:hAnsi="Times New Roman" w:cs="Times New Roman"/>
          <w:b/>
          <w:sz w:val="24"/>
          <w:szCs w:val="24"/>
          <w:lang w:val="ro-RO"/>
        </w:rPr>
        <w:t>.</w:t>
      </w:r>
    </w:p>
    <w:p w14:paraId="468994A6" w14:textId="77777777" w:rsidR="002321FF" w:rsidRPr="00650D66" w:rsidRDefault="002C02C5" w:rsidP="002E280B">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procesul de delegare a</w:t>
      </w:r>
      <w:r w:rsidR="00047DF5" w:rsidRPr="00650D66">
        <w:rPr>
          <w:rFonts w:ascii="Times New Roman" w:hAnsi="Times New Roman" w:cs="Times New Roman"/>
          <w:sz w:val="24"/>
          <w:szCs w:val="24"/>
          <w:lang w:val="ro-RO"/>
        </w:rPr>
        <w:t xml:space="preserve"> salariaților</w:t>
      </w:r>
      <w:r w:rsidRPr="00650D66">
        <w:rPr>
          <w:rFonts w:ascii="Times New Roman" w:hAnsi="Times New Roman" w:cs="Times New Roman"/>
          <w:sz w:val="24"/>
          <w:szCs w:val="24"/>
          <w:lang w:val="ro-RO"/>
        </w:rPr>
        <w:t>,</w:t>
      </w:r>
      <w:r w:rsidR="00047DF5" w:rsidRPr="00650D66">
        <w:rPr>
          <w:rFonts w:ascii="Times New Roman" w:hAnsi="Times New Roman" w:cs="Times New Roman"/>
          <w:sz w:val="24"/>
          <w:szCs w:val="24"/>
          <w:lang w:val="ro-RO"/>
        </w:rPr>
        <w:t xml:space="preserve"> BNM se conduce de prevederile cadrului normativ național specific domeniului</w:t>
      </w:r>
      <w:r w:rsidR="00C42DB5" w:rsidRPr="00650D66">
        <w:rPr>
          <w:rStyle w:val="FootnoteReference"/>
          <w:rFonts w:ascii="Times New Roman" w:hAnsi="Times New Roman" w:cs="Times New Roman"/>
          <w:sz w:val="24"/>
          <w:szCs w:val="24"/>
          <w:lang w:val="ro-RO"/>
        </w:rPr>
        <w:footnoteReference w:id="45"/>
      </w:r>
      <w:r w:rsidR="00047DF5" w:rsidRPr="00650D66">
        <w:rPr>
          <w:rFonts w:ascii="Times New Roman" w:hAnsi="Times New Roman" w:cs="Times New Roman"/>
          <w:sz w:val="24"/>
          <w:szCs w:val="24"/>
          <w:lang w:val="ro-RO"/>
        </w:rPr>
        <w:t xml:space="preserve"> și </w:t>
      </w:r>
      <w:r w:rsidR="00C40C58">
        <w:rPr>
          <w:rFonts w:ascii="Times New Roman" w:hAnsi="Times New Roman" w:cs="Times New Roman"/>
          <w:sz w:val="24"/>
          <w:szCs w:val="24"/>
          <w:lang w:val="ro-RO"/>
        </w:rPr>
        <w:t xml:space="preserve">ale </w:t>
      </w:r>
      <w:r w:rsidR="00047DF5" w:rsidRPr="00650D66">
        <w:rPr>
          <w:rFonts w:ascii="Times New Roman" w:hAnsi="Times New Roman" w:cs="Times New Roman"/>
          <w:sz w:val="24"/>
          <w:szCs w:val="24"/>
          <w:lang w:val="ro-RO"/>
        </w:rPr>
        <w:t>actelor normative interne aprobate de către BNM</w:t>
      </w:r>
      <w:r w:rsidR="00493FA8" w:rsidRPr="00650D66">
        <w:rPr>
          <w:rStyle w:val="FootnoteReference"/>
          <w:rFonts w:ascii="Times New Roman" w:hAnsi="Times New Roman" w:cs="Times New Roman"/>
          <w:sz w:val="24"/>
          <w:szCs w:val="24"/>
          <w:lang w:val="ro-RO"/>
        </w:rPr>
        <w:footnoteReference w:id="46"/>
      </w:r>
      <w:r w:rsidR="00047DF5" w:rsidRPr="00650D66">
        <w:rPr>
          <w:rFonts w:ascii="Times New Roman" w:hAnsi="Times New Roman" w:cs="Times New Roman"/>
          <w:sz w:val="24"/>
          <w:szCs w:val="24"/>
          <w:lang w:val="ro-RO"/>
        </w:rPr>
        <w:t>.</w:t>
      </w:r>
    </w:p>
    <w:p w14:paraId="271883B1" w14:textId="77777777" w:rsidR="001B14E8" w:rsidRPr="00650D66" w:rsidRDefault="001B14E8" w:rsidP="001B14E8">
      <w:pPr>
        <w:spacing w:after="0" w:line="276" w:lineRule="auto"/>
        <w:jc w:val="both"/>
        <w:rPr>
          <w:rFonts w:ascii="Times New Roman" w:hAnsi="Times New Roman" w:cs="Times New Roman"/>
          <w:sz w:val="6"/>
          <w:szCs w:val="6"/>
          <w:lang w:val="ro-RO"/>
        </w:rPr>
      </w:pPr>
    </w:p>
    <w:p w14:paraId="7280D98A" w14:textId="469662B7" w:rsidR="00E12199" w:rsidRPr="00650D66" w:rsidRDefault="001B14E8" w:rsidP="00E12199">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perioada 2019-2022, pentru deplasări</w:t>
      </w:r>
      <w:r w:rsidR="0078296B">
        <w:rPr>
          <w:rFonts w:ascii="Times New Roman" w:hAnsi="Times New Roman" w:cs="Times New Roman"/>
          <w:sz w:val="24"/>
          <w:szCs w:val="24"/>
          <w:lang w:val="ro-RO"/>
        </w:rPr>
        <w:t>le</w:t>
      </w:r>
      <w:r w:rsidRPr="00650D66">
        <w:rPr>
          <w:rFonts w:ascii="Times New Roman" w:hAnsi="Times New Roman" w:cs="Times New Roman"/>
          <w:sz w:val="24"/>
          <w:szCs w:val="24"/>
          <w:lang w:val="ro-RO"/>
        </w:rPr>
        <w:t xml:space="preserve"> de serviciu a</w:t>
      </w:r>
      <w:r w:rsidR="0078296B">
        <w:rPr>
          <w:rFonts w:ascii="Times New Roman" w:hAnsi="Times New Roman" w:cs="Times New Roman"/>
          <w:sz w:val="24"/>
          <w:szCs w:val="24"/>
          <w:lang w:val="ro-RO"/>
        </w:rPr>
        <w:t>le</w:t>
      </w:r>
      <w:r w:rsidRPr="00650D66">
        <w:rPr>
          <w:rFonts w:ascii="Times New Roman" w:hAnsi="Times New Roman" w:cs="Times New Roman"/>
          <w:sz w:val="24"/>
          <w:szCs w:val="24"/>
          <w:lang w:val="ro-RO"/>
        </w:rPr>
        <w:t xml:space="preserve"> salariaților au fost aprobate </w:t>
      </w:r>
      <w:r w:rsidR="00881EA4" w:rsidRPr="00650D66">
        <w:rPr>
          <w:rFonts w:ascii="Times New Roman" w:hAnsi="Times New Roman" w:cs="Times New Roman"/>
          <w:sz w:val="24"/>
          <w:szCs w:val="24"/>
          <w:lang w:val="ro-RO"/>
        </w:rPr>
        <w:t xml:space="preserve">alocații în devizele de cheltuieli </w:t>
      </w:r>
      <w:r w:rsidRPr="00650D66">
        <w:rPr>
          <w:rFonts w:ascii="Times New Roman" w:hAnsi="Times New Roman" w:cs="Times New Roman"/>
          <w:sz w:val="24"/>
          <w:szCs w:val="24"/>
          <w:lang w:val="ro-RO"/>
        </w:rPr>
        <w:t>în sumă totală de 7</w:t>
      </w:r>
      <w:r w:rsidR="0078296B">
        <w:rPr>
          <w:rFonts w:ascii="Times New Roman" w:hAnsi="Times New Roman" w:cs="Times New Roman"/>
          <w:sz w:val="24"/>
          <w:szCs w:val="24"/>
          <w:lang w:val="ro-RO"/>
        </w:rPr>
        <w:t>.</w:t>
      </w:r>
      <w:r w:rsidRPr="00650D66">
        <w:rPr>
          <w:rFonts w:ascii="Times New Roman" w:hAnsi="Times New Roman" w:cs="Times New Roman"/>
          <w:sz w:val="24"/>
          <w:szCs w:val="24"/>
          <w:lang w:val="ro-RO"/>
        </w:rPr>
        <w:t>064,0 mii lei</w:t>
      </w:r>
      <w:r w:rsidR="0078296B">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din care au fost executate 3</w:t>
      </w:r>
      <w:r w:rsidR="0078296B">
        <w:rPr>
          <w:rFonts w:ascii="Times New Roman" w:hAnsi="Times New Roman" w:cs="Times New Roman"/>
          <w:sz w:val="24"/>
          <w:szCs w:val="24"/>
          <w:lang w:val="ro-RO"/>
        </w:rPr>
        <w:t>.</w:t>
      </w:r>
      <w:r w:rsidRPr="00650D66">
        <w:rPr>
          <w:rFonts w:ascii="Times New Roman" w:hAnsi="Times New Roman" w:cs="Times New Roman"/>
          <w:sz w:val="24"/>
          <w:szCs w:val="24"/>
          <w:lang w:val="ro-RO"/>
        </w:rPr>
        <w:t>549,1 mii lei</w:t>
      </w:r>
      <w:r w:rsidR="0078296B">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sau 50,2%. Astfel, în anul 2019 au fost executate cheltuieli la nivel de 95,2% (1 871,6 mii lei), în anul 2020 </w:t>
      </w:r>
      <w:r w:rsidR="0078296B">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 xml:space="preserve">la nivel de 5,6% (111,8 mii lei), în anul 2021 </w:t>
      </w:r>
      <w:r w:rsidR="0078296B">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la nivel de 4,2% (50,4 mii lei)</w:t>
      </w:r>
      <w:r w:rsidR="0078296B">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în anul 2022 </w:t>
      </w:r>
      <w:r w:rsidR="0078296B">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la nivel de 79,8% (1</w:t>
      </w:r>
      <w:r w:rsidR="0078296B">
        <w:rPr>
          <w:rFonts w:ascii="Times New Roman" w:hAnsi="Times New Roman" w:cs="Times New Roman"/>
          <w:sz w:val="24"/>
          <w:szCs w:val="24"/>
          <w:lang w:val="ro-RO"/>
        </w:rPr>
        <w:t>.</w:t>
      </w:r>
      <w:r w:rsidRPr="00650D66">
        <w:rPr>
          <w:rFonts w:ascii="Times New Roman" w:hAnsi="Times New Roman" w:cs="Times New Roman"/>
          <w:sz w:val="24"/>
          <w:szCs w:val="24"/>
          <w:lang w:val="ro-RO"/>
        </w:rPr>
        <w:t>515,3 mii lei).</w:t>
      </w:r>
      <w:r w:rsidR="00E12199" w:rsidRPr="00650D66">
        <w:rPr>
          <w:rFonts w:ascii="Times New Roman" w:hAnsi="Times New Roman" w:cs="Times New Roman"/>
          <w:sz w:val="24"/>
          <w:szCs w:val="24"/>
          <w:lang w:val="ro-RO"/>
        </w:rPr>
        <w:t xml:space="preserve"> Potrivit explicațiilor BNM, nivelul scăzut de executare a cheltuielilor în anii 2020 și 2021 </w:t>
      </w:r>
      <w:r w:rsidR="0078296B">
        <w:rPr>
          <w:rFonts w:ascii="Times New Roman" w:hAnsi="Times New Roman" w:cs="Times New Roman"/>
          <w:sz w:val="24"/>
          <w:szCs w:val="24"/>
          <w:lang w:val="ro-RO"/>
        </w:rPr>
        <w:t>este generat de</w:t>
      </w:r>
      <w:r w:rsidR="00E12199" w:rsidRPr="00650D66">
        <w:rPr>
          <w:rFonts w:ascii="Times New Roman" w:hAnsi="Times New Roman" w:cs="Times New Roman"/>
          <w:sz w:val="24"/>
          <w:szCs w:val="24"/>
          <w:lang w:val="ro-RO"/>
        </w:rPr>
        <w:t xml:space="preserve"> situați</w:t>
      </w:r>
      <w:r w:rsidR="0078296B">
        <w:rPr>
          <w:rFonts w:ascii="Times New Roman" w:hAnsi="Times New Roman" w:cs="Times New Roman"/>
          <w:sz w:val="24"/>
          <w:szCs w:val="24"/>
          <w:lang w:val="ro-RO"/>
        </w:rPr>
        <w:t>a</w:t>
      </w:r>
      <w:r w:rsidR="00E12199" w:rsidRPr="00650D66">
        <w:rPr>
          <w:rFonts w:ascii="Times New Roman" w:hAnsi="Times New Roman" w:cs="Times New Roman"/>
          <w:sz w:val="24"/>
          <w:szCs w:val="24"/>
          <w:lang w:val="ro-RO"/>
        </w:rPr>
        <w:t xml:space="preserve"> epidemiologic</w:t>
      </w:r>
      <w:r w:rsidR="0078296B">
        <w:rPr>
          <w:rFonts w:ascii="Times New Roman" w:hAnsi="Times New Roman" w:cs="Times New Roman"/>
          <w:sz w:val="24"/>
          <w:szCs w:val="24"/>
          <w:lang w:val="ro-RO"/>
        </w:rPr>
        <w:t>ă</w:t>
      </w:r>
      <w:r w:rsidR="00E12199" w:rsidRPr="00650D66">
        <w:rPr>
          <w:rFonts w:ascii="Times New Roman" w:hAnsi="Times New Roman" w:cs="Times New Roman"/>
          <w:sz w:val="24"/>
          <w:szCs w:val="24"/>
          <w:lang w:val="ro-RO"/>
        </w:rPr>
        <w:t xml:space="preserve"> la nivel mondial și </w:t>
      </w:r>
      <w:r w:rsidR="0078296B">
        <w:rPr>
          <w:rFonts w:ascii="Times New Roman" w:hAnsi="Times New Roman" w:cs="Times New Roman"/>
          <w:sz w:val="24"/>
          <w:szCs w:val="24"/>
          <w:lang w:val="ro-RO"/>
        </w:rPr>
        <w:t xml:space="preserve">de </w:t>
      </w:r>
      <w:r w:rsidR="00E12199" w:rsidRPr="00650D66">
        <w:rPr>
          <w:rFonts w:ascii="Times New Roman" w:hAnsi="Times New Roman" w:cs="Times New Roman"/>
          <w:sz w:val="24"/>
          <w:szCs w:val="24"/>
          <w:lang w:val="ro-RO"/>
        </w:rPr>
        <w:t>deciziil</w:t>
      </w:r>
      <w:r w:rsidR="0078296B">
        <w:rPr>
          <w:rFonts w:ascii="Times New Roman" w:hAnsi="Times New Roman" w:cs="Times New Roman"/>
          <w:sz w:val="24"/>
          <w:szCs w:val="24"/>
          <w:lang w:val="ro-RO"/>
        </w:rPr>
        <w:t>e</w:t>
      </w:r>
      <w:r w:rsidR="00E12199" w:rsidRPr="00650D66">
        <w:rPr>
          <w:rFonts w:ascii="Times New Roman" w:hAnsi="Times New Roman" w:cs="Times New Roman"/>
          <w:sz w:val="24"/>
          <w:szCs w:val="24"/>
          <w:lang w:val="ro-RO"/>
        </w:rPr>
        <w:t xml:space="preserve"> Comitetului </w:t>
      </w:r>
      <w:r w:rsidR="0078296B">
        <w:rPr>
          <w:rFonts w:ascii="Times New Roman" w:hAnsi="Times New Roman" w:cs="Times New Roman"/>
          <w:sz w:val="24"/>
          <w:szCs w:val="24"/>
          <w:lang w:val="ro-RO"/>
        </w:rPr>
        <w:t>e</w:t>
      </w:r>
      <w:r w:rsidR="00E12199" w:rsidRPr="00650D66">
        <w:rPr>
          <w:rFonts w:ascii="Times New Roman" w:hAnsi="Times New Roman" w:cs="Times New Roman"/>
          <w:sz w:val="24"/>
          <w:szCs w:val="24"/>
          <w:lang w:val="ro-RO"/>
        </w:rPr>
        <w:t xml:space="preserve">xecutiv de a aplica măsuri sporite de protecție a angajaților BNM în contextul răspândirii infecției COVID-19, inclusiv prin instituirea moratoriului asupra deplasărilor peste hotarele țării. </w:t>
      </w:r>
      <w:r w:rsidR="0057716F" w:rsidRPr="00650D66">
        <w:rPr>
          <w:rFonts w:ascii="Times New Roman" w:hAnsi="Times New Roman" w:cs="Times New Roman"/>
          <w:sz w:val="24"/>
          <w:szCs w:val="24"/>
          <w:lang w:val="ro-RO"/>
        </w:rPr>
        <w:t>Astfel, procesul de instruire a fost consolidat prin dezvoltarea capacităților de instruire internă, în format on-line</w:t>
      </w:r>
      <w:r w:rsidR="0078296B">
        <w:rPr>
          <w:rFonts w:ascii="Times New Roman" w:hAnsi="Times New Roman" w:cs="Times New Roman"/>
          <w:sz w:val="24"/>
          <w:szCs w:val="24"/>
          <w:lang w:val="ro-RO"/>
        </w:rPr>
        <w:t>,</w:t>
      </w:r>
      <w:r w:rsidR="0057716F" w:rsidRPr="00650D66">
        <w:rPr>
          <w:rFonts w:ascii="Times New Roman" w:hAnsi="Times New Roman" w:cs="Times New Roman"/>
          <w:sz w:val="24"/>
          <w:szCs w:val="24"/>
          <w:lang w:val="ro-RO"/>
        </w:rPr>
        <w:t xml:space="preserve"> care </w:t>
      </w:r>
      <w:r w:rsidR="0078296B">
        <w:rPr>
          <w:rFonts w:ascii="Times New Roman" w:hAnsi="Times New Roman" w:cs="Times New Roman"/>
          <w:sz w:val="24"/>
          <w:szCs w:val="24"/>
          <w:lang w:val="ro-RO"/>
        </w:rPr>
        <w:t>necesită</w:t>
      </w:r>
      <w:r w:rsidR="00304549">
        <w:rPr>
          <w:rFonts w:ascii="Times New Roman" w:hAnsi="Times New Roman" w:cs="Times New Roman"/>
          <w:sz w:val="24"/>
          <w:szCs w:val="24"/>
          <w:lang w:val="ro-RO"/>
        </w:rPr>
        <w:t xml:space="preserve"> </w:t>
      </w:r>
      <w:r w:rsidR="0057716F" w:rsidRPr="00650D66">
        <w:rPr>
          <w:rFonts w:ascii="Times New Roman" w:hAnsi="Times New Roman" w:cs="Times New Roman"/>
          <w:sz w:val="24"/>
          <w:szCs w:val="24"/>
          <w:lang w:val="ro-RO"/>
        </w:rPr>
        <w:t>cheltuieli mai mici, precum și prin realizarea unor proiecte de asistență tehnică.</w:t>
      </w:r>
    </w:p>
    <w:p w14:paraId="542684D5" w14:textId="77777777" w:rsidR="009D6498" w:rsidRPr="00650D66" w:rsidRDefault="009D6498" w:rsidP="00E12199">
      <w:pPr>
        <w:spacing w:after="0" w:line="276" w:lineRule="auto"/>
        <w:jc w:val="both"/>
        <w:rPr>
          <w:rFonts w:ascii="Times New Roman" w:hAnsi="Times New Roman" w:cs="Times New Roman"/>
          <w:sz w:val="6"/>
          <w:szCs w:val="6"/>
          <w:lang w:val="ro-RO"/>
        </w:rPr>
      </w:pPr>
    </w:p>
    <w:p w14:paraId="64C2C967" w14:textId="530624DB" w:rsidR="0042010B" w:rsidRPr="00650D66" w:rsidRDefault="0078296B" w:rsidP="009D6498">
      <w:pPr>
        <w:spacing w:after="0" w:line="276"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Cs/>
          <w:color w:val="000000"/>
          <w:sz w:val="24"/>
          <w:szCs w:val="24"/>
          <w:lang w:val="ro-RO"/>
        </w:rPr>
        <w:t>Drept u</w:t>
      </w:r>
      <w:r w:rsidR="006D2C68" w:rsidRPr="00650D66">
        <w:rPr>
          <w:rFonts w:ascii="Times New Roman" w:eastAsia="Times New Roman" w:hAnsi="Times New Roman" w:cs="Times New Roman"/>
          <w:bCs/>
          <w:color w:val="000000"/>
          <w:sz w:val="24"/>
          <w:szCs w:val="24"/>
          <w:lang w:val="ro-RO"/>
        </w:rPr>
        <w:t xml:space="preserve">rmare </w:t>
      </w:r>
      <w:r>
        <w:rPr>
          <w:rFonts w:ascii="Times New Roman" w:eastAsia="Times New Roman" w:hAnsi="Times New Roman" w:cs="Times New Roman"/>
          <w:bCs/>
          <w:color w:val="000000"/>
          <w:sz w:val="24"/>
          <w:szCs w:val="24"/>
          <w:lang w:val="ro-RO"/>
        </w:rPr>
        <w:t xml:space="preserve">a </w:t>
      </w:r>
      <w:r w:rsidR="006D2C68" w:rsidRPr="00650D66">
        <w:rPr>
          <w:rFonts w:ascii="Times New Roman" w:eastAsia="Times New Roman" w:hAnsi="Times New Roman" w:cs="Times New Roman"/>
          <w:bCs/>
          <w:color w:val="000000"/>
          <w:sz w:val="24"/>
          <w:szCs w:val="24"/>
          <w:lang w:val="ro-RO"/>
        </w:rPr>
        <w:t>verificărilor de audit</w:t>
      </w:r>
      <w:r w:rsidR="009D6498" w:rsidRPr="00650D66">
        <w:rPr>
          <w:rFonts w:ascii="Times New Roman" w:eastAsia="Times New Roman" w:hAnsi="Times New Roman" w:cs="Times New Roman"/>
          <w:bCs/>
          <w:color w:val="000000"/>
          <w:sz w:val="24"/>
          <w:szCs w:val="24"/>
          <w:lang w:val="ro-RO"/>
        </w:rPr>
        <w:t xml:space="preserve"> </w:t>
      </w:r>
      <w:r w:rsidR="006D2C68" w:rsidRPr="00650D66">
        <w:rPr>
          <w:rFonts w:ascii="Times New Roman" w:eastAsia="Times New Roman" w:hAnsi="Times New Roman" w:cs="Times New Roman"/>
          <w:bCs/>
          <w:color w:val="000000"/>
          <w:sz w:val="24"/>
          <w:szCs w:val="24"/>
          <w:lang w:val="ro-RO"/>
        </w:rPr>
        <w:t>s-</w:t>
      </w:r>
      <w:r w:rsidR="009D6498" w:rsidRPr="00650D66">
        <w:rPr>
          <w:rFonts w:ascii="Times New Roman" w:eastAsia="Times New Roman" w:hAnsi="Times New Roman" w:cs="Times New Roman"/>
          <w:bCs/>
          <w:color w:val="000000"/>
          <w:sz w:val="24"/>
          <w:szCs w:val="24"/>
          <w:lang w:val="ro-RO"/>
        </w:rPr>
        <w:t xml:space="preserve">a constatat că, </w:t>
      </w:r>
      <w:r w:rsidR="00146507" w:rsidRPr="00650D66">
        <w:rPr>
          <w:rFonts w:ascii="Times New Roman" w:eastAsia="Times New Roman" w:hAnsi="Times New Roman" w:cs="Times New Roman"/>
          <w:bCs/>
          <w:color w:val="000000"/>
          <w:sz w:val="24"/>
          <w:szCs w:val="24"/>
          <w:lang w:val="ro-RO"/>
        </w:rPr>
        <w:t>contrar prevederilor</w:t>
      </w:r>
      <w:r w:rsidR="00916F22">
        <w:rPr>
          <w:rFonts w:ascii="Times New Roman" w:eastAsia="Times New Roman" w:hAnsi="Times New Roman" w:cs="Times New Roman"/>
          <w:bCs/>
          <w:color w:val="000000"/>
          <w:sz w:val="24"/>
          <w:szCs w:val="24"/>
          <w:lang w:val="ro-RO"/>
        </w:rPr>
        <w:t xml:space="preserve"> pct.42 și pct.43 din HG</w:t>
      </w:r>
      <w:r w:rsidR="00146507" w:rsidRPr="00650D66">
        <w:rPr>
          <w:rFonts w:ascii="Times New Roman" w:eastAsia="Times New Roman" w:hAnsi="Times New Roman" w:cs="Times New Roman"/>
          <w:bCs/>
          <w:color w:val="000000"/>
          <w:sz w:val="24"/>
          <w:szCs w:val="24"/>
          <w:lang w:val="ro-RO"/>
        </w:rPr>
        <w:t xml:space="preserve"> nr.10 din 05.01.2012, BNM a înregistrat cheltuielile </w:t>
      </w:r>
      <w:r w:rsidR="00146507" w:rsidRPr="00650D66">
        <w:rPr>
          <w:rFonts w:ascii="Times New Roman" w:eastAsia="Times New Roman" w:hAnsi="Times New Roman" w:cs="Times New Roman"/>
          <w:sz w:val="24"/>
          <w:szCs w:val="24"/>
          <w:lang w:val="ro-RO" w:eastAsia="ru-RU"/>
        </w:rPr>
        <w:t>în contabilitate în moneda națională a RM</w:t>
      </w:r>
      <w:r w:rsidR="00146507" w:rsidRPr="00650D66">
        <w:rPr>
          <w:rFonts w:ascii="Times New Roman" w:eastAsia="Times New Roman" w:hAnsi="Times New Roman" w:cs="Times New Roman"/>
          <w:bCs/>
          <w:color w:val="000000"/>
          <w:sz w:val="24"/>
          <w:szCs w:val="24"/>
          <w:lang w:val="ro-RO"/>
        </w:rPr>
        <w:t xml:space="preserve">, cu aplicarea cursului oficial al leului moldovenesc valabil față de valutele străine la data întoarcerii angajatului din deplasare. Deși cheltuielile urmau a fi înregistrate </w:t>
      </w:r>
      <w:r w:rsidR="00146507" w:rsidRPr="00650D66">
        <w:rPr>
          <w:rFonts w:ascii="Times New Roman" w:eastAsia="Times New Roman" w:hAnsi="Times New Roman" w:cs="Times New Roman"/>
          <w:sz w:val="24"/>
          <w:szCs w:val="24"/>
          <w:lang w:val="ro-RO" w:eastAsia="ru-RU"/>
        </w:rPr>
        <w:t>cu aplicarea cursului oficial al leului moldovenesc valabil față de valutele străine la ziua eliberării avansului, iar în caz de neacordare a avansului – la ziua precedentă delegării.</w:t>
      </w:r>
      <w:r w:rsidR="00D718F7" w:rsidRPr="00650D66">
        <w:rPr>
          <w:rFonts w:ascii="Times New Roman" w:eastAsia="Times New Roman" w:hAnsi="Times New Roman" w:cs="Times New Roman"/>
          <w:sz w:val="24"/>
          <w:szCs w:val="24"/>
          <w:lang w:val="ro-RO" w:eastAsia="ru-RU"/>
        </w:rPr>
        <w:t xml:space="preserve"> Auditul a recalculat diferențele de curs, acestea fiind nesemnificative (anul 2019 – 1,1 mii lei, anul 2020 – 1,6 mii lei, anul 2021 – 0,2 mii lei</w:t>
      </w:r>
      <w:r w:rsidR="00843B6D">
        <w:rPr>
          <w:rFonts w:ascii="Times New Roman" w:eastAsia="Times New Roman" w:hAnsi="Times New Roman" w:cs="Times New Roman"/>
          <w:sz w:val="24"/>
          <w:szCs w:val="24"/>
          <w:lang w:val="ro-RO" w:eastAsia="ru-RU"/>
        </w:rPr>
        <w:t>,</w:t>
      </w:r>
      <w:r w:rsidR="00D718F7" w:rsidRPr="00650D66">
        <w:rPr>
          <w:rFonts w:ascii="Times New Roman" w:eastAsia="Times New Roman" w:hAnsi="Times New Roman" w:cs="Times New Roman"/>
          <w:sz w:val="24"/>
          <w:szCs w:val="24"/>
          <w:lang w:val="ro-RO" w:eastAsia="ru-RU"/>
        </w:rPr>
        <w:t xml:space="preserve"> și în anul 2022 – 2,1 mii lei). </w:t>
      </w:r>
    </w:p>
    <w:p w14:paraId="1FB54F15" w14:textId="77777777" w:rsidR="00A02491" w:rsidRPr="00650D66" w:rsidRDefault="00A02491" w:rsidP="009D6498">
      <w:pPr>
        <w:spacing w:after="0" w:line="276" w:lineRule="auto"/>
        <w:jc w:val="both"/>
        <w:rPr>
          <w:rFonts w:ascii="Times New Roman" w:eastAsia="Times New Roman" w:hAnsi="Times New Roman" w:cs="Times New Roman"/>
          <w:sz w:val="6"/>
          <w:szCs w:val="6"/>
          <w:lang w:val="ro-RO" w:eastAsia="ru-RU"/>
        </w:rPr>
      </w:pPr>
    </w:p>
    <w:p w14:paraId="09A7AA3B" w14:textId="2DC0D175" w:rsidR="0043730C" w:rsidRPr="00650D66" w:rsidRDefault="0043730C" w:rsidP="00A02491">
      <w:pPr>
        <w:tabs>
          <w:tab w:val="left" w:pos="851"/>
        </w:tabs>
        <w:spacing w:after="0" w:line="276" w:lineRule="auto"/>
        <w:contextualSpacing/>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lastRenderedPageBreak/>
        <w:t>Totodată</w:t>
      </w:r>
      <w:r w:rsidR="00A02491" w:rsidRPr="00650D66">
        <w:rPr>
          <w:rFonts w:ascii="Times New Roman" w:hAnsi="Times New Roman" w:cs="Times New Roman"/>
          <w:color w:val="000000" w:themeColor="text1"/>
          <w:sz w:val="24"/>
          <w:szCs w:val="24"/>
          <w:lang w:val="ro-RO"/>
        </w:rPr>
        <w:t xml:space="preserve">, </w:t>
      </w:r>
      <w:r w:rsidRPr="00650D66">
        <w:rPr>
          <w:rFonts w:ascii="Times New Roman" w:hAnsi="Times New Roman" w:cs="Times New Roman"/>
          <w:color w:val="000000" w:themeColor="text1"/>
          <w:sz w:val="24"/>
          <w:szCs w:val="24"/>
          <w:lang w:val="ro-RO"/>
        </w:rPr>
        <w:t>auditul a constatat că</w:t>
      </w:r>
      <w:r w:rsidR="001A7F9A" w:rsidRPr="00650D66">
        <w:rPr>
          <w:rFonts w:ascii="Times New Roman" w:hAnsi="Times New Roman" w:cs="Times New Roman"/>
          <w:color w:val="000000" w:themeColor="text1"/>
          <w:sz w:val="24"/>
          <w:szCs w:val="24"/>
          <w:lang w:val="ro-RO"/>
        </w:rPr>
        <w:t xml:space="preserve">, </w:t>
      </w:r>
      <w:r w:rsidR="00FC6B06" w:rsidRPr="00650D66">
        <w:rPr>
          <w:rFonts w:ascii="Times New Roman" w:hAnsi="Times New Roman" w:cs="Times New Roman"/>
          <w:color w:val="000000" w:themeColor="text1"/>
          <w:sz w:val="24"/>
          <w:szCs w:val="24"/>
          <w:lang w:val="ro-RO"/>
        </w:rPr>
        <w:t xml:space="preserve">în conformitate cu cadrul intern, </w:t>
      </w:r>
      <w:r w:rsidR="001A7F9A" w:rsidRPr="00650D66">
        <w:rPr>
          <w:rFonts w:ascii="Times New Roman" w:hAnsi="Times New Roman" w:cs="Times New Roman"/>
          <w:color w:val="000000" w:themeColor="text1"/>
          <w:sz w:val="24"/>
          <w:szCs w:val="24"/>
          <w:lang w:val="ro-RO"/>
        </w:rPr>
        <w:t>cheltuielile pentru deplasări au fost efectuate în baza solicitărilor de deplasare, iar</w:t>
      </w:r>
      <w:r w:rsidRPr="00650D66">
        <w:rPr>
          <w:rFonts w:ascii="Times New Roman" w:hAnsi="Times New Roman" w:cs="Times New Roman"/>
          <w:color w:val="000000" w:themeColor="text1"/>
          <w:sz w:val="24"/>
          <w:szCs w:val="24"/>
          <w:lang w:val="ro-RO"/>
        </w:rPr>
        <w:t xml:space="preserve"> Ordinele de deplasare au fost semnate într-un format standardizat</w:t>
      </w:r>
      <w:r w:rsidR="00843B6D">
        <w:rPr>
          <w:rFonts w:ascii="Times New Roman" w:hAnsi="Times New Roman" w:cs="Times New Roman"/>
          <w:color w:val="000000" w:themeColor="text1"/>
          <w:sz w:val="24"/>
          <w:szCs w:val="24"/>
          <w:lang w:val="ro-RO"/>
        </w:rPr>
        <w:t>,</w:t>
      </w:r>
      <w:r w:rsidRPr="00650D66">
        <w:rPr>
          <w:rFonts w:ascii="Times New Roman" w:hAnsi="Times New Roman" w:cs="Times New Roman"/>
          <w:color w:val="000000" w:themeColor="text1"/>
          <w:sz w:val="24"/>
          <w:szCs w:val="24"/>
          <w:lang w:val="ro-RO"/>
        </w:rPr>
        <w:t xml:space="preserve"> nefiind luat</w:t>
      </w:r>
      <w:r w:rsidR="006D36BD" w:rsidRPr="00650D66">
        <w:rPr>
          <w:rFonts w:ascii="Times New Roman" w:hAnsi="Times New Roman" w:cs="Times New Roman"/>
          <w:color w:val="000000" w:themeColor="text1"/>
          <w:sz w:val="24"/>
          <w:szCs w:val="24"/>
          <w:lang w:val="ro-RO"/>
        </w:rPr>
        <w:t>e</w:t>
      </w:r>
      <w:r w:rsidRPr="00650D66">
        <w:rPr>
          <w:rFonts w:ascii="Times New Roman" w:hAnsi="Times New Roman" w:cs="Times New Roman"/>
          <w:color w:val="000000" w:themeColor="text1"/>
          <w:sz w:val="24"/>
          <w:szCs w:val="24"/>
          <w:lang w:val="ro-RO"/>
        </w:rPr>
        <w:t xml:space="preserve"> în considerare datele din invitațiile de participare</w:t>
      </w:r>
      <w:r w:rsidR="00C57809" w:rsidRPr="00650D66">
        <w:rPr>
          <w:rFonts w:ascii="Times New Roman" w:hAnsi="Times New Roman" w:cs="Times New Roman"/>
          <w:color w:val="000000" w:themeColor="text1"/>
          <w:sz w:val="24"/>
          <w:szCs w:val="24"/>
          <w:lang w:val="ro-RO"/>
        </w:rPr>
        <w:t xml:space="preserve"> referitor la plata diurnei și cazării.</w:t>
      </w:r>
      <w:r w:rsidR="009C5BAC" w:rsidRPr="00650D66">
        <w:rPr>
          <w:rFonts w:ascii="Times New Roman" w:hAnsi="Times New Roman" w:cs="Times New Roman"/>
          <w:color w:val="000000" w:themeColor="text1"/>
          <w:sz w:val="24"/>
          <w:szCs w:val="24"/>
          <w:lang w:val="ro-RO"/>
        </w:rPr>
        <w:t xml:space="preserve"> </w:t>
      </w:r>
    </w:p>
    <w:p w14:paraId="003A457F" w14:textId="77777777" w:rsidR="001F6144" w:rsidRPr="00650D66" w:rsidRDefault="001F6144" w:rsidP="00A02491">
      <w:pPr>
        <w:tabs>
          <w:tab w:val="left" w:pos="851"/>
        </w:tabs>
        <w:spacing w:after="0" w:line="276" w:lineRule="auto"/>
        <w:contextualSpacing/>
        <w:jc w:val="both"/>
        <w:rPr>
          <w:rFonts w:ascii="Times New Roman" w:hAnsi="Times New Roman" w:cs="Times New Roman"/>
          <w:color w:val="000000" w:themeColor="text1"/>
          <w:sz w:val="6"/>
          <w:szCs w:val="6"/>
          <w:lang w:val="ro-RO"/>
        </w:rPr>
      </w:pPr>
    </w:p>
    <w:p w14:paraId="5688C51E" w14:textId="74DD5AE5" w:rsidR="009C5BAC" w:rsidRPr="00650D66" w:rsidRDefault="001F6144" w:rsidP="00A02491">
      <w:pPr>
        <w:tabs>
          <w:tab w:val="left" w:pos="851"/>
        </w:tabs>
        <w:spacing w:after="0" w:line="276" w:lineRule="auto"/>
        <w:contextualSpacing/>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Dreptul angajaților BNM la dezvoltarea profesională, reciclare și perfecționare, în conformitate cu Codul muncii și cu alte acte normative, precum și obligativitatea raportării privind perfecționarea cunoștințelor prin participarea la seminar</w:t>
      </w:r>
      <w:r w:rsidR="00843B6D">
        <w:rPr>
          <w:rFonts w:ascii="Times New Roman" w:hAnsi="Times New Roman" w:cs="Times New Roman"/>
          <w:sz w:val="24"/>
          <w:szCs w:val="24"/>
          <w:lang w:val="ro-RO"/>
        </w:rPr>
        <w:t>e</w:t>
      </w:r>
      <w:r w:rsidRPr="00650D66">
        <w:rPr>
          <w:rFonts w:ascii="Times New Roman" w:hAnsi="Times New Roman" w:cs="Times New Roman"/>
          <w:sz w:val="24"/>
          <w:szCs w:val="24"/>
          <w:lang w:val="ro-RO"/>
        </w:rPr>
        <w:t>/curs</w:t>
      </w:r>
      <w:r w:rsidR="00843B6D">
        <w:rPr>
          <w:rFonts w:ascii="Times New Roman" w:hAnsi="Times New Roman" w:cs="Times New Roman"/>
          <w:sz w:val="24"/>
          <w:szCs w:val="24"/>
          <w:lang w:val="ro-RO"/>
        </w:rPr>
        <w:t>uri</w:t>
      </w:r>
      <w:r w:rsidRPr="00650D66">
        <w:rPr>
          <w:rFonts w:ascii="Times New Roman" w:hAnsi="Times New Roman" w:cs="Times New Roman"/>
          <w:sz w:val="24"/>
          <w:szCs w:val="24"/>
          <w:lang w:val="ro-RO"/>
        </w:rPr>
        <w:t xml:space="preserve"> de instruire este stabilit de Regulamentul </w:t>
      </w:r>
      <w:r w:rsidR="00843B6D">
        <w:rPr>
          <w:rFonts w:ascii="Times New Roman" w:hAnsi="Times New Roman" w:cs="Times New Roman"/>
          <w:sz w:val="24"/>
          <w:szCs w:val="24"/>
          <w:lang w:val="ro-RO"/>
        </w:rPr>
        <w:t>i</w:t>
      </w:r>
      <w:r w:rsidRPr="00650D66">
        <w:rPr>
          <w:rFonts w:ascii="Times New Roman" w:hAnsi="Times New Roman" w:cs="Times New Roman"/>
          <w:sz w:val="24"/>
          <w:szCs w:val="24"/>
          <w:lang w:val="ro-RO"/>
        </w:rPr>
        <w:t>ntern al Băncii Naționale a Moldovei</w:t>
      </w:r>
      <w:r w:rsidRPr="00650D66">
        <w:rPr>
          <w:rStyle w:val="FootnoteReference"/>
          <w:rFonts w:ascii="Times New Roman" w:hAnsi="Times New Roman" w:cs="Times New Roman"/>
          <w:sz w:val="24"/>
          <w:szCs w:val="24"/>
          <w:lang w:val="ro-RO"/>
        </w:rPr>
        <w:footnoteReference w:id="47"/>
      </w:r>
      <w:r w:rsidR="00550E10">
        <w:rPr>
          <w:rFonts w:ascii="Times New Roman" w:hAnsi="Times New Roman" w:cs="Times New Roman"/>
          <w:sz w:val="24"/>
          <w:szCs w:val="24"/>
          <w:lang w:val="ro-RO"/>
        </w:rPr>
        <w:t xml:space="preserve">. </w:t>
      </w:r>
      <w:r w:rsidR="00214228" w:rsidRPr="00650D66">
        <w:rPr>
          <w:rFonts w:ascii="Times New Roman" w:hAnsi="Times New Roman" w:cs="Times New Roman"/>
          <w:sz w:val="24"/>
          <w:szCs w:val="24"/>
          <w:lang w:val="ro-RO"/>
        </w:rPr>
        <w:t>Totodată, m</w:t>
      </w:r>
      <w:r w:rsidRPr="00650D66">
        <w:rPr>
          <w:rFonts w:ascii="Times New Roman" w:hAnsi="Times New Roman" w:cs="Times New Roman"/>
          <w:sz w:val="24"/>
          <w:szCs w:val="24"/>
          <w:lang w:val="ro-RO"/>
        </w:rPr>
        <w:t>odalitatea de organizare a managementului performanței și a dezvoltării profesionale a angajaților BNM este reglementat</w:t>
      </w:r>
      <w:r w:rsidR="00843B6D">
        <w:rPr>
          <w:rFonts w:ascii="Times New Roman" w:hAnsi="Times New Roman" w:cs="Times New Roman"/>
          <w:sz w:val="24"/>
          <w:szCs w:val="24"/>
          <w:lang w:val="ro-RO"/>
        </w:rPr>
        <w:t>ă</w:t>
      </w:r>
      <w:r w:rsidRPr="00650D66">
        <w:rPr>
          <w:rFonts w:ascii="Times New Roman" w:hAnsi="Times New Roman" w:cs="Times New Roman"/>
          <w:sz w:val="24"/>
          <w:szCs w:val="24"/>
          <w:lang w:val="ro-RO"/>
        </w:rPr>
        <w:t xml:space="preserve"> </w:t>
      </w:r>
      <w:r w:rsidR="00843B6D">
        <w:rPr>
          <w:rFonts w:ascii="Times New Roman" w:hAnsi="Times New Roman" w:cs="Times New Roman"/>
          <w:sz w:val="24"/>
          <w:szCs w:val="24"/>
          <w:lang w:val="ro-RO"/>
        </w:rPr>
        <w:t>de</w:t>
      </w:r>
      <w:r w:rsidR="00214228"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Regulamentul privind sistemul de management al performanței și dezvoltarea profesională a angajaților BNM</w:t>
      </w:r>
      <w:r w:rsidRPr="00650D66">
        <w:rPr>
          <w:rStyle w:val="FootnoteReference"/>
          <w:rFonts w:ascii="Times New Roman" w:hAnsi="Times New Roman" w:cs="Times New Roman"/>
          <w:sz w:val="24"/>
          <w:szCs w:val="24"/>
          <w:lang w:val="ro-RO"/>
        </w:rPr>
        <w:footnoteReference w:id="48"/>
      </w:r>
      <w:r w:rsidRPr="00650D66">
        <w:rPr>
          <w:rFonts w:ascii="Times New Roman" w:hAnsi="Times New Roman" w:cs="Times New Roman"/>
          <w:sz w:val="24"/>
          <w:szCs w:val="24"/>
          <w:lang w:val="ro-RO"/>
        </w:rPr>
        <w:t>.</w:t>
      </w:r>
    </w:p>
    <w:p w14:paraId="57FF01A4" w14:textId="77777777" w:rsidR="008474CA" w:rsidRPr="00650D66" w:rsidRDefault="008474CA" w:rsidP="00A02491">
      <w:pPr>
        <w:tabs>
          <w:tab w:val="left" w:pos="851"/>
        </w:tabs>
        <w:spacing w:after="0" w:line="276" w:lineRule="auto"/>
        <w:contextualSpacing/>
        <w:jc w:val="both"/>
        <w:rPr>
          <w:rFonts w:ascii="Times New Roman" w:hAnsi="Times New Roman" w:cs="Times New Roman"/>
          <w:color w:val="000000" w:themeColor="text1"/>
          <w:sz w:val="6"/>
          <w:szCs w:val="6"/>
          <w:lang w:val="ro-RO"/>
        </w:rPr>
      </w:pPr>
    </w:p>
    <w:p w14:paraId="6CEECE76" w14:textId="531D96D4" w:rsidR="00146507" w:rsidRPr="00650D66" w:rsidRDefault="008474CA" w:rsidP="008474CA">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perioada 2019-2022, pentru pregătirea și perfecționarea personalului au fost aprobate inițial de către BNM alocații în sumă totală de 18</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728,0 mii lei, ulterior fiind reduse la 16</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343,0 mii lei, din care au fost executate 5</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949,6 mii lei</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sau 36,4%. Astfel, în anul 2019 au fost executate cheltuieli față de alocațiile aprobate la nivel de 80,5% (2</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983,9 mii lei), în anul 2020 la nivel de 16,1% (737,1 mii lei), în anul 2021 la nivel de 15,7% (604,2 mii lei) și în anul 2022 la nivel de 38,6% (1</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624,4 mii lei).</w:t>
      </w:r>
    </w:p>
    <w:p w14:paraId="20737590" w14:textId="77777777" w:rsidR="001944A0" w:rsidRPr="00650D66" w:rsidRDefault="001944A0" w:rsidP="008474CA">
      <w:pPr>
        <w:spacing w:after="0" w:line="276" w:lineRule="auto"/>
        <w:jc w:val="both"/>
        <w:rPr>
          <w:rFonts w:ascii="Times New Roman" w:eastAsia="Times New Roman" w:hAnsi="Times New Roman" w:cs="Times New Roman"/>
          <w:sz w:val="6"/>
          <w:szCs w:val="6"/>
          <w:lang w:val="ro-RO" w:eastAsia="ru-RU"/>
        </w:rPr>
      </w:pPr>
    </w:p>
    <w:p w14:paraId="0871CFFC" w14:textId="06247E2E" w:rsidR="001944A0" w:rsidRPr="00650D66" w:rsidRDefault="001944A0" w:rsidP="001944A0">
      <w:pPr>
        <w:tabs>
          <w:tab w:val="left" w:pos="284"/>
        </w:tabs>
        <w:spacing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Potrivit prevederilor Codului muncii</w:t>
      </w:r>
      <w:r w:rsidRPr="00650D66">
        <w:rPr>
          <w:rStyle w:val="FootnoteReference"/>
          <w:rFonts w:ascii="Times New Roman" w:hAnsi="Times New Roman" w:cs="Times New Roman"/>
          <w:sz w:val="24"/>
          <w:szCs w:val="24"/>
          <w:lang w:val="ro-RO"/>
        </w:rPr>
        <w:footnoteReference w:id="49"/>
      </w:r>
      <w:r w:rsidRPr="00650D66">
        <w:rPr>
          <w:rFonts w:ascii="Times New Roman" w:hAnsi="Times New Roman" w:cs="Times New Roman"/>
          <w:sz w:val="24"/>
          <w:szCs w:val="24"/>
          <w:lang w:val="ro-RO"/>
        </w:rPr>
        <w:t>, pentru formarea profesională angajatorul este obligat să aloce mijloace financiare în mărime de cel puțin 2% din fondul de salarizare al unității. Verificările auditului denotă că BNM a respectat și a aprobat alocații pentru formarea profesională a personalului în limita prevederilor cadrului normativ</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fiind prevăzute: în anul 2019 </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4,3%, în anul 2020 </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3,4%, în anul 2021 </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2,7%</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în anul 2022 </w:t>
      </w:r>
      <w:r w:rsidR="00843B6D">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2,4%. Deși nivelul de executare a cheltuielilor se încadrează în limita prevederilor doar în anul 2019 (2,3%), nefiind respectat pentru anii 2020</w:t>
      </w:r>
      <w:r w:rsidR="00F86EBB">
        <w:rPr>
          <w:rFonts w:ascii="Times New Roman" w:hAnsi="Times New Roman" w:cs="Times New Roman"/>
          <w:sz w:val="24"/>
          <w:szCs w:val="24"/>
          <w:lang w:val="ro-RO"/>
        </w:rPr>
        <w:t>-</w:t>
      </w:r>
      <w:r w:rsidRPr="00650D66">
        <w:rPr>
          <w:rFonts w:ascii="Times New Roman" w:hAnsi="Times New Roman" w:cs="Times New Roman"/>
          <w:sz w:val="24"/>
          <w:szCs w:val="24"/>
          <w:lang w:val="ro-RO"/>
        </w:rPr>
        <w:t>2022</w:t>
      </w:r>
      <w:r w:rsidR="001D31AF" w:rsidRPr="00650D66">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constituind doar de la 0,5% </w:t>
      </w:r>
      <w:r w:rsidR="00F86EBB">
        <w:rPr>
          <w:rFonts w:ascii="Times New Roman" w:hAnsi="Times New Roman" w:cs="Times New Roman"/>
          <w:sz w:val="24"/>
          <w:szCs w:val="24"/>
          <w:lang w:val="ro-RO"/>
        </w:rPr>
        <w:t>la</w:t>
      </w:r>
      <w:r w:rsidRPr="00650D66">
        <w:rPr>
          <w:rFonts w:ascii="Times New Roman" w:hAnsi="Times New Roman" w:cs="Times New Roman"/>
          <w:sz w:val="24"/>
          <w:szCs w:val="24"/>
          <w:lang w:val="ro-RO"/>
        </w:rPr>
        <w:t xml:space="preserve"> 0,9%. </w:t>
      </w:r>
      <w:r w:rsidR="00EF36AA" w:rsidRPr="00650D66">
        <w:rPr>
          <w:rFonts w:ascii="Times New Roman" w:hAnsi="Times New Roman" w:cs="Times New Roman"/>
          <w:sz w:val="24"/>
          <w:szCs w:val="24"/>
          <w:lang w:val="ro-RO"/>
        </w:rPr>
        <w:t xml:space="preserve">Conform motivației BNM, aceasta a avut loc </w:t>
      </w:r>
      <w:r w:rsidR="00F86EBB">
        <w:rPr>
          <w:rFonts w:ascii="Times New Roman" w:hAnsi="Times New Roman" w:cs="Times New Roman"/>
          <w:sz w:val="24"/>
          <w:szCs w:val="24"/>
          <w:lang w:val="ro-RO"/>
        </w:rPr>
        <w:t>din cauza</w:t>
      </w:r>
      <w:r w:rsidR="00EF36AA" w:rsidRPr="00650D66">
        <w:rPr>
          <w:rFonts w:ascii="Times New Roman" w:hAnsi="Times New Roman" w:cs="Times New Roman"/>
          <w:sz w:val="24"/>
          <w:szCs w:val="24"/>
          <w:lang w:val="ro-RO"/>
        </w:rPr>
        <w:t xml:space="preserve"> impactul</w:t>
      </w:r>
      <w:r w:rsidR="00F86EBB">
        <w:rPr>
          <w:rFonts w:ascii="Times New Roman" w:hAnsi="Times New Roman" w:cs="Times New Roman"/>
          <w:sz w:val="24"/>
          <w:szCs w:val="24"/>
          <w:lang w:val="ro-RO"/>
        </w:rPr>
        <w:t>ui</w:t>
      </w:r>
      <w:r w:rsidR="00EF36AA" w:rsidRPr="00650D66">
        <w:rPr>
          <w:rFonts w:ascii="Times New Roman" w:hAnsi="Times New Roman" w:cs="Times New Roman"/>
          <w:sz w:val="24"/>
          <w:szCs w:val="24"/>
          <w:lang w:val="ro-RO"/>
        </w:rPr>
        <w:t xml:space="preserve"> pandemiei COVID-19, urmare </w:t>
      </w:r>
      <w:r w:rsidR="00F86EBB">
        <w:rPr>
          <w:rFonts w:ascii="Times New Roman" w:hAnsi="Times New Roman" w:cs="Times New Roman"/>
          <w:sz w:val="24"/>
          <w:szCs w:val="24"/>
          <w:lang w:val="ro-RO"/>
        </w:rPr>
        <w:t xml:space="preserve">a </w:t>
      </w:r>
      <w:r w:rsidR="00EF36AA" w:rsidRPr="00650D66">
        <w:rPr>
          <w:rFonts w:ascii="Times New Roman" w:hAnsi="Times New Roman" w:cs="Times New Roman"/>
          <w:sz w:val="24"/>
          <w:szCs w:val="24"/>
          <w:lang w:val="ro-RO"/>
        </w:rPr>
        <w:t xml:space="preserve">căreia evenimentele de instruire au fost transpuse în format online, participarea la majoritatea </w:t>
      </w:r>
      <w:r w:rsidR="00F86EBB">
        <w:rPr>
          <w:rFonts w:ascii="Times New Roman" w:hAnsi="Times New Roman" w:cs="Times New Roman"/>
          <w:sz w:val="24"/>
          <w:szCs w:val="24"/>
          <w:lang w:val="ro-RO"/>
        </w:rPr>
        <w:t>acestora</w:t>
      </w:r>
      <w:r w:rsidR="00EF36AA" w:rsidRPr="00650D66">
        <w:rPr>
          <w:rFonts w:ascii="Times New Roman" w:hAnsi="Times New Roman" w:cs="Times New Roman"/>
          <w:sz w:val="24"/>
          <w:szCs w:val="24"/>
          <w:lang w:val="ro-RO"/>
        </w:rPr>
        <w:t xml:space="preserve"> fiind gratuită.</w:t>
      </w:r>
    </w:p>
    <w:p w14:paraId="1144B2A4" w14:textId="21E1CCEB" w:rsidR="001D0B39" w:rsidRPr="00650D66" w:rsidRDefault="001D0B39" w:rsidP="00BB7B23">
      <w:pPr>
        <w:tabs>
          <w:tab w:val="left" w:pos="284"/>
        </w:tabs>
        <w:spacing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Auditul a constatat că BNM a întocmit Planuri anuale de instruiri privind distribuirea bugetului pe subdiviziuni,</w:t>
      </w:r>
      <w:r w:rsidR="00313A8B" w:rsidRPr="00650D66">
        <w:rPr>
          <w:rFonts w:ascii="Times New Roman" w:hAnsi="Times New Roman" w:cs="Times New Roman"/>
          <w:sz w:val="24"/>
          <w:szCs w:val="24"/>
          <w:lang w:val="ro-RO"/>
        </w:rPr>
        <w:t xml:space="preserve"> dar pe unele dintre acestea </w:t>
      </w:r>
      <w:r w:rsidRPr="00650D66">
        <w:rPr>
          <w:rFonts w:ascii="Times New Roman" w:hAnsi="Times New Roman" w:cs="Times New Roman"/>
          <w:sz w:val="24"/>
          <w:szCs w:val="24"/>
          <w:lang w:val="ro-RO"/>
        </w:rPr>
        <w:t xml:space="preserve">au fost </w:t>
      </w:r>
      <w:r w:rsidR="00313A8B" w:rsidRPr="00650D66">
        <w:rPr>
          <w:rFonts w:ascii="Times New Roman" w:hAnsi="Times New Roman" w:cs="Times New Roman"/>
          <w:sz w:val="24"/>
          <w:szCs w:val="24"/>
          <w:lang w:val="ro-RO"/>
        </w:rPr>
        <w:t>înregistrate modificări</w:t>
      </w:r>
      <w:r w:rsidRPr="00650D66">
        <w:rPr>
          <w:rFonts w:ascii="Times New Roman" w:hAnsi="Times New Roman" w:cs="Times New Roman"/>
          <w:sz w:val="24"/>
          <w:szCs w:val="24"/>
          <w:lang w:val="ro-RO"/>
        </w:rPr>
        <w:t xml:space="preserve">. Astfel, la unele subdiviziuni a </w:t>
      </w:r>
      <w:r w:rsidR="00F86EBB">
        <w:rPr>
          <w:rFonts w:ascii="Times New Roman" w:hAnsi="Times New Roman" w:cs="Times New Roman"/>
          <w:sz w:val="24"/>
          <w:szCs w:val="24"/>
          <w:lang w:val="ro-RO"/>
        </w:rPr>
        <w:t xml:space="preserve">fost </w:t>
      </w:r>
      <w:r w:rsidRPr="00650D66">
        <w:rPr>
          <w:rFonts w:ascii="Times New Roman" w:hAnsi="Times New Roman" w:cs="Times New Roman"/>
          <w:sz w:val="24"/>
          <w:szCs w:val="24"/>
          <w:lang w:val="ro-RO"/>
        </w:rPr>
        <w:t>depășit plafonul</w:t>
      </w:r>
      <w:r w:rsidR="00F86EBB">
        <w:rPr>
          <w:rFonts w:ascii="Times New Roman" w:hAnsi="Times New Roman" w:cs="Times New Roman"/>
          <w:sz w:val="24"/>
          <w:szCs w:val="24"/>
          <w:lang w:val="ro-RO"/>
        </w:rPr>
        <w:t>,</w:t>
      </w:r>
      <w:r w:rsidR="00F8293A"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iar la altele nu a f</w:t>
      </w:r>
      <w:r w:rsidR="007B7956" w:rsidRPr="00650D66">
        <w:rPr>
          <w:rFonts w:ascii="Times New Roman" w:hAnsi="Times New Roman" w:cs="Times New Roman"/>
          <w:sz w:val="24"/>
          <w:szCs w:val="24"/>
          <w:lang w:val="ro-RO"/>
        </w:rPr>
        <w:t>ost atins.</w:t>
      </w:r>
      <w:r w:rsidR="008D0B42" w:rsidRPr="00650D66">
        <w:rPr>
          <w:rFonts w:ascii="Times New Roman" w:hAnsi="Times New Roman" w:cs="Times New Roman"/>
          <w:sz w:val="24"/>
          <w:szCs w:val="24"/>
          <w:lang w:val="ro-RO"/>
        </w:rPr>
        <w:t xml:space="preserve"> Potrivit motivației BNM, normele interne prevăd o anumită flexibilitate în gestiunea bugetului de instruire distribuit pe subdiviziuni</w:t>
      </w:r>
      <w:r w:rsidR="00DE7A19" w:rsidRPr="00650D66">
        <w:rPr>
          <w:rFonts w:ascii="Times New Roman" w:hAnsi="Times New Roman" w:cs="Times New Roman"/>
          <w:sz w:val="24"/>
          <w:szCs w:val="24"/>
          <w:lang w:val="ro-RO"/>
        </w:rPr>
        <w:t>, la solicitare acesta poate fi majorat cu circa 10% din contul altor subdiviziuni sau al rezervei deținute la nivelul DSORU.</w:t>
      </w:r>
    </w:p>
    <w:p w14:paraId="13860AFB" w14:textId="4FEE20C9" w:rsidR="007F0332" w:rsidRPr="00650D66" w:rsidRDefault="00BB7B23" w:rsidP="00877FBA">
      <w:pPr>
        <w:tabs>
          <w:tab w:val="left" w:pos="284"/>
        </w:tabs>
        <w:spacing w:after="0" w:line="276" w:lineRule="auto"/>
        <w:jc w:val="both"/>
        <w:rPr>
          <w:rFonts w:ascii="Times New Roman" w:hAnsi="Times New Roman" w:cs="Times New Roman"/>
          <w:bCs/>
          <w:sz w:val="24"/>
          <w:szCs w:val="24"/>
          <w:lang w:val="ro-RO"/>
        </w:rPr>
      </w:pPr>
      <w:r w:rsidRPr="00650D66">
        <w:rPr>
          <w:rFonts w:ascii="Times New Roman" w:hAnsi="Times New Roman" w:cs="Times New Roman"/>
          <w:bCs/>
          <w:sz w:val="24"/>
          <w:szCs w:val="24"/>
          <w:lang w:val="ro-RO"/>
        </w:rPr>
        <w:t xml:space="preserve">Verificările de audit asupra documentelor privind executarea cheltuielilor pentru instruiri </w:t>
      </w:r>
      <w:r w:rsidR="00F86EBB">
        <w:rPr>
          <w:rFonts w:ascii="Times New Roman" w:hAnsi="Times New Roman" w:cs="Times New Roman"/>
          <w:bCs/>
          <w:sz w:val="24"/>
          <w:szCs w:val="24"/>
          <w:lang w:val="ro-RO"/>
        </w:rPr>
        <w:t>relevă</w:t>
      </w:r>
      <w:r w:rsidR="003D6299" w:rsidRPr="00650D66">
        <w:rPr>
          <w:rFonts w:ascii="Times New Roman" w:hAnsi="Times New Roman" w:cs="Times New Roman"/>
          <w:bCs/>
          <w:sz w:val="24"/>
          <w:szCs w:val="24"/>
          <w:lang w:val="ro-RO"/>
        </w:rPr>
        <w:t xml:space="preserve"> că diurnele și cheltuielile pentru </w:t>
      </w:r>
      <w:r w:rsidR="00F86EBB">
        <w:rPr>
          <w:rFonts w:ascii="Times New Roman" w:hAnsi="Times New Roman" w:cs="Times New Roman"/>
          <w:bCs/>
          <w:sz w:val="24"/>
          <w:szCs w:val="24"/>
          <w:lang w:val="ro-RO"/>
        </w:rPr>
        <w:t>cazare</w:t>
      </w:r>
      <w:r w:rsidR="003D6299" w:rsidRPr="00650D66">
        <w:rPr>
          <w:rFonts w:ascii="Times New Roman" w:hAnsi="Times New Roman" w:cs="Times New Roman"/>
          <w:bCs/>
          <w:sz w:val="24"/>
          <w:szCs w:val="24"/>
          <w:lang w:val="ro-RO"/>
        </w:rPr>
        <w:t xml:space="preserve"> a</w:t>
      </w:r>
      <w:r w:rsidR="00F86EBB">
        <w:rPr>
          <w:rFonts w:ascii="Times New Roman" w:hAnsi="Times New Roman" w:cs="Times New Roman"/>
          <w:bCs/>
          <w:sz w:val="24"/>
          <w:szCs w:val="24"/>
          <w:lang w:val="ro-RO"/>
        </w:rPr>
        <w:t>le</w:t>
      </w:r>
      <w:r w:rsidR="003D6299" w:rsidRPr="00650D66">
        <w:rPr>
          <w:rFonts w:ascii="Times New Roman" w:hAnsi="Times New Roman" w:cs="Times New Roman"/>
          <w:bCs/>
          <w:sz w:val="24"/>
          <w:szCs w:val="24"/>
          <w:lang w:val="ro-RO"/>
        </w:rPr>
        <w:t xml:space="preserve"> salariaților delegați au fost executate în conformitate cu normele diurn</w:t>
      </w:r>
      <w:r w:rsidR="00F86EBB">
        <w:rPr>
          <w:rFonts w:ascii="Times New Roman" w:hAnsi="Times New Roman" w:cs="Times New Roman"/>
          <w:bCs/>
          <w:sz w:val="24"/>
          <w:szCs w:val="24"/>
          <w:lang w:val="ro-RO"/>
        </w:rPr>
        <w:t>e</w:t>
      </w:r>
      <w:r w:rsidR="003D6299" w:rsidRPr="00650D66">
        <w:rPr>
          <w:rFonts w:ascii="Times New Roman" w:hAnsi="Times New Roman" w:cs="Times New Roman"/>
          <w:bCs/>
          <w:sz w:val="24"/>
          <w:szCs w:val="24"/>
          <w:lang w:val="ro-RO"/>
        </w:rPr>
        <w:t>lor și plafoanelor de cazare stabilit</w:t>
      </w:r>
      <w:r w:rsidR="00B47BDF" w:rsidRPr="00650D66">
        <w:rPr>
          <w:rFonts w:ascii="Times New Roman" w:hAnsi="Times New Roman" w:cs="Times New Roman"/>
          <w:bCs/>
          <w:sz w:val="24"/>
          <w:szCs w:val="24"/>
          <w:lang w:val="ro-RO"/>
        </w:rPr>
        <w:t>e prin Hotărârea Guvernului nr.</w:t>
      </w:r>
      <w:r w:rsidR="003D6299" w:rsidRPr="00650D66">
        <w:rPr>
          <w:rFonts w:ascii="Times New Roman" w:hAnsi="Times New Roman" w:cs="Times New Roman"/>
          <w:bCs/>
          <w:sz w:val="24"/>
          <w:szCs w:val="24"/>
          <w:lang w:val="ro-RO"/>
        </w:rPr>
        <w:t>10 din 05.01.2012. Doar într-un caz</w:t>
      </w:r>
      <w:r w:rsidR="00F86EBB">
        <w:rPr>
          <w:rFonts w:ascii="Times New Roman" w:hAnsi="Times New Roman" w:cs="Times New Roman"/>
          <w:bCs/>
          <w:sz w:val="24"/>
          <w:szCs w:val="24"/>
          <w:lang w:val="ro-RO"/>
        </w:rPr>
        <w:t>,</w:t>
      </w:r>
      <w:r w:rsidR="003D6299" w:rsidRPr="00650D66">
        <w:rPr>
          <w:rFonts w:ascii="Times New Roman" w:hAnsi="Times New Roman" w:cs="Times New Roman"/>
          <w:bCs/>
          <w:sz w:val="24"/>
          <w:szCs w:val="24"/>
          <w:lang w:val="ro-RO"/>
        </w:rPr>
        <w:t xml:space="preserve"> în anul 2019, au fost înregistrate cheltuieli de locațiune peste plafoanele de cazare stabilite, dar organizatorii au venit cu recomandarea doar a unui hotel cu tarife speciale.</w:t>
      </w:r>
    </w:p>
    <w:p w14:paraId="18600B04" w14:textId="77777777" w:rsidR="00877FBA" w:rsidRPr="00BA23B2" w:rsidRDefault="00877FBA" w:rsidP="00BA23B2">
      <w:pPr>
        <w:tabs>
          <w:tab w:val="left" w:pos="284"/>
        </w:tabs>
        <w:spacing w:after="0" w:line="276" w:lineRule="auto"/>
        <w:jc w:val="both"/>
        <w:rPr>
          <w:rFonts w:ascii="Times New Roman" w:hAnsi="Times New Roman" w:cs="Times New Roman"/>
          <w:b/>
          <w:bCs/>
          <w:sz w:val="24"/>
          <w:szCs w:val="24"/>
          <w:lang w:val="ro-RO"/>
        </w:rPr>
      </w:pPr>
    </w:p>
    <w:p w14:paraId="37934509" w14:textId="73C3DFE0" w:rsidR="00ED0D87" w:rsidRPr="00BA23B2" w:rsidRDefault="00BA23B2" w:rsidP="00BA23B2">
      <w:pPr>
        <w:spacing w:after="0"/>
        <w:jc w:val="both"/>
        <w:rPr>
          <w:rFonts w:ascii="Times New Roman" w:hAnsi="Times New Roman" w:cs="Times New Roman"/>
          <w:b/>
          <w:sz w:val="24"/>
          <w:szCs w:val="24"/>
          <w:lang w:val="ro-RO"/>
        </w:rPr>
      </w:pPr>
      <w:r w:rsidRPr="00BA23B2">
        <w:rPr>
          <w:rFonts w:ascii="Times New Roman" w:hAnsi="Times New Roman" w:cs="Times New Roman"/>
          <w:b/>
          <w:sz w:val="24"/>
          <w:szCs w:val="24"/>
          <w:lang w:val="ro-RO"/>
        </w:rPr>
        <w:t xml:space="preserve">4.2.4 </w:t>
      </w:r>
      <w:r w:rsidR="00156F2C" w:rsidRPr="00BA23B2">
        <w:rPr>
          <w:rFonts w:ascii="Times New Roman" w:hAnsi="Times New Roman" w:cs="Times New Roman"/>
          <w:b/>
          <w:sz w:val="24"/>
          <w:szCs w:val="24"/>
          <w:lang w:val="ro-RO"/>
        </w:rPr>
        <w:t>Se atestă neremedierea</w:t>
      </w:r>
      <w:r w:rsidR="004151A6" w:rsidRPr="00BA23B2">
        <w:rPr>
          <w:rFonts w:ascii="Times New Roman" w:hAnsi="Times New Roman" w:cs="Times New Roman"/>
          <w:b/>
          <w:sz w:val="24"/>
          <w:szCs w:val="24"/>
          <w:lang w:val="ro-RO"/>
        </w:rPr>
        <w:t xml:space="preserve"> problematicii</w:t>
      </w:r>
      <w:r w:rsidR="00ED0D87" w:rsidRPr="00BA23B2">
        <w:rPr>
          <w:rFonts w:ascii="Times New Roman" w:hAnsi="Times New Roman" w:cs="Times New Roman"/>
          <w:b/>
          <w:sz w:val="24"/>
          <w:szCs w:val="24"/>
          <w:lang w:val="ro-RO"/>
        </w:rPr>
        <w:t xml:space="preserve"> constatate </w:t>
      </w:r>
      <w:r w:rsidR="00156F2C" w:rsidRPr="00BA23B2">
        <w:rPr>
          <w:rFonts w:ascii="Times New Roman" w:hAnsi="Times New Roman" w:cs="Times New Roman"/>
          <w:b/>
          <w:sz w:val="24"/>
          <w:szCs w:val="24"/>
          <w:lang w:val="ro-RO"/>
        </w:rPr>
        <w:t xml:space="preserve">anterior </w:t>
      </w:r>
      <w:r w:rsidR="00257DE1" w:rsidRPr="00BA23B2">
        <w:rPr>
          <w:rFonts w:ascii="Times New Roman" w:hAnsi="Times New Roman" w:cs="Times New Roman"/>
          <w:b/>
          <w:sz w:val="24"/>
          <w:szCs w:val="24"/>
          <w:lang w:val="ro-RO"/>
        </w:rPr>
        <w:t>de către Curtea de Conturi</w:t>
      </w:r>
      <w:r w:rsidR="00ED0D87" w:rsidRPr="00BA23B2">
        <w:rPr>
          <w:rFonts w:ascii="Times New Roman" w:hAnsi="Times New Roman" w:cs="Times New Roman"/>
          <w:b/>
          <w:sz w:val="24"/>
          <w:szCs w:val="24"/>
          <w:lang w:val="ro-RO"/>
        </w:rPr>
        <w:t xml:space="preserve">, </w:t>
      </w:r>
      <w:r w:rsidR="00AC067B" w:rsidRPr="00BA23B2">
        <w:rPr>
          <w:rFonts w:ascii="Times New Roman" w:hAnsi="Times New Roman" w:cs="Times New Roman"/>
          <w:b/>
          <w:sz w:val="24"/>
          <w:szCs w:val="24"/>
          <w:lang w:val="ro-RO"/>
        </w:rPr>
        <w:t>nefiind actualizate reglementările interne privind cheltuielile de reprezentanță</w:t>
      </w:r>
      <w:r w:rsidR="00ED0D87" w:rsidRPr="00BA23B2">
        <w:rPr>
          <w:rFonts w:ascii="Times New Roman" w:hAnsi="Times New Roman" w:cs="Times New Roman"/>
          <w:b/>
          <w:sz w:val="24"/>
          <w:szCs w:val="24"/>
          <w:lang w:val="ro-RO"/>
        </w:rPr>
        <w:t>.</w:t>
      </w:r>
    </w:p>
    <w:p w14:paraId="27CC4708" w14:textId="192CAB91" w:rsidR="00BD0917" w:rsidRPr="00650D66" w:rsidRDefault="00AD6BED" w:rsidP="00BA23B2">
      <w:pPr>
        <w:pStyle w:val="ListParagraph"/>
        <w:spacing w:after="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lastRenderedPageBreak/>
        <w:t xml:space="preserve">Regulamentul </w:t>
      </w:r>
      <w:r w:rsidR="008728BD" w:rsidRPr="00650D66">
        <w:rPr>
          <w:rFonts w:ascii="Times New Roman" w:hAnsi="Times New Roman" w:cs="Times New Roman"/>
          <w:sz w:val="24"/>
          <w:szCs w:val="24"/>
          <w:lang w:val="ro-RO"/>
        </w:rPr>
        <w:t>privind cheltuielile de reprezentanță</w:t>
      </w:r>
      <w:r w:rsidR="00F86EBB">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aprobat de către Comitetul executiv</w:t>
      </w:r>
      <w:r w:rsidRPr="00650D66">
        <w:rPr>
          <w:rStyle w:val="FootnoteReference"/>
          <w:rFonts w:ascii="Times New Roman" w:hAnsi="Times New Roman" w:cs="Times New Roman"/>
          <w:sz w:val="24"/>
          <w:szCs w:val="24"/>
          <w:lang w:val="ro-RO"/>
        </w:rPr>
        <w:footnoteReference w:id="50"/>
      </w:r>
      <w:r w:rsidRPr="00650D66">
        <w:rPr>
          <w:rFonts w:ascii="Times New Roman" w:hAnsi="Times New Roman" w:cs="Times New Roman"/>
          <w:sz w:val="24"/>
          <w:szCs w:val="24"/>
          <w:lang w:val="ro-RO"/>
        </w:rPr>
        <w:t>, stabilește modul de planificare și efectuare a chelt</w:t>
      </w:r>
      <w:r w:rsidR="000F3FAF" w:rsidRPr="00650D66">
        <w:rPr>
          <w:rFonts w:ascii="Times New Roman" w:hAnsi="Times New Roman" w:cs="Times New Roman"/>
          <w:sz w:val="24"/>
          <w:szCs w:val="24"/>
          <w:lang w:val="ro-RO"/>
        </w:rPr>
        <w:t>uielilor de reprezentanță</w:t>
      </w:r>
      <w:r w:rsidR="00357E87" w:rsidRPr="00650D66">
        <w:rPr>
          <w:rFonts w:ascii="Times New Roman" w:hAnsi="Times New Roman" w:cs="Times New Roman"/>
          <w:sz w:val="24"/>
          <w:szCs w:val="24"/>
          <w:lang w:val="ro-RO"/>
        </w:rPr>
        <w:t xml:space="preserve"> pentru organizarea primirii delegațiilor străine, membrilor misiunilor de asistență tehnică, persoanelor oficiale din RM și a personalităților remarcabile care vizitează BNM.</w:t>
      </w:r>
      <w:r w:rsidR="000C3C1A" w:rsidRPr="00650D66">
        <w:rPr>
          <w:rFonts w:ascii="Times New Roman" w:hAnsi="Times New Roman" w:cs="Times New Roman"/>
          <w:sz w:val="24"/>
          <w:szCs w:val="24"/>
          <w:lang w:val="ro-RO"/>
        </w:rPr>
        <w:t xml:space="preserve"> </w:t>
      </w:r>
      <w:r w:rsidR="00406571" w:rsidRPr="00650D66">
        <w:rPr>
          <w:rFonts w:ascii="Times New Roman" w:hAnsi="Times New Roman" w:cs="Times New Roman"/>
          <w:sz w:val="24"/>
          <w:szCs w:val="24"/>
          <w:lang w:val="ro-RO"/>
        </w:rPr>
        <w:t xml:space="preserve">Auditul menționează că </w:t>
      </w:r>
      <w:r w:rsidR="001240F8" w:rsidRPr="00650D66">
        <w:rPr>
          <w:rFonts w:ascii="Times New Roman" w:hAnsi="Times New Roman" w:cs="Times New Roman"/>
          <w:sz w:val="24"/>
          <w:szCs w:val="24"/>
          <w:lang w:val="ro-RO"/>
        </w:rPr>
        <w:t xml:space="preserve">Regulamentul menționat mai sus a fost aprobat de către BNM în limitele </w:t>
      </w:r>
      <w:r w:rsidR="00F86EBB">
        <w:rPr>
          <w:rFonts w:ascii="Times New Roman" w:hAnsi="Times New Roman" w:cs="Times New Roman"/>
          <w:sz w:val="24"/>
          <w:szCs w:val="24"/>
          <w:lang w:val="ro-RO"/>
        </w:rPr>
        <w:t>stabilite</w:t>
      </w:r>
      <w:r w:rsidR="00F86EBB" w:rsidRPr="00650D66">
        <w:rPr>
          <w:rFonts w:ascii="Times New Roman" w:hAnsi="Times New Roman" w:cs="Times New Roman"/>
          <w:sz w:val="24"/>
          <w:szCs w:val="24"/>
          <w:lang w:val="ro-RO"/>
        </w:rPr>
        <w:t xml:space="preserve"> </w:t>
      </w:r>
      <w:r w:rsidR="001240F8" w:rsidRPr="00650D66">
        <w:rPr>
          <w:rFonts w:ascii="Times New Roman" w:hAnsi="Times New Roman" w:cs="Times New Roman"/>
          <w:sz w:val="24"/>
          <w:szCs w:val="24"/>
          <w:lang w:val="ro-RO"/>
        </w:rPr>
        <w:t>prin HG nr.101 din 30.01.2018</w:t>
      </w:r>
      <w:r w:rsidR="001240F8" w:rsidRPr="00650D66">
        <w:rPr>
          <w:rStyle w:val="FootnoteReference"/>
          <w:rFonts w:ascii="Times New Roman" w:hAnsi="Times New Roman" w:cs="Times New Roman"/>
          <w:sz w:val="24"/>
          <w:szCs w:val="24"/>
          <w:lang w:val="ro-RO"/>
        </w:rPr>
        <w:footnoteReference w:id="51"/>
      </w:r>
      <w:r w:rsidR="001240F8" w:rsidRPr="00650D66">
        <w:rPr>
          <w:rFonts w:ascii="Times New Roman" w:hAnsi="Times New Roman" w:cs="Times New Roman"/>
          <w:sz w:val="24"/>
          <w:szCs w:val="24"/>
          <w:lang w:val="ro-RO"/>
        </w:rPr>
        <w:t>.</w:t>
      </w:r>
    </w:p>
    <w:p w14:paraId="62CDD2CC" w14:textId="77777777" w:rsidR="002F599B" w:rsidRPr="00650D66" w:rsidRDefault="002F599B" w:rsidP="00ED0D87">
      <w:pPr>
        <w:pStyle w:val="ListParagraph"/>
        <w:spacing w:after="0" w:line="276" w:lineRule="auto"/>
        <w:ind w:left="0"/>
        <w:jc w:val="both"/>
        <w:rPr>
          <w:rFonts w:ascii="Times New Roman" w:hAnsi="Times New Roman" w:cs="Times New Roman"/>
          <w:sz w:val="6"/>
          <w:szCs w:val="6"/>
          <w:lang w:val="ro-RO"/>
        </w:rPr>
      </w:pPr>
    </w:p>
    <w:p w14:paraId="0D1CD499" w14:textId="6F89695D" w:rsidR="00AD6BED" w:rsidRPr="00650D66" w:rsidRDefault="00BD0917" w:rsidP="00AD6BED">
      <w:pPr>
        <w:pStyle w:val="ListParagraph"/>
        <w:tabs>
          <w:tab w:val="left" w:pos="426"/>
        </w:tabs>
        <w:spacing w:line="276" w:lineRule="auto"/>
        <w:ind w:left="0"/>
        <w:jc w:val="both"/>
        <w:rPr>
          <w:rFonts w:ascii="Times New Roman" w:hAnsi="Times New Roman" w:cs="Times New Roman"/>
          <w:i/>
          <w:sz w:val="24"/>
          <w:szCs w:val="24"/>
          <w:lang w:val="ro-RO"/>
        </w:rPr>
      </w:pPr>
      <w:r w:rsidRPr="00650D66">
        <w:rPr>
          <w:rFonts w:ascii="Times New Roman" w:hAnsi="Times New Roman" w:cs="Times New Roman"/>
          <w:sz w:val="24"/>
          <w:szCs w:val="24"/>
          <w:lang w:val="ro-RO"/>
        </w:rPr>
        <w:t xml:space="preserve">În perioada 2019-2022 se atestă un nivel scăzut de executare a </w:t>
      </w:r>
      <w:r w:rsidR="000A676F" w:rsidRPr="00650D66">
        <w:rPr>
          <w:rFonts w:ascii="Times New Roman" w:hAnsi="Times New Roman" w:cs="Times New Roman"/>
          <w:sz w:val="24"/>
          <w:szCs w:val="24"/>
          <w:lang w:val="ro-RO"/>
        </w:rPr>
        <w:t>a</w:t>
      </w:r>
      <w:r w:rsidRPr="00650D66">
        <w:rPr>
          <w:rFonts w:ascii="Times New Roman" w:hAnsi="Times New Roman" w:cs="Times New Roman"/>
          <w:sz w:val="24"/>
          <w:szCs w:val="24"/>
          <w:lang w:val="ro-RO"/>
        </w:rPr>
        <w:t xml:space="preserve">locațiilor aprobate </w:t>
      </w:r>
      <w:r w:rsidR="000A676F" w:rsidRPr="00650D66">
        <w:rPr>
          <w:rFonts w:ascii="Times New Roman" w:hAnsi="Times New Roman" w:cs="Times New Roman"/>
          <w:sz w:val="24"/>
          <w:szCs w:val="24"/>
          <w:lang w:val="ro-RO"/>
        </w:rPr>
        <w:t xml:space="preserve">de către BNM </w:t>
      </w:r>
      <w:r w:rsidRPr="00650D66">
        <w:rPr>
          <w:rFonts w:ascii="Times New Roman" w:hAnsi="Times New Roman" w:cs="Times New Roman"/>
          <w:sz w:val="24"/>
          <w:szCs w:val="24"/>
          <w:lang w:val="ro-RO"/>
        </w:rPr>
        <w:t>pentru cheltuieli</w:t>
      </w:r>
      <w:r w:rsidR="00F86EBB">
        <w:rPr>
          <w:rFonts w:ascii="Times New Roman" w:hAnsi="Times New Roman" w:cs="Times New Roman"/>
          <w:sz w:val="24"/>
          <w:szCs w:val="24"/>
          <w:lang w:val="ro-RO"/>
        </w:rPr>
        <w:t>le</w:t>
      </w:r>
      <w:r w:rsidRPr="00650D66">
        <w:rPr>
          <w:rFonts w:ascii="Times New Roman" w:hAnsi="Times New Roman" w:cs="Times New Roman"/>
          <w:sz w:val="24"/>
          <w:szCs w:val="24"/>
          <w:lang w:val="ro-RO"/>
        </w:rPr>
        <w:t xml:space="preserve"> de reprezentanță,</w:t>
      </w:r>
      <w:r w:rsidR="000A676F" w:rsidRPr="00650D66">
        <w:rPr>
          <w:rFonts w:ascii="Times New Roman" w:hAnsi="Times New Roman" w:cs="Times New Roman"/>
          <w:sz w:val="24"/>
          <w:szCs w:val="24"/>
          <w:lang w:val="ro-RO"/>
        </w:rPr>
        <w:t xml:space="preserve"> </w:t>
      </w:r>
      <w:r w:rsidR="000F3FAF" w:rsidRPr="00650D66">
        <w:rPr>
          <w:rFonts w:ascii="Times New Roman" w:hAnsi="Times New Roman" w:cs="Times New Roman"/>
          <w:sz w:val="24"/>
          <w:szCs w:val="24"/>
          <w:lang w:val="ro-RO"/>
        </w:rPr>
        <w:t>constituind</w:t>
      </w:r>
      <w:r w:rsidR="00153A7F" w:rsidRPr="00650D66">
        <w:rPr>
          <w:rFonts w:ascii="Times New Roman" w:hAnsi="Times New Roman" w:cs="Times New Roman"/>
          <w:sz w:val="24"/>
          <w:szCs w:val="24"/>
          <w:lang w:val="ro-RO"/>
        </w:rPr>
        <w:t xml:space="preserve"> în anul 2019</w:t>
      </w:r>
      <w:r w:rsidR="00F86EBB">
        <w:rPr>
          <w:rFonts w:ascii="Times New Roman" w:hAnsi="Times New Roman" w:cs="Times New Roman"/>
          <w:sz w:val="24"/>
          <w:szCs w:val="24"/>
          <w:lang w:val="ro-RO"/>
        </w:rPr>
        <w:t>,</w:t>
      </w:r>
      <w:r w:rsidR="00153A7F" w:rsidRPr="00650D66">
        <w:rPr>
          <w:rFonts w:ascii="Times New Roman" w:hAnsi="Times New Roman" w:cs="Times New Roman"/>
          <w:sz w:val="24"/>
          <w:szCs w:val="24"/>
          <w:lang w:val="ro-RO"/>
        </w:rPr>
        <w:t xml:space="preserve"> 25,5%, în anul 2020 </w:t>
      </w:r>
      <w:r w:rsidR="00F86EBB">
        <w:rPr>
          <w:rFonts w:ascii="Times New Roman" w:hAnsi="Times New Roman" w:cs="Times New Roman"/>
          <w:sz w:val="24"/>
          <w:szCs w:val="24"/>
          <w:lang w:val="ro-RO"/>
        </w:rPr>
        <w:t>–</w:t>
      </w:r>
      <w:r w:rsidR="00153A7F"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11,2%</w:t>
      </w:r>
      <w:r w:rsidR="00AC00E3" w:rsidRPr="00650D66">
        <w:rPr>
          <w:rFonts w:ascii="Times New Roman" w:hAnsi="Times New Roman" w:cs="Times New Roman"/>
          <w:sz w:val="24"/>
          <w:szCs w:val="24"/>
          <w:lang w:val="ro-RO"/>
        </w:rPr>
        <w:t xml:space="preserve">, în anul 2021 </w:t>
      </w:r>
      <w:r w:rsidR="00F86EBB">
        <w:rPr>
          <w:rFonts w:ascii="Times New Roman" w:hAnsi="Times New Roman" w:cs="Times New Roman"/>
          <w:sz w:val="24"/>
          <w:szCs w:val="24"/>
          <w:lang w:val="ro-RO"/>
        </w:rPr>
        <w:t>–</w:t>
      </w:r>
      <w:r w:rsidR="00AC00E3" w:rsidRPr="00650D66">
        <w:rPr>
          <w:rFonts w:ascii="Times New Roman" w:hAnsi="Times New Roman" w:cs="Times New Roman"/>
          <w:sz w:val="24"/>
          <w:szCs w:val="24"/>
          <w:lang w:val="ro-RO"/>
        </w:rPr>
        <w:t xml:space="preserve"> </w:t>
      </w:r>
      <w:r w:rsidR="000A676F" w:rsidRPr="00650D66">
        <w:rPr>
          <w:rFonts w:ascii="Times New Roman" w:hAnsi="Times New Roman" w:cs="Times New Roman"/>
          <w:sz w:val="24"/>
          <w:szCs w:val="24"/>
          <w:lang w:val="ro-RO"/>
        </w:rPr>
        <w:t>38,7%</w:t>
      </w:r>
      <w:r w:rsidR="00F86EBB">
        <w:rPr>
          <w:rFonts w:ascii="Times New Roman" w:hAnsi="Times New Roman" w:cs="Times New Roman"/>
          <w:sz w:val="24"/>
          <w:szCs w:val="24"/>
          <w:lang w:val="ro-RO"/>
        </w:rPr>
        <w:t>,</w:t>
      </w:r>
      <w:r w:rsidR="00AC00E3" w:rsidRPr="00650D66">
        <w:rPr>
          <w:rFonts w:ascii="Times New Roman" w:hAnsi="Times New Roman" w:cs="Times New Roman"/>
          <w:sz w:val="24"/>
          <w:szCs w:val="24"/>
          <w:lang w:val="ro-RO"/>
        </w:rPr>
        <w:t xml:space="preserve"> și în anul 2022 </w:t>
      </w:r>
      <w:r w:rsidR="00F86EBB">
        <w:rPr>
          <w:rFonts w:ascii="Times New Roman" w:hAnsi="Times New Roman" w:cs="Times New Roman"/>
          <w:sz w:val="24"/>
          <w:szCs w:val="24"/>
          <w:lang w:val="ro-RO"/>
        </w:rPr>
        <w:t>–</w:t>
      </w:r>
      <w:r w:rsidR="00AC00E3" w:rsidRPr="00650D66">
        <w:rPr>
          <w:rFonts w:ascii="Times New Roman" w:hAnsi="Times New Roman" w:cs="Times New Roman"/>
          <w:sz w:val="24"/>
          <w:szCs w:val="24"/>
          <w:lang w:val="ro-RO"/>
        </w:rPr>
        <w:t xml:space="preserve"> </w:t>
      </w:r>
      <w:r w:rsidR="000A676F" w:rsidRPr="00650D66">
        <w:rPr>
          <w:rFonts w:ascii="Times New Roman" w:hAnsi="Times New Roman" w:cs="Times New Roman"/>
          <w:sz w:val="24"/>
          <w:szCs w:val="24"/>
          <w:lang w:val="ro-RO"/>
        </w:rPr>
        <w:t>42,4%.</w:t>
      </w:r>
      <w:r w:rsidR="007F794B" w:rsidRPr="00650D66">
        <w:rPr>
          <w:rFonts w:ascii="Times New Roman" w:hAnsi="Times New Roman" w:cs="Times New Roman"/>
          <w:sz w:val="24"/>
          <w:szCs w:val="24"/>
          <w:lang w:val="ro-RO"/>
        </w:rPr>
        <w:t xml:space="preserve"> </w:t>
      </w:r>
      <w:r w:rsidR="00964308" w:rsidRPr="00650D66">
        <w:rPr>
          <w:rFonts w:ascii="Times New Roman" w:hAnsi="Times New Roman" w:cs="Times New Roman"/>
          <w:sz w:val="24"/>
          <w:szCs w:val="24"/>
          <w:lang w:val="ro-RO"/>
        </w:rPr>
        <w:t xml:space="preserve">Rata mică de valorificare </w:t>
      </w:r>
      <w:r w:rsidR="00F86EBB">
        <w:rPr>
          <w:rFonts w:ascii="Times New Roman" w:hAnsi="Times New Roman" w:cs="Times New Roman"/>
          <w:sz w:val="24"/>
          <w:szCs w:val="24"/>
          <w:lang w:val="ro-RO"/>
        </w:rPr>
        <w:t>a fost</w:t>
      </w:r>
      <w:r w:rsidR="00964308" w:rsidRPr="00650D66">
        <w:rPr>
          <w:rFonts w:ascii="Times New Roman" w:hAnsi="Times New Roman" w:cs="Times New Roman"/>
          <w:sz w:val="24"/>
          <w:szCs w:val="24"/>
          <w:lang w:val="ro-RO"/>
        </w:rPr>
        <w:t xml:space="preserve"> condiționată de anularea evenimentelor, în situația pandemică, criza de război, criza energetică și presiunile inflaționiste care a</w:t>
      </w:r>
      <w:r w:rsidR="00F86EBB">
        <w:rPr>
          <w:rFonts w:ascii="Times New Roman" w:hAnsi="Times New Roman" w:cs="Times New Roman"/>
          <w:sz w:val="24"/>
          <w:szCs w:val="24"/>
          <w:lang w:val="ro-RO"/>
        </w:rPr>
        <w:t>u</w:t>
      </w:r>
      <w:r w:rsidR="00964308" w:rsidRPr="00650D66">
        <w:rPr>
          <w:rFonts w:ascii="Times New Roman" w:hAnsi="Times New Roman" w:cs="Times New Roman"/>
          <w:sz w:val="24"/>
          <w:szCs w:val="24"/>
          <w:lang w:val="ro-RO"/>
        </w:rPr>
        <w:t xml:space="preserve"> determinat BNM să își adapteze obiectivele și prioritățile la noile condiții. </w:t>
      </w:r>
      <w:r w:rsidR="00C71B34" w:rsidRPr="00650D66">
        <w:rPr>
          <w:rFonts w:ascii="Times New Roman" w:hAnsi="Times New Roman" w:cs="Times New Roman"/>
          <w:i/>
          <w:sz w:val="24"/>
          <w:szCs w:val="24"/>
          <w:lang w:val="ro-RO"/>
        </w:rPr>
        <w:t>Dinamica</w:t>
      </w:r>
      <w:r w:rsidR="00B43CC4" w:rsidRPr="00650D66">
        <w:rPr>
          <w:rFonts w:ascii="Times New Roman" w:hAnsi="Times New Roman" w:cs="Times New Roman"/>
          <w:i/>
          <w:sz w:val="24"/>
          <w:szCs w:val="24"/>
          <w:lang w:val="ro-RO"/>
        </w:rPr>
        <w:t xml:space="preserve"> cheltuielilor de reprezentanță executate față de alocațiile aprobate de către BNM în perioada 2019-2022, se prezintă în Diagrama nr.</w:t>
      </w:r>
      <w:r w:rsidR="00892413" w:rsidRPr="00650D66">
        <w:rPr>
          <w:rFonts w:ascii="Times New Roman" w:hAnsi="Times New Roman" w:cs="Times New Roman"/>
          <w:i/>
          <w:sz w:val="24"/>
          <w:szCs w:val="24"/>
          <w:lang w:val="ro-RO"/>
        </w:rPr>
        <w:t>2</w:t>
      </w:r>
      <w:r w:rsidR="00A6541E">
        <w:rPr>
          <w:rFonts w:ascii="Times New Roman" w:hAnsi="Times New Roman" w:cs="Times New Roman"/>
          <w:i/>
          <w:sz w:val="24"/>
          <w:szCs w:val="24"/>
          <w:lang w:val="ro-RO"/>
        </w:rPr>
        <w:t>.</w:t>
      </w:r>
    </w:p>
    <w:p w14:paraId="2614A80F" w14:textId="77777777" w:rsidR="00AC00E3" w:rsidRPr="00650D66" w:rsidRDefault="00AC00E3" w:rsidP="00AC00E3">
      <w:pPr>
        <w:pStyle w:val="ListParagraph"/>
        <w:tabs>
          <w:tab w:val="left" w:pos="426"/>
        </w:tabs>
        <w:spacing w:line="276" w:lineRule="auto"/>
        <w:ind w:left="0"/>
        <w:jc w:val="right"/>
        <w:rPr>
          <w:rFonts w:ascii="Times New Roman" w:hAnsi="Times New Roman" w:cs="Times New Roman"/>
          <w:sz w:val="24"/>
          <w:szCs w:val="24"/>
          <w:lang w:val="ro-RO"/>
        </w:rPr>
      </w:pPr>
      <w:r w:rsidRPr="00650D66">
        <w:rPr>
          <w:rFonts w:ascii="Times New Roman" w:hAnsi="Times New Roman" w:cs="Times New Roman"/>
          <w:i/>
          <w:sz w:val="24"/>
          <w:szCs w:val="24"/>
          <w:lang w:val="ro-RO"/>
        </w:rPr>
        <w:t>Diagrama nr.</w:t>
      </w:r>
      <w:r w:rsidR="00892413" w:rsidRPr="00650D66">
        <w:rPr>
          <w:rFonts w:ascii="Times New Roman" w:hAnsi="Times New Roman" w:cs="Times New Roman"/>
          <w:i/>
          <w:sz w:val="24"/>
          <w:szCs w:val="24"/>
          <w:lang w:val="ro-RO"/>
        </w:rPr>
        <w:t>2</w:t>
      </w:r>
    </w:p>
    <w:p w14:paraId="017FFCF4" w14:textId="77777777" w:rsidR="00877FBA" w:rsidRPr="00650D66" w:rsidRDefault="00877FBA" w:rsidP="00E01A3A">
      <w:pPr>
        <w:pStyle w:val="ListParagraph"/>
        <w:tabs>
          <w:tab w:val="left" w:pos="426"/>
        </w:tabs>
        <w:spacing w:after="0" w:line="276" w:lineRule="auto"/>
        <w:ind w:left="0"/>
        <w:jc w:val="center"/>
        <w:rPr>
          <w:rFonts w:ascii="Times New Roman" w:hAnsi="Times New Roman" w:cs="Times New Roman"/>
          <w:sz w:val="24"/>
          <w:szCs w:val="24"/>
          <w:lang w:val="ro-RO"/>
        </w:rPr>
      </w:pPr>
      <w:r w:rsidRPr="00650D66">
        <w:rPr>
          <w:rFonts w:ascii="Times New Roman" w:hAnsi="Times New Roman" w:cs="Times New Roman"/>
          <w:noProof/>
          <w:lang w:val="en-US"/>
        </w:rPr>
        <w:drawing>
          <wp:inline distT="0" distB="0" distL="0" distR="0" wp14:anchorId="366586F2" wp14:editId="6FF6C5C2">
            <wp:extent cx="5341620" cy="1744980"/>
            <wp:effectExtent l="0" t="0" r="1143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17C448" w14:textId="77777777" w:rsidR="00877FBA" w:rsidRPr="00650D66" w:rsidRDefault="00AE12FC" w:rsidP="005649CB">
      <w:pPr>
        <w:pStyle w:val="ListParagraph"/>
        <w:tabs>
          <w:tab w:val="left" w:pos="426"/>
        </w:tabs>
        <w:spacing w:after="0" w:line="276" w:lineRule="auto"/>
        <w:ind w:left="0" w:right="425" w:firstLine="426"/>
        <w:jc w:val="both"/>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 xml:space="preserve">Sursă: </w:t>
      </w:r>
      <w:r w:rsidRPr="00650D66">
        <w:rPr>
          <w:rFonts w:ascii="Times New Roman" w:hAnsi="Times New Roman" w:cs="Times New Roman"/>
          <w:i/>
          <w:sz w:val="20"/>
          <w:szCs w:val="20"/>
          <w:lang w:val="ro-RO"/>
        </w:rPr>
        <w:t>Date generalizate de către echipa de audit în baza rapoartelor privind executarea devizelor de cheltuieli și alocațiilor pentru investiții pe anii 2019-2022.</w:t>
      </w:r>
    </w:p>
    <w:p w14:paraId="78D1B500" w14:textId="77777777" w:rsidR="00877FBA" w:rsidRPr="00650D66" w:rsidRDefault="00877FBA" w:rsidP="004C2A3E">
      <w:pPr>
        <w:pStyle w:val="ListParagraph"/>
        <w:tabs>
          <w:tab w:val="left" w:pos="426"/>
        </w:tabs>
        <w:spacing w:after="0" w:line="276" w:lineRule="auto"/>
        <w:ind w:left="0"/>
        <w:jc w:val="both"/>
        <w:rPr>
          <w:rFonts w:ascii="Times New Roman" w:hAnsi="Times New Roman" w:cs="Times New Roman"/>
          <w:sz w:val="24"/>
          <w:szCs w:val="24"/>
          <w:lang w:val="ro-RO"/>
        </w:rPr>
      </w:pPr>
    </w:p>
    <w:p w14:paraId="2019CB35" w14:textId="50457B00" w:rsidR="007F0332" w:rsidRPr="00650D66" w:rsidRDefault="006B06D9" w:rsidP="004C2A3E">
      <w:pPr>
        <w:pStyle w:val="ListParagraph"/>
        <w:tabs>
          <w:tab w:val="left" w:pos="426"/>
        </w:tabs>
        <w:spacing w:after="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Auditul remarcă că </w:t>
      </w:r>
      <w:r w:rsidR="006E4476" w:rsidRPr="00650D66">
        <w:rPr>
          <w:rFonts w:ascii="Times New Roman" w:hAnsi="Times New Roman" w:cs="Times New Roman"/>
          <w:sz w:val="24"/>
          <w:szCs w:val="24"/>
          <w:lang w:val="ro-RO"/>
        </w:rPr>
        <w:t>problematicile constatate în misiunea de audit precedentă</w:t>
      </w:r>
      <w:r w:rsidR="002E4807" w:rsidRPr="00650D66">
        <w:rPr>
          <w:rFonts w:ascii="Times New Roman" w:hAnsi="Times New Roman" w:cs="Times New Roman"/>
          <w:sz w:val="24"/>
          <w:szCs w:val="24"/>
          <w:lang w:val="ro-RO"/>
        </w:rPr>
        <w:t xml:space="preserve"> </w:t>
      </w:r>
      <w:r w:rsidR="00A6541E">
        <w:rPr>
          <w:rFonts w:ascii="Times New Roman" w:hAnsi="Times New Roman" w:cs="Times New Roman"/>
          <w:sz w:val="24"/>
          <w:szCs w:val="24"/>
          <w:lang w:val="ro-RO"/>
        </w:rPr>
        <w:t>(</w:t>
      </w:r>
      <w:r w:rsidR="002E4807" w:rsidRPr="00650D66">
        <w:rPr>
          <w:rFonts w:ascii="Times New Roman" w:hAnsi="Times New Roman" w:cs="Times New Roman"/>
          <w:sz w:val="24"/>
          <w:szCs w:val="24"/>
          <w:lang w:val="ro-RO"/>
        </w:rPr>
        <w:t>din anul 2019</w:t>
      </w:r>
      <w:r w:rsidR="00A6541E">
        <w:rPr>
          <w:rFonts w:ascii="Times New Roman" w:hAnsi="Times New Roman" w:cs="Times New Roman"/>
          <w:sz w:val="24"/>
          <w:szCs w:val="24"/>
          <w:lang w:val="ro-RO"/>
        </w:rPr>
        <w:t>)</w:t>
      </w:r>
      <w:r w:rsidR="006E4476" w:rsidRPr="00650D66">
        <w:rPr>
          <w:rFonts w:ascii="Times New Roman" w:hAnsi="Times New Roman" w:cs="Times New Roman"/>
          <w:sz w:val="24"/>
          <w:szCs w:val="24"/>
          <w:lang w:val="ro-RO"/>
        </w:rPr>
        <w:t xml:space="preserve"> </w:t>
      </w:r>
      <w:r w:rsidR="00D154D5" w:rsidRPr="00650D66">
        <w:rPr>
          <w:rFonts w:ascii="Times New Roman" w:hAnsi="Times New Roman" w:cs="Times New Roman"/>
          <w:sz w:val="24"/>
          <w:szCs w:val="24"/>
          <w:lang w:val="ro-RO"/>
        </w:rPr>
        <w:t>se mențin</w:t>
      </w:r>
      <w:r w:rsidR="006E4476" w:rsidRPr="00650D66">
        <w:rPr>
          <w:rFonts w:ascii="Times New Roman" w:hAnsi="Times New Roman" w:cs="Times New Roman"/>
          <w:sz w:val="24"/>
          <w:szCs w:val="24"/>
          <w:lang w:val="ro-RO"/>
        </w:rPr>
        <w:t xml:space="preserve"> și </w:t>
      </w:r>
      <w:r w:rsidR="00A6541E">
        <w:rPr>
          <w:rFonts w:ascii="Times New Roman" w:hAnsi="Times New Roman" w:cs="Times New Roman"/>
          <w:sz w:val="24"/>
          <w:szCs w:val="24"/>
          <w:lang w:val="ro-RO"/>
        </w:rPr>
        <w:t xml:space="preserve">în </w:t>
      </w:r>
      <w:r w:rsidR="0000582F" w:rsidRPr="00650D66">
        <w:rPr>
          <w:rFonts w:ascii="Times New Roman" w:hAnsi="Times New Roman" w:cs="Times New Roman"/>
          <w:sz w:val="24"/>
          <w:szCs w:val="24"/>
          <w:lang w:val="ro-RO"/>
        </w:rPr>
        <w:t>perioada auditată actual</w:t>
      </w:r>
      <w:r w:rsidR="006E4476" w:rsidRPr="00650D66">
        <w:rPr>
          <w:rFonts w:ascii="Times New Roman" w:hAnsi="Times New Roman" w:cs="Times New Roman"/>
          <w:sz w:val="24"/>
          <w:szCs w:val="24"/>
          <w:lang w:val="ro-RO"/>
        </w:rPr>
        <w:t>. Astfel, reglementările interne ale BNM nu atestă clar și expres cheltuielile de promovare a imaginii BNM drept cheltuieli de reprezentanță, ceea ce lasă loc de interpretări.</w:t>
      </w:r>
      <w:r w:rsidR="004C2A3E" w:rsidRPr="00650D66">
        <w:rPr>
          <w:rFonts w:ascii="Times New Roman" w:hAnsi="Times New Roman" w:cs="Times New Roman"/>
          <w:sz w:val="24"/>
          <w:szCs w:val="24"/>
          <w:lang w:val="ro-RO"/>
        </w:rPr>
        <w:t xml:space="preserve"> </w:t>
      </w:r>
    </w:p>
    <w:p w14:paraId="1895786A" w14:textId="77777777" w:rsidR="004C2A3E" w:rsidRPr="00650D66" w:rsidRDefault="004C2A3E" w:rsidP="004C2A3E">
      <w:pPr>
        <w:pStyle w:val="ListParagraph"/>
        <w:tabs>
          <w:tab w:val="left" w:pos="426"/>
        </w:tabs>
        <w:spacing w:after="0" w:line="276" w:lineRule="auto"/>
        <w:ind w:left="0"/>
        <w:jc w:val="both"/>
        <w:rPr>
          <w:rFonts w:ascii="Times New Roman" w:hAnsi="Times New Roman" w:cs="Times New Roman"/>
          <w:sz w:val="6"/>
          <w:szCs w:val="6"/>
          <w:lang w:val="ro-RO"/>
        </w:rPr>
      </w:pPr>
    </w:p>
    <w:p w14:paraId="39392AEA" w14:textId="77777777" w:rsidR="003A330E" w:rsidRDefault="001804DE" w:rsidP="004C2A3E">
      <w:pPr>
        <w:tabs>
          <w:tab w:val="left" w:pos="284"/>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bCs/>
          <w:sz w:val="24"/>
          <w:szCs w:val="24"/>
          <w:lang w:val="ro-RO"/>
        </w:rPr>
        <w:t>Î</w:t>
      </w:r>
      <w:r w:rsidR="00D5364B" w:rsidRPr="00650D66">
        <w:rPr>
          <w:rFonts w:ascii="Times New Roman" w:hAnsi="Times New Roman" w:cs="Times New Roman"/>
          <w:bCs/>
          <w:sz w:val="24"/>
          <w:szCs w:val="24"/>
          <w:lang w:val="ro-RO"/>
        </w:rPr>
        <w:t xml:space="preserve">n contextul categoriilor atribuite, </w:t>
      </w:r>
      <w:r w:rsidR="00BD0917" w:rsidRPr="00650D66">
        <w:rPr>
          <w:rFonts w:ascii="Times New Roman" w:hAnsi="Times New Roman" w:cs="Times New Roman"/>
          <w:bCs/>
          <w:sz w:val="24"/>
          <w:szCs w:val="24"/>
          <w:lang w:val="ro-RO"/>
        </w:rPr>
        <w:t xml:space="preserve">auditul a constatat o incertitudine </w:t>
      </w:r>
      <w:r w:rsidR="00D154D5" w:rsidRPr="00650D66">
        <w:rPr>
          <w:rFonts w:ascii="Times New Roman" w:hAnsi="Times New Roman" w:cs="Times New Roman"/>
          <w:bCs/>
          <w:sz w:val="24"/>
          <w:szCs w:val="24"/>
          <w:lang w:val="ro-RO"/>
        </w:rPr>
        <w:t>la</w:t>
      </w:r>
      <w:r w:rsidR="00BD0917" w:rsidRPr="00650D66">
        <w:rPr>
          <w:rFonts w:ascii="Times New Roman" w:hAnsi="Times New Roman" w:cs="Times New Roman"/>
          <w:bCs/>
          <w:sz w:val="24"/>
          <w:szCs w:val="24"/>
          <w:lang w:val="ro-RO"/>
        </w:rPr>
        <w:t xml:space="preserve"> planificarea și executarea </w:t>
      </w:r>
      <w:r w:rsidR="00D154D5" w:rsidRPr="00650D66">
        <w:rPr>
          <w:rFonts w:ascii="Times New Roman" w:hAnsi="Times New Roman" w:cs="Times New Roman"/>
          <w:sz w:val="24"/>
          <w:szCs w:val="24"/>
          <w:lang w:val="ro-RO"/>
        </w:rPr>
        <w:t>cheltuielilor</w:t>
      </w:r>
      <w:r w:rsidR="00BD0917" w:rsidRPr="00650D66">
        <w:rPr>
          <w:rFonts w:ascii="Times New Roman" w:hAnsi="Times New Roman" w:cs="Times New Roman"/>
          <w:sz w:val="24"/>
          <w:szCs w:val="24"/>
          <w:lang w:val="ro-RO"/>
        </w:rPr>
        <w:t xml:space="preserve"> de promovare a imaginii BNM</w:t>
      </w:r>
      <w:r w:rsidR="00290320" w:rsidRPr="00650D66">
        <w:rPr>
          <w:rFonts w:ascii="Times New Roman" w:hAnsi="Times New Roman" w:cs="Times New Roman"/>
          <w:sz w:val="24"/>
          <w:szCs w:val="24"/>
          <w:lang w:val="ro-RO"/>
        </w:rPr>
        <w:t xml:space="preserve"> în perioada 2019-2022</w:t>
      </w:r>
      <w:r w:rsidR="00BD0917" w:rsidRPr="00650D66">
        <w:rPr>
          <w:rFonts w:ascii="Times New Roman" w:hAnsi="Times New Roman" w:cs="Times New Roman"/>
          <w:sz w:val="24"/>
          <w:szCs w:val="24"/>
          <w:lang w:val="ro-RO"/>
        </w:rPr>
        <w:t xml:space="preserve">. </w:t>
      </w:r>
    </w:p>
    <w:p w14:paraId="61301385" w14:textId="643D6F3A" w:rsidR="004C2A3E" w:rsidRPr="00650D66" w:rsidRDefault="003A330E" w:rsidP="004C2A3E">
      <w:pPr>
        <w:tabs>
          <w:tab w:val="left" w:pos="284"/>
        </w:tabs>
        <w:spacing w:after="0" w:line="276" w:lineRule="auto"/>
        <w:jc w:val="both"/>
        <w:rPr>
          <w:rFonts w:ascii="Times New Roman" w:hAnsi="Times New Roman" w:cs="Times New Roman"/>
          <w:bCs/>
          <w:sz w:val="24"/>
          <w:szCs w:val="24"/>
          <w:lang w:val="ro-RO"/>
        </w:rPr>
      </w:pPr>
      <w:r w:rsidRPr="00D529E4">
        <w:rPr>
          <w:rFonts w:ascii="Times New Roman" w:hAnsi="Times New Roman" w:cs="Times New Roman"/>
          <w:bCs/>
          <w:sz w:val="24"/>
          <w:szCs w:val="24"/>
          <w:lang w:val="ro-RO"/>
        </w:rPr>
        <w:t>Î</w:t>
      </w:r>
      <w:r w:rsidR="001804DE" w:rsidRPr="00D529E4">
        <w:rPr>
          <w:rFonts w:ascii="Times New Roman" w:hAnsi="Times New Roman" w:cs="Times New Roman"/>
          <w:bCs/>
          <w:sz w:val="24"/>
          <w:szCs w:val="24"/>
          <w:lang w:val="ro-RO"/>
        </w:rPr>
        <w:t>n anul 2019</w:t>
      </w:r>
      <w:r w:rsidRPr="00D529E4">
        <w:rPr>
          <w:rFonts w:ascii="Times New Roman" w:hAnsi="Times New Roman" w:cs="Times New Roman"/>
          <w:bCs/>
          <w:sz w:val="24"/>
          <w:szCs w:val="24"/>
          <w:lang w:val="ro-RO"/>
        </w:rPr>
        <w:t>,</w:t>
      </w:r>
      <w:r w:rsidR="006E4476" w:rsidRPr="00D529E4">
        <w:rPr>
          <w:rFonts w:ascii="Times New Roman" w:hAnsi="Times New Roman" w:cs="Times New Roman"/>
          <w:bCs/>
          <w:sz w:val="24"/>
          <w:szCs w:val="24"/>
          <w:lang w:val="ro-RO"/>
        </w:rPr>
        <w:t xml:space="preserve"> </w:t>
      </w:r>
      <w:r w:rsidRPr="00D529E4">
        <w:rPr>
          <w:rFonts w:ascii="Times New Roman" w:hAnsi="Times New Roman" w:cs="Times New Roman"/>
          <w:bCs/>
          <w:sz w:val="24"/>
          <w:szCs w:val="24"/>
          <w:lang w:val="ro-RO"/>
        </w:rPr>
        <w:t xml:space="preserve">BNM </w:t>
      </w:r>
      <w:r w:rsidR="006E4476" w:rsidRPr="00D529E4">
        <w:rPr>
          <w:rFonts w:ascii="Times New Roman" w:hAnsi="Times New Roman" w:cs="Times New Roman"/>
          <w:bCs/>
          <w:sz w:val="24"/>
          <w:szCs w:val="24"/>
          <w:lang w:val="ro-RO"/>
        </w:rPr>
        <w:t>a planificat alocații în devizul de cheltuieli</w:t>
      </w:r>
      <w:r w:rsidR="002B61C5">
        <w:rPr>
          <w:rFonts w:ascii="Times New Roman" w:hAnsi="Times New Roman" w:cs="Times New Roman"/>
          <w:bCs/>
          <w:sz w:val="24"/>
          <w:szCs w:val="24"/>
          <w:lang w:val="ro-RO"/>
        </w:rPr>
        <w:t>,</w:t>
      </w:r>
      <w:r w:rsidR="006E4476" w:rsidRPr="00D529E4">
        <w:rPr>
          <w:rFonts w:ascii="Times New Roman" w:hAnsi="Times New Roman" w:cs="Times New Roman"/>
          <w:bCs/>
          <w:sz w:val="24"/>
          <w:szCs w:val="24"/>
          <w:lang w:val="ro-RO"/>
        </w:rPr>
        <w:t xml:space="preserve"> </w:t>
      </w:r>
      <w:r w:rsidRPr="00D529E4">
        <w:rPr>
          <w:rFonts w:ascii="Times New Roman" w:hAnsi="Times New Roman" w:cs="Times New Roman"/>
          <w:bCs/>
          <w:sz w:val="24"/>
          <w:szCs w:val="24"/>
          <w:lang w:val="ro-RO"/>
        </w:rPr>
        <w:t>la cheltuieli de reprezentanță</w:t>
      </w:r>
      <w:r w:rsidR="002B61C5">
        <w:rPr>
          <w:rFonts w:ascii="Times New Roman" w:hAnsi="Times New Roman" w:cs="Times New Roman"/>
          <w:bCs/>
          <w:sz w:val="24"/>
          <w:szCs w:val="24"/>
          <w:lang w:val="ro-RO"/>
        </w:rPr>
        <w:t>,</w:t>
      </w:r>
      <w:r w:rsidRPr="00D529E4">
        <w:rPr>
          <w:rFonts w:ascii="Times New Roman" w:hAnsi="Times New Roman" w:cs="Times New Roman"/>
          <w:bCs/>
          <w:sz w:val="24"/>
          <w:szCs w:val="24"/>
          <w:lang w:val="ro-RO"/>
        </w:rPr>
        <w:t xml:space="preserve"> </w:t>
      </w:r>
      <w:r w:rsidR="002B61C5">
        <w:rPr>
          <w:rFonts w:ascii="Times New Roman" w:hAnsi="Times New Roman" w:cs="Times New Roman"/>
          <w:bCs/>
          <w:sz w:val="24"/>
          <w:szCs w:val="24"/>
          <w:lang w:val="ro-RO"/>
        </w:rPr>
        <w:t xml:space="preserve">de </w:t>
      </w:r>
      <w:r w:rsidRPr="00D529E4">
        <w:rPr>
          <w:rFonts w:ascii="Times New Roman" w:hAnsi="Times New Roman" w:cs="Times New Roman"/>
          <w:bCs/>
          <w:sz w:val="24"/>
          <w:szCs w:val="24"/>
          <w:lang w:val="ro-RO"/>
        </w:rPr>
        <w:t xml:space="preserve">              1200,0 mii lei </w:t>
      </w:r>
      <w:r w:rsidR="006E4476" w:rsidRPr="00D529E4">
        <w:rPr>
          <w:rFonts w:ascii="Times New Roman" w:hAnsi="Times New Roman" w:cs="Times New Roman"/>
          <w:bCs/>
          <w:sz w:val="24"/>
          <w:szCs w:val="24"/>
          <w:lang w:val="ro-RO"/>
        </w:rPr>
        <w:t xml:space="preserve">pentru aniversarea </w:t>
      </w:r>
      <w:r w:rsidR="002B61C5">
        <w:rPr>
          <w:rFonts w:ascii="Times New Roman" w:hAnsi="Times New Roman" w:cs="Times New Roman"/>
          <w:bCs/>
          <w:sz w:val="24"/>
          <w:szCs w:val="24"/>
          <w:lang w:val="ro-RO"/>
        </w:rPr>
        <w:t xml:space="preserve">a </w:t>
      </w:r>
      <w:r w:rsidR="006E4476" w:rsidRPr="00D529E4">
        <w:rPr>
          <w:rFonts w:ascii="Times New Roman" w:hAnsi="Times New Roman" w:cs="Times New Roman"/>
          <w:bCs/>
          <w:sz w:val="24"/>
          <w:szCs w:val="24"/>
          <w:lang w:val="ro-RO"/>
        </w:rPr>
        <w:t>28 ani</w:t>
      </w:r>
      <w:r w:rsidR="002B61C5">
        <w:rPr>
          <w:rFonts w:ascii="Times New Roman" w:hAnsi="Times New Roman" w:cs="Times New Roman"/>
          <w:bCs/>
          <w:sz w:val="24"/>
          <w:szCs w:val="24"/>
          <w:lang w:val="ro-RO"/>
        </w:rPr>
        <w:t xml:space="preserve"> ai BNM</w:t>
      </w:r>
      <w:r w:rsidRPr="00D529E4">
        <w:rPr>
          <w:rFonts w:ascii="Times New Roman" w:hAnsi="Times New Roman" w:cs="Times New Roman"/>
          <w:bCs/>
          <w:sz w:val="24"/>
          <w:szCs w:val="24"/>
          <w:lang w:val="ro-RO"/>
        </w:rPr>
        <w:t>, acestea nefiind executate</w:t>
      </w:r>
      <w:r w:rsidR="002B758F" w:rsidRPr="00D529E4">
        <w:rPr>
          <w:rFonts w:ascii="Times New Roman" w:hAnsi="Times New Roman" w:cs="Times New Roman"/>
          <w:bCs/>
          <w:sz w:val="24"/>
          <w:szCs w:val="24"/>
          <w:lang w:val="ro-RO"/>
        </w:rPr>
        <w:t>. Concomitent, pentru organizarea evenimentului de prezentare a Raportului de activitate 2019 al BNM au fost planificate mijloace pentru</w:t>
      </w:r>
      <w:r w:rsidR="006E4476" w:rsidRPr="00D529E4">
        <w:rPr>
          <w:rFonts w:ascii="Times New Roman" w:hAnsi="Times New Roman" w:cs="Times New Roman"/>
          <w:bCs/>
          <w:sz w:val="24"/>
          <w:szCs w:val="24"/>
          <w:lang w:val="ro-RO"/>
        </w:rPr>
        <w:t xml:space="preserve"> pregătirea și perfecționarea personalului</w:t>
      </w:r>
      <w:r w:rsidR="009408B0" w:rsidRPr="00D529E4">
        <w:rPr>
          <w:rFonts w:ascii="Times New Roman" w:hAnsi="Times New Roman" w:cs="Times New Roman"/>
          <w:bCs/>
          <w:sz w:val="24"/>
          <w:szCs w:val="24"/>
          <w:lang w:val="ro-RO"/>
        </w:rPr>
        <w:t xml:space="preserve"> </w:t>
      </w:r>
      <w:r w:rsidR="002B758F" w:rsidRPr="00D529E4">
        <w:rPr>
          <w:rFonts w:ascii="Times New Roman" w:hAnsi="Times New Roman" w:cs="Times New Roman"/>
          <w:bCs/>
          <w:sz w:val="24"/>
          <w:szCs w:val="24"/>
          <w:lang w:val="ro-RO"/>
        </w:rPr>
        <w:t>în sumă de</w:t>
      </w:r>
      <w:r w:rsidR="006E4476" w:rsidRPr="00D529E4">
        <w:rPr>
          <w:rFonts w:ascii="Times New Roman" w:hAnsi="Times New Roman" w:cs="Times New Roman"/>
          <w:bCs/>
          <w:sz w:val="24"/>
          <w:szCs w:val="24"/>
          <w:lang w:val="ro-RO"/>
        </w:rPr>
        <w:t xml:space="preserve"> 335,0 mii lei, </w:t>
      </w:r>
      <w:r w:rsidR="002B758F" w:rsidRPr="00D529E4">
        <w:rPr>
          <w:rFonts w:ascii="Times New Roman" w:hAnsi="Times New Roman" w:cs="Times New Roman"/>
          <w:bCs/>
          <w:sz w:val="24"/>
          <w:szCs w:val="24"/>
          <w:lang w:val="ro-RO"/>
        </w:rPr>
        <w:t xml:space="preserve">din </w:t>
      </w:r>
      <w:r w:rsidR="006E4476" w:rsidRPr="00D529E4">
        <w:rPr>
          <w:rFonts w:ascii="Times New Roman" w:hAnsi="Times New Roman" w:cs="Times New Roman"/>
          <w:bCs/>
          <w:sz w:val="24"/>
          <w:szCs w:val="24"/>
          <w:lang w:val="ro-RO"/>
        </w:rPr>
        <w:t>care au fost executate 302,9 mii lei</w:t>
      </w:r>
      <w:r w:rsidR="002B61C5">
        <w:rPr>
          <w:rFonts w:ascii="Times New Roman" w:hAnsi="Times New Roman" w:cs="Times New Roman"/>
          <w:bCs/>
          <w:sz w:val="24"/>
          <w:szCs w:val="24"/>
          <w:lang w:val="ro-RO"/>
        </w:rPr>
        <w:t>,</w:t>
      </w:r>
      <w:r w:rsidR="006E4476" w:rsidRPr="00D529E4">
        <w:rPr>
          <w:rFonts w:ascii="Times New Roman" w:hAnsi="Times New Roman" w:cs="Times New Roman"/>
          <w:bCs/>
          <w:sz w:val="24"/>
          <w:szCs w:val="24"/>
          <w:lang w:val="ro-RO"/>
        </w:rPr>
        <w:t xml:space="preserve"> sau la nivel de 90,4%. </w:t>
      </w:r>
      <w:r w:rsidR="00DF6B0A" w:rsidRPr="00D529E4">
        <w:rPr>
          <w:rFonts w:ascii="Times New Roman" w:hAnsi="Times New Roman" w:cs="Times New Roman"/>
          <w:bCs/>
          <w:sz w:val="24"/>
          <w:szCs w:val="24"/>
          <w:lang w:val="ro-RO"/>
        </w:rPr>
        <w:t xml:space="preserve">Totodată, </w:t>
      </w:r>
      <w:r w:rsidR="002B758F" w:rsidRPr="00D529E4">
        <w:rPr>
          <w:rFonts w:ascii="Times New Roman" w:hAnsi="Times New Roman" w:cs="Times New Roman"/>
          <w:bCs/>
          <w:sz w:val="24"/>
          <w:szCs w:val="24"/>
          <w:lang w:val="ro-RO"/>
        </w:rPr>
        <w:t>la ace</w:t>
      </w:r>
      <w:r w:rsidR="002B61C5">
        <w:rPr>
          <w:rFonts w:ascii="Times New Roman" w:hAnsi="Times New Roman" w:cs="Times New Roman"/>
          <w:bCs/>
          <w:sz w:val="24"/>
          <w:szCs w:val="24"/>
          <w:lang w:val="ro-RO"/>
        </w:rPr>
        <w:t>e</w:t>
      </w:r>
      <w:r w:rsidR="002B758F" w:rsidRPr="00D529E4">
        <w:rPr>
          <w:rFonts w:ascii="Times New Roman" w:hAnsi="Times New Roman" w:cs="Times New Roman"/>
          <w:bCs/>
          <w:sz w:val="24"/>
          <w:szCs w:val="24"/>
          <w:lang w:val="ro-RO"/>
        </w:rPr>
        <w:t xml:space="preserve">ași </w:t>
      </w:r>
      <w:r w:rsidR="00DF6B0A" w:rsidRPr="00D529E4">
        <w:rPr>
          <w:rFonts w:ascii="Times New Roman" w:hAnsi="Times New Roman" w:cs="Times New Roman"/>
          <w:bCs/>
          <w:sz w:val="24"/>
          <w:szCs w:val="24"/>
          <w:lang w:val="ro-RO"/>
        </w:rPr>
        <w:t>categori</w:t>
      </w:r>
      <w:r w:rsidR="002B758F" w:rsidRPr="00D529E4">
        <w:rPr>
          <w:rFonts w:ascii="Times New Roman" w:hAnsi="Times New Roman" w:cs="Times New Roman"/>
          <w:bCs/>
          <w:sz w:val="24"/>
          <w:szCs w:val="24"/>
          <w:lang w:val="ro-RO"/>
        </w:rPr>
        <w:t>e</w:t>
      </w:r>
      <w:r w:rsidR="00DF6B0A" w:rsidRPr="00D529E4">
        <w:rPr>
          <w:rFonts w:ascii="Times New Roman" w:hAnsi="Times New Roman" w:cs="Times New Roman"/>
          <w:bCs/>
          <w:sz w:val="24"/>
          <w:szCs w:val="24"/>
          <w:lang w:val="ro-RO"/>
        </w:rPr>
        <w:t xml:space="preserve"> de cheltuieli</w:t>
      </w:r>
      <w:r w:rsidR="002B61C5">
        <w:rPr>
          <w:rFonts w:ascii="Times New Roman" w:hAnsi="Times New Roman" w:cs="Times New Roman"/>
          <w:bCs/>
          <w:sz w:val="24"/>
          <w:szCs w:val="24"/>
          <w:lang w:val="ro-RO"/>
        </w:rPr>
        <w:t>,</w:t>
      </w:r>
      <w:r w:rsidR="00DF6B0A" w:rsidRPr="00D529E4">
        <w:rPr>
          <w:rFonts w:ascii="Times New Roman" w:hAnsi="Times New Roman" w:cs="Times New Roman"/>
          <w:bCs/>
          <w:sz w:val="24"/>
          <w:szCs w:val="24"/>
          <w:lang w:val="ro-RO"/>
        </w:rPr>
        <w:t xml:space="preserve"> ,,pregătirea și perfecționarea p</w:t>
      </w:r>
      <w:r w:rsidR="00902E36" w:rsidRPr="00D529E4">
        <w:rPr>
          <w:rFonts w:ascii="Times New Roman" w:hAnsi="Times New Roman" w:cs="Times New Roman"/>
          <w:bCs/>
          <w:sz w:val="24"/>
          <w:szCs w:val="24"/>
          <w:lang w:val="ro-RO"/>
        </w:rPr>
        <w:t>ersonalului”</w:t>
      </w:r>
      <w:r w:rsidR="002B61C5">
        <w:rPr>
          <w:rFonts w:ascii="Times New Roman" w:hAnsi="Times New Roman" w:cs="Times New Roman"/>
          <w:bCs/>
          <w:sz w:val="24"/>
          <w:szCs w:val="24"/>
          <w:lang w:val="ro-RO"/>
        </w:rPr>
        <w:t>,</w:t>
      </w:r>
      <w:r w:rsidR="00902E36" w:rsidRPr="00D529E4">
        <w:rPr>
          <w:rFonts w:ascii="Times New Roman" w:hAnsi="Times New Roman" w:cs="Times New Roman"/>
          <w:bCs/>
          <w:sz w:val="24"/>
          <w:szCs w:val="24"/>
          <w:lang w:val="ro-RO"/>
        </w:rPr>
        <w:t xml:space="preserve"> </w:t>
      </w:r>
      <w:r w:rsidR="00DF6B0A" w:rsidRPr="00D529E4">
        <w:rPr>
          <w:rFonts w:ascii="Times New Roman" w:hAnsi="Times New Roman" w:cs="Times New Roman"/>
          <w:bCs/>
          <w:sz w:val="24"/>
          <w:szCs w:val="24"/>
          <w:lang w:val="ro-RO"/>
        </w:rPr>
        <w:t>în anul 2022 pentru desfășurarea evenimentului de prezentare a Raportului de activitate 2021</w:t>
      </w:r>
      <w:r w:rsidR="002B758F" w:rsidRPr="00D529E4">
        <w:rPr>
          <w:rFonts w:ascii="Times New Roman" w:hAnsi="Times New Roman" w:cs="Times New Roman"/>
          <w:bCs/>
          <w:sz w:val="24"/>
          <w:szCs w:val="24"/>
          <w:lang w:val="ro-RO"/>
        </w:rPr>
        <w:t xml:space="preserve"> au fost executate 74,5 mii lei</w:t>
      </w:r>
      <w:r w:rsidR="00DF6B0A" w:rsidRPr="00D529E4">
        <w:rPr>
          <w:rFonts w:ascii="Times New Roman" w:hAnsi="Times New Roman" w:cs="Times New Roman"/>
          <w:bCs/>
          <w:sz w:val="24"/>
          <w:szCs w:val="24"/>
          <w:lang w:val="ro-RO"/>
        </w:rPr>
        <w:t>.</w:t>
      </w:r>
      <w:r w:rsidR="00DF6B0A" w:rsidRPr="00650D66">
        <w:rPr>
          <w:rFonts w:ascii="Times New Roman" w:hAnsi="Times New Roman" w:cs="Times New Roman"/>
          <w:bCs/>
          <w:sz w:val="24"/>
          <w:szCs w:val="24"/>
          <w:lang w:val="ro-RO"/>
        </w:rPr>
        <w:t xml:space="preserve">  </w:t>
      </w:r>
    </w:p>
    <w:p w14:paraId="0C69BE38" w14:textId="77777777" w:rsidR="00E56DCF" w:rsidRPr="00650D66" w:rsidRDefault="00E56DCF" w:rsidP="004C2A3E">
      <w:pPr>
        <w:tabs>
          <w:tab w:val="left" w:pos="284"/>
        </w:tabs>
        <w:spacing w:after="0" w:line="276" w:lineRule="auto"/>
        <w:jc w:val="both"/>
        <w:rPr>
          <w:rFonts w:ascii="Times New Roman" w:hAnsi="Times New Roman" w:cs="Times New Roman"/>
          <w:sz w:val="6"/>
          <w:szCs w:val="6"/>
          <w:lang w:val="ro-RO"/>
        </w:rPr>
      </w:pPr>
    </w:p>
    <w:p w14:paraId="4FB32935" w14:textId="270A1B9A" w:rsidR="00537C20" w:rsidRPr="00650D66" w:rsidRDefault="004C2A3E" w:rsidP="005747C7">
      <w:pPr>
        <w:pStyle w:val="ListParagraph"/>
        <w:tabs>
          <w:tab w:val="left" w:pos="426"/>
        </w:tabs>
        <w:spacing w:after="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BNM</w:t>
      </w:r>
      <w:r w:rsidR="002B61C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la momentul efectuării auditului</w:t>
      </w:r>
      <w:r w:rsidR="002B61C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a afirmat că Regulamentul privind cheltuielile de reprezentanță a fost completat cu </w:t>
      </w:r>
      <w:r w:rsidR="00414674">
        <w:rPr>
          <w:rFonts w:ascii="Times New Roman" w:hAnsi="Times New Roman" w:cs="Times New Roman"/>
          <w:sz w:val="24"/>
          <w:szCs w:val="24"/>
          <w:lang w:val="ro-RO"/>
        </w:rPr>
        <w:t>„</w:t>
      </w:r>
      <w:r w:rsidRPr="00650D66">
        <w:rPr>
          <w:rFonts w:ascii="Times New Roman" w:hAnsi="Times New Roman" w:cs="Times New Roman"/>
          <w:sz w:val="24"/>
          <w:szCs w:val="24"/>
          <w:lang w:val="ro-RO"/>
        </w:rPr>
        <w:t>cheltuielile privind organizarea evenimentelor de promovare a imaginii BNM</w:t>
      </w:r>
      <w:r w:rsidR="00414674">
        <w:rPr>
          <w:rFonts w:ascii="Times New Roman" w:hAnsi="Times New Roman" w:cs="Times New Roman"/>
          <w:sz w:val="24"/>
          <w:szCs w:val="24"/>
          <w:lang w:val="ro-RO"/>
        </w:rPr>
        <w:t>”</w:t>
      </w:r>
      <w:r w:rsidRPr="00650D66">
        <w:rPr>
          <w:rFonts w:ascii="Times New Roman" w:hAnsi="Times New Roman" w:cs="Times New Roman"/>
          <w:sz w:val="24"/>
          <w:szCs w:val="24"/>
          <w:lang w:val="ro-RO"/>
        </w:rPr>
        <w:t>, urmând a fi aprobat până la 31.12.2023.</w:t>
      </w:r>
      <w:r w:rsidR="00D20B14" w:rsidRPr="00650D66">
        <w:rPr>
          <w:rFonts w:ascii="Times New Roman" w:hAnsi="Times New Roman" w:cs="Times New Roman"/>
          <w:sz w:val="24"/>
          <w:szCs w:val="24"/>
          <w:lang w:val="ro-RO"/>
        </w:rPr>
        <w:t xml:space="preserve"> </w:t>
      </w:r>
      <w:r w:rsidR="00414674">
        <w:rPr>
          <w:rFonts w:ascii="Times New Roman" w:hAnsi="Times New Roman" w:cs="Times New Roman"/>
          <w:sz w:val="24"/>
          <w:szCs w:val="24"/>
          <w:lang w:val="ro-RO"/>
        </w:rPr>
        <w:t>BNM</w:t>
      </w:r>
      <w:r w:rsidR="00D20B14" w:rsidRPr="00650D66">
        <w:rPr>
          <w:rFonts w:ascii="Times New Roman" w:hAnsi="Times New Roman" w:cs="Times New Roman"/>
          <w:sz w:val="24"/>
          <w:szCs w:val="24"/>
          <w:lang w:val="ro-RO"/>
        </w:rPr>
        <w:t xml:space="preserve"> a comunicat că Regulamentul </w:t>
      </w:r>
      <w:r w:rsidR="00D20B14" w:rsidRPr="00650D66">
        <w:rPr>
          <w:rFonts w:ascii="Times New Roman" w:hAnsi="Times New Roman" w:cs="Times New Roman"/>
          <w:sz w:val="24"/>
          <w:szCs w:val="24"/>
          <w:lang w:val="ro-RO"/>
        </w:rPr>
        <w:lastRenderedPageBreak/>
        <w:t>privind cheltuielile de reprezentanță va fi abrogat și aprobat un nou Regulament</w:t>
      </w:r>
      <w:r w:rsidR="00414674">
        <w:rPr>
          <w:rFonts w:ascii="Times New Roman" w:hAnsi="Times New Roman" w:cs="Times New Roman"/>
          <w:sz w:val="24"/>
          <w:szCs w:val="24"/>
          <w:lang w:val="ro-RO"/>
        </w:rPr>
        <w:t xml:space="preserve"> privind</w:t>
      </w:r>
      <w:r w:rsidR="00D20B14" w:rsidRPr="00650D66">
        <w:rPr>
          <w:rFonts w:ascii="Times New Roman" w:hAnsi="Times New Roman" w:cs="Times New Roman"/>
          <w:sz w:val="24"/>
          <w:szCs w:val="24"/>
          <w:lang w:val="ro-RO"/>
        </w:rPr>
        <w:t xml:space="preserve"> evenimente</w:t>
      </w:r>
      <w:r w:rsidR="00414674">
        <w:rPr>
          <w:rFonts w:ascii="Times New Roman" w:hAnsi="Times New Roman" w:cs="Times New Roman"/>
          <w:sz w:val="24"/>
          <w:szCs w:val="24"/>
          <w:lang w:val="ro-RO"/>
        </w:rPr>
        <w:t>le</w:t>
      </w:r>
      <w:r w:rsidR="00D20B14" w:rsidRPr="00650D66">
        <w:rPr>
          <w:rFonts w:ascii="Times New Roman" w:hAnsi="Times New Roman" w:cs="Times New Roman"/>
          <w:sz w:val="24"/>
          <w:szCs w:val="24"/>
          <w:lang w:val="ro-RO"/>
        </w:rPr>
        <w:t xml:space="preserve"> interne și externe care va cuprinde un spectru mai larg de cheltuieli.</w:t>
      </w:r>
    </w:p>
    <w:p w14:paraId="2740BF4E" w14:textId="77777777" w:rsidR="00A7034E" w:rsidRPr="00650D66" w:rsidRDefault="00A7034E" w:rsidP="005747C7">
      <w:pPr>
        <w:pStyle w:val="ListParagraph"/>
        <w:tabs>
          <w:tab w:val="left" w:pos="426"/>
        </w:tabs>
        <w:spacing w:after="0" w:line="276" w:lineRule="auto"/>
        <w:ind w:left="0"/>
        <w:jc w:val="both"/>
        <w:rPr>
          <w:rFonts w:ascii="Times New Roman" w:hAnsi="Times New Roman" w:cs="Times New Roman"/>
          <w:sz w:val="24"/>
          <w:szCs w:val="24"/>
          <w:lang w:val="ro-RO"/>
        </w:rPr>
      </w:pPr>
    </w:p>
    <w:p w14:paraId="79F7E022" w14:textId="55C41E3A" w:rsidR="007F0332" w:rsidRPr="00C7590A" w:rsidRDefault="00C7590A" w:rsidP="00C7590A">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4.2.5 </w:t>
      </w:r>
      <w:r w:rsidR="009D082A" w:rsidRPr="00C7590A">
        <w:rPr>
          <w:rFonts w:ascii="Times New Roman" w:hAnsi="Times New Roman" w:cs="Times New Roman"/>
          <w:b/>
          <w:sz w:val="24"/>
          <w:szCs w:val="24"/>
          <w:lang w:val="ro-RO"/>
        </w:rPr>
        <w:t xml:space="preserve">Executarea </w:t>
      </w:r>
      <w:r w:rsidR="008818A5" w:rsidRPr="00C7590A">
        <w:rPr>
          <w:rFonts w:ascii="Times New Roman" w:hAnsi="Times New Roman" w:cs="Times New Roman"/>
          <w:b/>
          <w:sz w:val="24"/>
          <w:szCs w:val="24"/>
          <w:lang w:val="ro-RO"/>
        </w:rPr>
        <w:t>unor c</w:t>
      </w:r>
      <w:r w:rsidR="007F0332" w:rsidRPr="00C7590A">
        <w:rPr>
          <w:rFonts w:ascii="Times New Roman" w:hAnsi="Times New Roman" w:cs="Times New Roman"/>
          <w:b/>
          <w:sz w:val="24"/>
          <w:szCs w:val="24"/>
          <w:lang w:val="ro-RO"/>
        </w:rPr>
        <w:t>heltuieli sociale</w:t>
      </w:r>
      <w:r w:rsidR="008818A5" w:rsidRPr="00C7590A">
        <w:rPr>
          <w:rFonts w:ascii="Times New Roman" w:hAnsi="Times New Roman" w:cs="Times New Roman"/>
          <w:b/>
          <w:sz w:val="24"/>
          <w:szCs w:val="24"/>
          <w:lang w:val="ro-RO"/>
        </w:rPr>
        <w:t xml:space="preserve"> care nu se regăsesc </w:t>
      </w:r>
      <w:r w:rsidR="00395BB7" w:rsidRPr="00C7590A">
        <w:rPr>
          <w:rFonts w:ascii="Times New Roman" w:hAnsi="Times New Roman" w:cs="Times New Roman"/>
          <w:b/>
          <w:sz w:val="24"/>
          <w:szCs w:val="24"/>
          <w:lang w:val="ro-RO"/>
        </w:rPr>
        <w:t xml:space="preserve">expres </w:t>
      </w:r>
      <w:r w:rsidR="009D082A" w:rsidRPr="00C7590A">
        <w:rPr>
          <w:rFonts w:ascii="Times New Roman" w:hAnsi="Times New Roman" w:cs="Times New Roman"/>
          <w:b/>
          <w:sz w:val="24"/>
          <w:szCs w:val="24"/>
          <w:lang w:val="ro-RO"/>
        </w:rPr>
        <w:t>în</w:t>
      </w:r>
      <w:r w:rsidR="00DB0463" w:rsidRPr="00C7590A">
        <w:rPr>
          <w:rFonts w:ascii="Times New Roman" w:hAnsi="Times New Roman" w:cs="Times New Roman"/>
          <w:b/>
          <w:sz w:val="24"/>
          <w:szCs w:val="24"/>
          <w:lang w:val="ro-RO"/>
        </w:rPr>
        <w:t xml:space="preserve"> cadru</w:t>
      </w:r>
      <w:r w:rsidR="009D082A" w:rsidRPr="00C7590A">
        <w:rPr>
          <w:rFonts w:ascii="Times New Roman" w:hAnsi="Times New Roman" w:cs="Times New Roman"/>
          <w:b/>
          <w:sz w:val="24"/>
          <w:szCs w:val="24"/>
          <w:lang w:val="ro-RO"/>
        </w:rPr>
        <w:t>l</w:t>
      </w:r>
      <w:r w:rsidR="00DB0463" w:rsidRPr="00C7590A">
        <w:rPr>
          <w:rFonts w:ascii="Times New Roman" w:hAnsi="Times New Roman" w:cs="Times New Roman"/>
          <w:b/>
          <w:sz w:val="24"/>
          <w:szCs w:val="24"/>
          <w:lang w:val="ro-RO"/>
        </w:rPr>
        <w:t xml:space="preserve"> normativ intern aprobat, iar </w:t>
      </w:r>
      <w:r w:rsidR="009D082A" w:rsidRPr="00C7590A">
        <w:rPr>
          <w:rFonts w:ascii="Times New Roman" w:hAnsi="Times New Roman" w:cs="Times New Roman"/>
          <w:b/>
          <w:sz w:val="24"/>
          <w:szCs w:val="24"/>
          <w:lang w:val="ro-RO"/>
        </w:rPr>
        <w:t>asupra unui</w:t>
      </w:r>
      <w:r w:rsidR="00DB0463" w:rsidRPr="00C7590A">
        <w:rPr>
          <w:rFonts w:ascii="Times New Roman" w:hAnsi="Times New Roman" w:cs="Times New Roman"/>
          <w:b/>
          <w:sz w:val="24"/>
          <w:szCs w:val="24"/>
          <w:lang w:val="ro-RO"/>
        </w:rPr>
        <w:t xml:space="preserve"> obiect</w:t>
      </w:r>
      <w:r w:rsidR="00CE0897" w:rsidRPr="00C7590A">
        <w:rPr>
          <w:rFonts w:ascii="Times New Roman" w:hAnsi="Times New Roman" w:cs="Times New Roman"/>
          <w:b/>
          <w:sz w:val="24"/>
          <w:szCs w:val="24"/>
          <w:lang w:val="ro-RO"/>
        </w:rPr>
        <w:t>iv</w:t>
      </w:r>
      <w:r w:rsidR="00DB0463" w:rsidRPr="00C7590A">
        <w:rPr>
          <w:rFonts w:ascii="Times New Roman" w:hAnsi="Times New Roman" w:cs="Times New Roman"/>
          <w:b/>
          <w:sz w:val="24"/>
          <w:szCs w:val="24"/>
          <w:lang w:val="ro-RO"/>
        </w:rPr>
        <w:t xml:space="preserve"> social</w:t>
      </w:r>
      <w:r w:rsidR="00B454A9" w:rsidRPr="00C7590A">
        <w:rPr>
          <w:rFonts w:ascii="Times New Roman" w:hAnsi="Times New Roman" w:cs="Times New Roman"/>
          <w:b/>
          <w:sz w:val="24"/>
          <w:szCs w:val="24"/>
          <w:lang w:val="ro-RO"/>
        </w:rPr>
        <w:t>-</w:t>
      </w:r>
      <w:r w:rsidR="00DB0463" w:rsidRPr="00C7590A">
        <w:rPr>
          <w:rFonts w:ascii="Times New Roman" w:hAnsi="Times New Roman" w:cs="Times New Roman"/>
          <w:b/>
          <w:sz w:val="24"/>
          <w:szCs w:val="24"/>
          <w:lang w:val="ro-RO"/>
        </w:rPr>
        <w:t>cultural nu a fost înregistrat dreptul de proprietate.</w:t>
      </w:r>
    </w:p>
    <w:p w14:paraId="355E7F86" w14:textId="7F21EF8A" w:rsidR="00205482" w:rsidRPr="00650D66" w:rsidRDefault="00205482" w:rsidP="001C2CD3">
      <w:pPr>
        <w:pStyle w:val="ListParagraph"/>
        <w:tabs>
          <w:tab w:val="left" w:pos="426"/>
        </w:tabs>
        <w:spacing w:after="0" w:line="276" w:lineRule="auto"/>
        <w:ind w:left="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Cheltuielile sociale aprobate pe parcursul anilor 2019-2022 au fost executate la un nivel </w:t>
      </w:r>
      <w:r w:rsidR="008F0634" w:rsidRPr="00650D66">
        <w:rPr>
          <w:rFonts w:ascii="Times New Roman" w:hAnsi="Times New Roman" w:cs="Times New Roman"/>
          <w:sz w:val="24"/>
          <w:szCs w:val="24"/>
          <w:lang w:val="ro-RO"/>
        </w:rPr>
        <w:t>scăzut</w:t>
      </w:r>
      <w:r w:rsidRPr="00650D66">
        <w:rPr>
          <w:rFonts w:ascii="Times New Roman" w:hAnsi="Times New Roman" w:cs="Times New Roman"/>
          <w:sz w:val="24"/>
          <w:szCs w:val="24"/>
          <w:lang w:val="ro-RO"/>
        </w:rPr>
        <w:t xml:space="preserve">, doar în anul 2021 se înregistrează un nivel de executare mai ridicat. Astfel, în anul 2019 au fost executate cheltuieli sociale la nivel de 34,8% (671,9 mii lei), în anul 2020 </w:t>
      </w:r>
      <w:r w:rsidR="00D642FF">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 xml:space="preserve">la nivel de 42,3% (835,1 mii lei), în anul 2021 </w:t>
      </w:r>
      <w:r w:rsidR="00D642FF" w:rsidRPr="00650D66">
        <w:rPr>
          <w:rFonts w:ascii="Times New Roman" w:hAnsi="Times New Roman" w:cs="Times New Roman"/>
          <w:sz w:val="24"/>
          <w:szCs w:val="24"/>
          <w:lang w:val="ro-RO"/>
        </w:rPr>
        <w:t>–</w:t>
      </w:r>
      <w:r w:rsidR="00D642FF">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la nivel de 67,8% (1</w:t>
      </w:r>
      <w:r w:rsidR="00D642FF">
        <w:rPr>
          <w:rFonts w:ascii="Times New Roman" w:hAnsi="Times New Roman" w:cs="Times New Roman"/>
          <w:sz w:val="24"/>
          <w:szCs w:val="24"/>
          <w:lang w:val="ro-RO"/>
        </w:rPr>
        <w:t>.</w:t>
      </w:r>
      <w:r w:rsidRPr="00650D66">
        <w:rPr>
          <w:rFonts w:ascii="Times New Roman" w:hAnsi="Times New Roman" w:cs="Times New Roman"/>
          <w:sz w:val="24"/>
          <w:szCs w:val="24"/>
          <w:lang w:val="ro-RO"/>
        </w:rPr>
        <w:t>261,4 mii lei)</w:t>
      </w:r>
      <w:r w:rsidR="009E0F7D">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în anul 2022 </w:t>
      </w:r>
      <w:r w:rsidR="00D642FF" w:rsidRPr="00650D66">
        <w:rPr>
          <w:rFonts w:ascii="Times New Roman" w:hAnsi="Times New Roman" w:cs="Times New Roman"/>
          <w:sz w:val="24"/>
          <w:szCs w:val="24"/>
          <w:lang w:val="ro-RO"/>
        </w:rPr>
        <w:t>–</w:t>
      </w:r>
      <w:r w:rsidR="00D642FF">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la nivel de doar 21,7% (1</w:t>
      </w:r>
      <w:r w:rsidR="00D642FF">
        <w:rPr>
          <w:rFonts w:ascii="Times New Roman" w:hAnsi="Times New Roman" w:cs="Times New Roman"/>
          <w:sz w:val="24"/>
          <w:szCs w:val="24"/>
          <w:lang w:val="ro-RO"/>
        </w:rPr>
        <w:t>.</w:t>
      </w:r>
      <w:r w:rsidRPr="00650D66">
        <w:rPr>
          <w:rFonts w:ascii="Times New Roman" w:hAnsi="Times New Roman" w:cs="Times New Roman"/>
          <w:sz w:val="24"/>
          <w:szCs w:val="24"/>
          <w:lang w:val="ro-RO"/>
        </w:rPr>
        <w:t>183,3 mii lei).</w:t>
      </w:r>
    </w:p>
    <w:p w14:paraId="054F053C" w14:textId="77777777" w:rsidR="001C2CD3" w:rsidRPr="00650D66" w:rsidRDefault="001C2CD3" w:rsidP="001C2CD3">
      <w:pPr>
        <w:pStyle w:val="ListParagraph"/>
        <w:tabs>
          <w:tab w:val="left" w:pos="426"/>
        </w:tabs>
        <w:spacing w:after="0" w:line="276" w:lineRule="auto"/>
        <w:ind w:left="0"/>
        <w:jc w:val="both"/>
        <w:rPr>
          <w:rFonts w:ascii="Times New Roman" w:hAnsi="Times New Roman" w:cs="Times New Roman"/>
          <w:sz w:val="6"/>
          <w:szCs w:val="6"/>
          <w:lang w:val="ro-RO"/>
        </w:rPr>
      </w:pPr>
    </w:p>
    <w:p w14:paraId="43888233" w14:textId="24252A4E" w:rsidR="001C2CD3" w:rsidRPr="00650D66" w:rsidRDefault="00932C0D" w:rsidP="001C2CD3">
      <w:pPr>
        <w:spacing w:after="0" w:line="276" w:lineRule="auto"/>
        <w:jc w:val="both"/>
        <w:rPr>
          <w:rFonts w:ascii="Times New Roman" w:eastAsia="Times New Roman" w:hAnsi="Times New Roman" w:cs="Times New Roman"/>
          <w:color w:val="000000"/>
          <w:sz w:val="24"/>
          <w:szCs w:val="24"/>
          <w:lang w:val="ro-RO"/>
        </w:rPr>
      </w:pPr>
      <w:r w:rsidRPr="00650D66">
        <w:rPr>
          <w:rFonts w:ascii="Times New Roman" w:hAnsi="Times New Roman" w:cs="Times New Roman"/>
          <w:sz w:val="24"/>
          <w:szCs w:val="24"/>
          <w:lang w:val="ro-RO"/>
        </w:rPr>
        <w:t>În perioada auditată, c</w:t>
      </w:r>
      <w:r w:rsidR="001C2CD3" w:rsidRPr="00650D66">
        <w:rPr>
          <w:rFonts w:ascii="Times New Roman" w:hAnsi="Times New Roman" w:cs="Times New Roman"/>
          <w:sz w:val="24"/>
          <w:szCs w:val="24"/>
          <w:lang w:val="ro-RO"/>
        </w:rPr>
        <w:t xml:space="preserve">ea mai semnificativă pondere de executare a cheltuielilor sociale se înregistrează pentru: </w:t>
      </w:r>
      <w:r w:rsidR="001C2CD3" w:rsidRPr="00650D66">
        <w:rPr>
          <w:rFonts w:ascii="Times New Roman" w:hAnsi="Times New Roman" w:cs="Times New Roman"/>
          <w:i/>
          <w:sz w:val="24"/>
          <w:szCs w:val="24"/>
          <w:lang w:val="ro-RO"/>
        </w:rPr>
        <w:t>(i)</w:t>
      </w:r>
      <w:r w:rsidR="001C2CD3" w:rsidRPr="00650D66">
        <w:rPr>
          <w:rFonts w:ascii="Times New Roman" w:hAnsi="Times New Roman" w:cs="Times New Roman"/>
          <w:sz w:val="24"/>
          <w:szCs w:val="24"/>
          <w:lang w:val="ro-RO"/>
        </w:rPr>
        <w:t xml:space="preserve"> </w:t>
      </w:r>
      <w:r w:rsidR="001C2CD3" w:rsidRPr="00650D66">
        <w:rPr>
          <w:rFonts w:ascii="Times New Roman" w:eastAsia="Times New Roman" w:hAnsi="Times New Roman" w:cs="Times New Roman"/>
          <w:color w:val="000000"/>
          <w:sz w:val="24"/>
          <w:szCs w:val="24"/>
          <w:lang w:val="ro-RO"/>
        </w:rPr>
        <w:t>asigurări facultative de sănătate – 1</w:t>
      </w:r>
      <w:r w:rsidR="009E0F7D">
        <w:rPr>
          <w:rFonts w:ascii="Times New Roman" w:eastAsia="Times New Roman" w:hAnsi="Times New Roman" w:cs="Times New Roman"/>
          <w:color w:val="000000"/>
          <w:sz w:val="24"/>
          <w:szCs w:val="24"/>
          <w:lang w:val="ro-RO"/>
        </w:rPr>
        <w:t>.</w:t>
      </w:r>
      <w:r w:rsidR="001C2CD3" w:rsidRPr="00650D66">
        <w:rPr>
          <w:rFonts w:ascii="Times New Roman" w:eastAsia="Times New Roman" w:hAnsi="Times New Roman" w:cs="Times New Roman"/>
          <w:color w:val="000000"/>
          <w:sz w:val="24"/>
          <w:szCs w:val="24"/>
          <w:lang w:val="ro-RO"/>
        </w:rPr>
        <w:t xml:space="preserve">657,05 mii lei, </w:t>
      </w:r>
      <w:r w:rsidR="001C2CD3" w:rsidRPr="00650D66">
        <w:rPr>
          <w:rFonts w:ascii="Times New Roman" w:eastAsia="Times New Roman" w:hAnsi="Times New Roman" w:cs="Times New Roman"/>
          <w:i/>
          <w:color w:val="000000"/>
          <w:sz w:val="24"/>
          <w:szCs w:val="24"/>
          <w:lang w:val="ro-RO"/>
        </w:rPr>
        <w:t xml:space="preserve">(ii) </w:t>
      </w:r>
      <w:r w:rsidR="001C2CD3" w:rsidRPr="00650D66">
        <w:rPr>
          <w:rFonts w:ascii="Times New Roman" w:eastAsia="Times New Roman" w:hAnsi="Times New Roman" w:cs="Times New Roman"/>
          <w:color w:val="000000"/>
          <w:sz w:val="24"/>
          <w:szCs w:val="24"/>
          <w:lang w:val="ro-RO"/>
        </w:rPr>
        <w:t>ajutor material pensionarilor, invalizilor – 1</w:t>
      </w:r>
      <w:r w:rsidR="009E0F7D">
        <w:rPr>
          <w:rFonts w:ascii="Times New Roman" w:eastAsia="Times New Roman" w:hAnsi="Times New Roman" w:cs="Times New Roman"/>
          <w:color w:val="000000"/>
          <w:sz w:val="24"/>
          <w:szCs w:val="24"/>
          <w:lang w:val="ro-RO"/>
        </w:rPr>
        <w:t>.</w:t>
      </w:r>
      <w:r w:rsidR="001C2CD3" w:rsidRPr="00650D66">
        <w:rPr>
          <w:rFonts w:ascii="Times New Roman" w:eastAsia="Times New Roman" w:hAnsi="Times New Roman" w:cs="Times New Roman"/>
          <w:color w:val="000000"/>
          <w:sz w:val="24"/>
          <w:szCs w:val="24"/>
          <w:lang w:val="ro-RO"/>
        </w:rPr>
        <w:t xml:space="preserve">188,5 mii lei, </w:t>
      </w:r>
      <w:r w:rsidR="001C2CD3" w:rsidRPr="00650D66">
        <w:rPr>
          <w:rFonts w:ascii="Times New Roman" w:eastAsia="Times New Roman" w:hAnsi="Times New Roman" w:cs="Times New Roman"/>
          <w:i/>
          <w:color w:val="000000"/>
          <w:sz w:val="24"/>
          <w:szCs w:val="24"/>
          <w:lang w:val="ro-RO"/>
        </w:rPr>
        <w:t>(iii)</w:t>
      </w:r>
      <w:r w:rsidR="001C2CD3" w:rsidRPr="00650D66">
        <w:rPr>
          <w:rFonts w:ascii="Times New Roman" w:eastAsia="Times New Roman" w:hAnsi="Times New Roman" w:cs="Times New Roman"/>
          <w:color w:val="000000"/>
          <w:sz w:val="24"/>
          <w:szCs w:val="24"/>
          <w:lang w:val="ro-RO"/>
        </w:rPr>
        <w:t xml:space="preserve"> cheltuieli de întreținere și reparație a obiect</w:t>
      </w:r>
      <w:r w:rsidR="00CE0897">
        <w:rPr>
          <w:rFonts w:ascii="Times New Roman" w:eastAsia="Times New Roman" w:hAnsi="Times New Roman" w:cs="Times New Roman"/>
          <w:color w:val="000000"/>
          <w:sz w:val="24"/>
          <w:szCs w:val="24"/>
          <w:lang w:val="ro-RO"/>
        </w:rPr>
        <w:t>iv</w:t>
      </w:r>
      <w:r w:rsidR="001C2CD3" w:rsidRPr="00650D66">
        <w:rPr>
          <w:rFonts w:ascii="Times New Roman" w:eastAsia="Times New Roman" w:hAnsi="Times New Roman" w:cs="Times New Roman"/>
          <w:color w:val="000000"/>
          <w:sz w:val="24"/>
          <w:szCs w:val="24"/>
          <w:lang w:val="ro-RO"/>
        </w:rPr>
        <w:t xml:space="preserve">elor social-culturale </w:t>
      </w:r>
      <w:r w:rsidR="009E0F7D">
        <w:rPr>
          <w:rFonts w:ascii="Times New Roman" w:eastAsia="Times New Roman" w:hAnsi="Times New Roman" w:cs="Times New Roman"/>
          <w:color w:val="000000"/>
          <w:sz w:val="24"/>
          <w:szCs w:val="24"/>
          <w:lang w:val="ro-RO"/>
        </w:rPr>
        <w:t>(</w:t>
      </w:r>
      <w:r w:rsidR="001C2CD3" w:rsidRPr="00650D66">
        <w:rPr>
          <w:rFonts w:ascii="Times New Roman" w:eastAsia="Times New Roman" w:hAnsi="Times New Roman" w:cs="Times New Roman"/>
          <w:color w:val="000000"/>
          <w:sz w:val="24"/>
          <w:szCs w:val="24"/>
          <w:lang w:val="ro-RO"/>
        </w:rPr>
        <w:t>Casa de odihnă ,,La Nistru”</w:t>
      </w:r>
      <w:r w:rsidR="009E0F7D">
        <w:rPr>
          <w:rFonts w:ascii="Times New Roman" w:eastAsia="Times New Roman" w:hAnsi="Times New Roman" w:cs="Times New Roman"/>
          <w:color w:val="000000"/>
          <w:sz w:val="24"/>
          <w:szCs w:val="24"/>
          <w:lang w:val="ro-RO"/>
        </w:rPr>
        <w:t>)</w:t>
      </w:r>
      <w:r w:rsidR="001C2CD3" w:rsidRPr="00650D66">
        <w:rPr>
          <w:rFonts w:ascii="Times New Roman" w:eastAsia="Times New Roman" w:hAnsi="Times New Roman" w:cs="Times New Roman"/>
          <w:color w:val="000000"/>
          <w:sz w:val="24"/>
          <w:szCs w:val="24"/>
          <w:lang w:val="ro-RO"/>
        </w:rPr>
        <w:t xml:space="preserve"> – 281,8 mii lei, </w:t>
      </w:r>
      <w:r w:rsidR="001C2CD3" w:rsidRPr="00650D66">
        <w:rPr>
          <w:rFonts w:ascii="Times New Roman" w:eastAsia="Times New Roman" w:hAnsi="Times New Roman" w:cs="Times New Roman"/>
          <w:i/>
          <w:color w:val="000000"/>
          <w:sz w:val="24"/>
          <w:szCs w:val="24"/>
          <w:lang w:val="ro-RO"/>
        </w:rPr>
        <w:t>(iv)</w:t>
      </w:r>
      <w:r w:rsidR="001C2CD3" w:rsidRPr="00650D66">
        <w:rPr>
          <w:rFonts w:ascii="Times New Roman" w:eastAsia="Times New Roman" w:hAnsi="Times New Roman" w:cs="Times New Roman"/>
          <w:color w:val="000000"/>
          <w:sz w:val="24"/>
          <w:szCs w:val="24"/>
          <w:lang w:val="ro-RO"/>
        </w:rPr>
        <w:t xml:space="preserve"> cheltuieli de întreținere și reparație</w:t>
      </w:r>
      <w:r w:rsidR="00C8366F" w:rsidRPr="00650D66">
        <w:rPr>
          <w:rFonts w:ascii="Times New Roman" w:eastAsia="Times New Roman" w:hAnsi="Times New Roman" w:cs="Times New Roman"/>
          <w:color w:val="000000"/>
          <w:sz w:val="24"/>
          <w:szCs w:val="24"/>
          <w:lang w:val="ro-RO"/>
        </w:rPr>
        <w:t xml:space="preserve"> a obiectelor social-culturale </w:t>
      </w:r>
      <w:r w:rsidR="009E0F7D">
        <w:rPr>
          <w:rFonts w:ascii="Times New Roman" w:eastAsia="Times New Roman" w:hAnsi="Times New Roman" w:cs="Times New Roman"/>
          <w:color w:val="000000"/>
          <w:sz w:val="24"/>
          <w:szCs w:val="24"/>
          <w:lang w:val="ro-RO"/>
        </w:rPr>
        <w:t>(</w:t>
      </w:r>
      <w:r w:rsidR="008954A0" w:rsidRPr="00650D66">
        <w:rPr>
          <w:rFonts w:ascii="Times New Roman" w:eastAsia="Times New Roman" w:hAnsi="Times New Roman" w:cs="Times New Roman"/>
          <w:color w:val="000000"/>
          <w:sz w:val="24"/>
          <w:szCs w:val="24"/>
          <w:lang w:val="ro-RO"/>
        </w:rPr>
        <w:t>,,</w:t>
      </w:r>
      <w:r w:rsidR="00C8366F" w:rsidRPr="00650D66">
        <w:rPr>
          <w:rFonts w:ascii="Times New Roman" w:eastAsia="Times New Roman" w:hAnsi="Times New Roman" w:cs="Times New Roman"/>
          <w:color w:val="000000"/>
          <w:sz w:val="24"/>
          <w:szCs w:val="24"/>
          <w:lang w:val="ro-RO"/>
        </w:rPr>
        <w:t>O</w:t>
      </w:r>
      <w:r w:rsidR="001C2CD3" w:rsidRPr="00650D66">
        <w:rPr>
          <w:rFonts w:ascii="Times New Roman" w:eastAsia="Times New Roman" w:hAnsi="Times New Roman" w:cs="Times New Roman"/>
          <w:color w:val="000000"/>
          <w:sz w:val="24"/>
          <w:szCs w:val="24"/>
          <w:lang w:val="ro-RO"/>
        </w:rPr>
        <w:t>ficiul de protocol nr.9 din Holercani</w:t>
      </w:r>
      <w:r w:rsidR="008954A0" w:rsidRPr="00650D66">
        <w:rPr>
          <w:rFonts w:ascii="Times New Roman" w:eastAsia="Times New Roman" w:hAnsi="Times New Roman" w:cs="Times New Roman"/>
          <w:color w:val="000000"/>
          <w:sz w:val="24"/>
          <w:szCs w:val="24"/>
          <w:lang w:val="ro-RO"/>
        </w:rPr>
        <w:t>”</w:t>
      </w:r>
      <w:r w:rsidR="009E0F7D">
        <w:rPr>
          <w:rFonts w:ascii="Times New Roman" w:eastAsia="Times New Roman" w:hAnsi="Times New Roman" w:cs="Times New Roman"/>
          <w:color w:val="000000"/>
          <w:sz w:val="24"/>
          <w:szCs w:val="24"/>
          <w:lang w:val="ro-RO"/>
        </w:rPr>
        <w:t>)</w:t>
      </w:r>
      <w:r w:rsidR="001C2CD3" w:rsidRPr="00650D66">
        <w:rPr>
          <w:rFonts w:ascii="Times New Roman" w:eastAsia="Times New Roman" w:hAnsi="Times New Roman" w:cs="Times New Roman"/>
          <w:color w:val="000000"/>
          <w:sz w:val="24"/>
          <w:szCs w:val="24"/>
          <w:lang w:val="ro-RO"/>
        </w:rPr>
        <w:t xml:space="preserve"> – 227,7 mii lei</w:t>
      </w:r>
      <w:r w:rsidR="009E0F7D">
        <w:rPr>
          <w:rFonts w:ascii="Times New Roman" w:eastAsia="Times New Roman" w:hAnsi="Times New Roman" w:cs="Times New Roman"/>
          <w:color w:val="000000"/>
          <w:sz w:val="24"/>
          <w:szCs w:val="24"/>
          <w:lang w:val="ro-RO"/>
        </w:rPr>
        <w:t>, precum</w:t>
      </w:r>
      <w:r w:rsidR="001C2CD3" w:rsidRPr="00650D66">
        <w:rPr>
          <w:rFonts w:ascii="Times New Roman" w:eastAsia="Times New Roman" w:hAnsi="Times New Roman" w:cs="Times New Roman"/>
          <w:color w:val="000000"/>
          <w:sz w:val="24"/>
          <w:szCs w:val="24"/>
          <w:lang w:val="ro-RO"/>
        </w:rPr>
        <w:t xml:space="preserve"> și alte cheltuieli.</w:t>
      </w:r>
    </w:p>
    <w:p w14:paraId="66F7A93B" w14:textId="77777777" w:rsidR="00752AE9" w:rsidRPr="00650D66" w:rsidRDefault="00752AE9" w:rsidP="001C2CD3">
      <w:pPr>
        <w:spacing w:after="0" w:line="276" w:lineRule="auto"/>
        <w:jc w:val="both"/>
        <w:rPr>
          <w:rFonts w:ascii="Times New Roman" w:eastAsia="Times New Roman" w:hAnsi="Times New Roman" w:cs="Times New Roman"/>
          <w:color w:val="000000"/>
          <w:sz w:val="6"/>
          <w:szCs w:val="6"/>
          <w:lang w:val="ro-RO"/>
        </w:rPr>
      </w:pPr>
    </w:p>
    <w:p w14:paraId="462419F2" w14:textId="3B03760D" w:rsidR="00EB0BC5" w:rsidRPr="00650D66" w:rsidRDefault="00EB0BC5" w:rsidP="00EB0BC5">
      <w:pPr>
        <w:spacing w:after="0" w:line="276" w:lineRule="auto"/>
        <w:jc w:val="both"/>
        <w:rPr>
          <w:rFonts w:ascii="Times New Roman" w:eastAsia="Times New Roman" w:hAnsi="Times New Roman" w:cs="Times New Roman"/>
          <w:color w:val="000000"/>
          <w:sz w:val="24"/>
          <w:szCs w:val="24"/>
          <w:lang w:val="ro-RO"/>
        </w:rPr>
      </w:pPr>
      <w:r w:rsidRPr="00650D66">
        <w:rPr>
          <w:rFonts w:ascii="Times New Roman" w:eastAsia="Times New Roman" w:hAnsi="Times New Roman" w:cs="Times New Roman"/>
          <w:color w:val="000000"/>
          <w:sz w:val="24"/>
          <w:szCs w:val="24"/>
          <w:lang w:val="ro-RO"/>
        </w:rPr>
        <w:t>Conform art.8 din Legea nr.1585 din 27.02.1998</w:t>
      </w:r>
      <w:r w:rsidRPr="00650D66">
        <w:rPr>
          <w:rFonts w:ascii="Times New Roman" w:eastAsia="Times New Roman" w:hAnsi="Times New Roman" w:cs="Times New Roman"/>
          <w:color w:val="000000"/>
          <w:sz w:val="24"/>
          <w:szCs w:val="24"/>
          <w:vertAlign w:val="superscript"/>
          <w:lang w:val="ro-RO"/>
        </w:rPr>
        <w:footnoteReference w:id="52"/>
      </w:r>
      <w:r w:rsidRPr="00650D66">
        <w:rPr>
          <w:rFonts w:ascii="Times New Roman" w:eastAsia="Times New Roman" w:hAnsi="Times New Roman" w:cs="Times New Roman"/>
          <w:color w:val="000000"/>
          <w:sz w:val="24"/>
          <w:szCs w:val="24"/>
          <w:lang w:val="ro-RO"/>
        </w:rPr>
        <w:t>, v</w:t>
      </w:r>
      <w:r w:rsidRPr="00650D66">
        <w:rPr>
          <w:rFonts w:ascii="Times New Roman" w:eastAsia="Times New Roman" w:hAnsi="Times New Roman" w:cs="Times New Roman"/>
          <w:sz w:val="24"/>
          <w:szCs w:val="24"/>
          <w:lang w:val="ro-RO"/>
        </w:rPr>
        <w:t>olumul serviciilor prestate în cadrul asigurării obligatorii de asisten</w:t>
      </w:r>
      <w:r w:rsidR="009E0F7D">
        <w:rPr>
          <w:rFonts w:ascii="Times New Roman" w:eastAsia="Times New Roman" w:hAnsi="Times New Roman" w:cs="Times New Roman"/>
          <w:sz w:val="24"/>
          <w:szCs w:val="24"/>
          <w:lang w:val="ro-RO"/>
        </w:rPr>
        <w:t>ț</w:t>
      </w:r>
      <w:r w:rsidRPr="00650D66">
        <w:rPr>
          <w:rFonts w:ascii="Times New Roman" w:eastAsia="Times New Roman" w:hAnsi="Times New Roman" w:cs="Times New Roman"/>
          <w:sz w:val="24"/>
          <w:szCs w:val="24"/>
          <w:lang w:val="ro-RO"/>
        </w:rPr>
        <w:t xml:space="preserve">ă medicală poate fi extins în temeiul condițiilor asigurării facultative de sănătate. </w:t>
      </w:r>
      <w:r w:rsidRPr="00650D66">
        <w:rPr>
          <w:rFonts w:ascii="Times New Roman" w:eastAsia="Times New Roman" w:hAnsi="Times New Roman" w:cs="Times New Roman"/>
          <w:color w:val="000000"/>
          <w:sz w:val="24"/>
          <w:szCs w:val="24"/>
          <w:lang w:val="ro-RO"/>
        </w:rPr>
        <w:t>Asigurarea facultativă de sănătate oferă protecție pentru eventualele dereglări a</w:t>
      </w:r>
      <w:r w:rsidR="009E0F7D">
        <w:rPr>
          <w:rFonts w:ascii="Times New Roman" w:eastAsia="Times New Roman" w:hAnsi="Times New Roman" w:cs="Times New Roman"/>
          <w:color w:val="000000"/>
          <w:sz w:val="24"/>
          <w:szCs w:val="24"/>
          <w:lang w:val="ro-RO"/>
        </w:rPr>
        <w:t>le</w:t>
      </w:r>
      <w:r w:rsidRPr="00650D66">
        <w:rPr>
          <w:rFonts w:ascii="Times New Roman" w:eastAsia="Times New Roman" w:hAnsi="Times New Roman" w:cs="Times New Roman"/>
          <w:color w:val="000000"/>
          <w:sz w:val="24"/>
          <w:szCs w:val="24"/>
          <w:lang w:val="ro-RO"/>
        </w:rPr>
        <w:t xml:space="preserve"> sănătății și acces garantat </w:t>
      </w:r>
      <w:r w:rsidR="009E0F7D">
        <w:rPr>
          <w:rFonts w:ascii="Times New Roman" w:eastAsia="Times New Roman" w:hAnsi="Times New Roman" w:cs="Times New Roman"/>
          <w:color w:val="000000"/>
          <w:sz w:val="24"/>
          <w:szCs w:val="24"/>
          <w:lang w:val="ro-RO"/>
        </w:rPr>
        <w:t xml:space="preserve">și </w:t>
      </w:r>
      <w:r w:rsidR="00715CDA" w:rsidRPr="00650D66">
        <w:rPr>
          <w:rFonts w:ascii="Times New Roman" w:eastAsia="Times New Roman" w:hAnsi="Times New Roman" w:cs="Times New Roman"/>
          <w:color w:val="000000"/>
          <w:sz w:val="24"/>
          <w:szCs w:val="24"/>
          <w:lang w:val="ro-RO"/>
        </w:rPr>
        <w:t xml:space="preserve">în timp util </w:t>
      </w:r>
      <w:r w:rsidRPr="00650D66">
        <w:rPr>
          <w:rFonts w:ascii="Times New Roman" w:eastAsia="Times New Roman" w:hAnsi="Times New Roman" w:cs="Times New Roman"/>
          <w:color w:val="000000"/>
          <w:sz w:val="24"/>
          <w:szCs w:val="24"/>
          <w:lang w:val="ro-RO"/>
        </w:rPr>
        <w:t xml:space="preserve">la servicii medicale de calitate oferite atât de instituțiile private, cât și </w:t>
      </w:r>
      <w:r w:rsidR="009E0F7D">
        <w:rPr>
          <w:rFonts w:ascii="Times New Roman" w:eastAsia="Times New Roman" w:hAnsi="Times New Roman" w:cs="Times New Roman"/>
          <w:color w:val="000000"/>
          <w:sz w:val="24"/>
          <w:szCs w:val="24"/>
          <w:lang w:val="ro-RO"/>
        </w:rPr>
        <w:t xml:space="preserve">de </w:t>
      </w:r>
      <w:r w:rsidRPr="00650D66">
        <w:rPr>
          <w:rFonts w:ascii="Times New Roman" w:eastAsia="Times New Roman" w:hAnsi="Times New Roman" w:cs="Times New Roman"/>
          <w:color w:val="000000"/>
          <w:sz w:val="24"/>
          <w:szCs w:val="24"/>
          <w:lang w:val="ro-RO"/>
        </w:rPr>
        <w:t>cele de stat.</w:t>
      </w:r>
    </w:p>
    <w:p w14:paraId="720426C3" w14:textId="77777777" w:rsidR="00EB0BC5" w:rsidRPr="00650D66" w:rsidRDefault="00EB0BC5" w:rsidP="00EB0BC5">
      <w:pPr>
        <w:spacing w:after="0" w:line="276" w:lineRule="auto"/>
        <w:jc w:val="both"/>
        <w:rPr>
          <w:rFonts w:ascii="Times New Roman" w:hAnsi="Times New Roman" w:cs="Times New Roman"/>
          <w:color w:val="313131"/>
          <w:sz w:val="6"/>
          <w:szCs w:val="6"/>
          <w:shd w:val="clear" w:color="auto" w:fill="FFFFFF"/>
          <w:lang w:val="ro-RO"/>
        </w:rPr>
      </w:pPr>
    </w:p>
    <w:p w14:paraId="244FFC7B" w14:textId="0ED4A6BE" w:rsidR="00381C93" w:rsidRPr="00650D66" w:rsidRDefault="00381C93" w:rsidP="00381C93">
      <w:pPr>
        <w:spacing w:after="0" w:line="276" w:lineRule="auto"/>
        <w:jc w:val="both"/>
        <w:rPr>
          <w:rFonts w:ascii="Times New Roman" w:hAnsi="Times New Roman" w:cs="Times New Roman"/>
          <w:color w:val="0D0D0D" w:themeColor="text1" w:themeTint="F2"/>
          <w:sz w:val="24"/>
          <w:szCs w:val="24"/>
          <w:shd w:val="clear" w:color="auto" w:fill="FFFFFF"/>
          <w:lang w:val="ro-RO"/>
        </w:rPr>
      </w:pPr>
      <w:r w:rsidRPr="00650D66">
        <w:rPr>
          <w:rFonts w:ascii="Times New Roman" w:hAnsi="Times New Roman" w:cs="Times New Roman"/>
          <w:color w:val="0D0D0D" w:themeColor="text1" w:themeTint="F2"/>
          <w:sz w:val="24"/>
          <w:szCs w:val="24"/>
          <w:shd w:val="clear" w:color="auto" w:fill="FFFFFF"/>
          <w:lang w:val="ro-RO"/>
        </w:rPr>
        <w:t>Pe parcursul anilor 2019-2022, BNM a încheiat 3 contracte de achiziționare a serviciilor de asigurare facultativă în sumă totală de 2</w:t>
      </w:r>
      <w:r w:rsidR="009E0F7D">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315,7 mii lei, un contract fiind încheiat prin procedura de achiziție COP și 2 contracte </w:t>
      </w:r>
      <w:r w:rsidR="009E0F7D" w:rsidRPr="00650D66">
        <w:rPr>
          <w:rFonts w:ascii="Times New Roman" w:hAnsi="Times New Roman" w:cs="Times New Roman"/>
          <w:sz w:val="24"/>
          <w:szCs w:val="24"/>
          <w:lang w:val="ro-RO"/>
        </w:rPr>
        <w:t>–</w:t>
      </w:r>
      <w:r w:rsidR="009E0F7D">
        <w:rPr>
          <w:rFonts w:ascii="Times New Roman" w:hAnsi="Times New Roman" w:cs="Times New Roman"/>
          <w:sz w:val="24"/>
          <w:szCs w:val="24"/>
          <w:lang w:val="ro-RO"/>
        </w:rPr>
        <w:t xml:space="preserve"> </w:t>
      </w:r>
      <w:r w:rsidRPr="00650D66">
        <w:rPr>
          <w:rFonts w:ascii="Times New Roman" w:hAnsi="Times New Roman" w:cs="Times New Roman"/>
          <w:color w:val="0D0D0D" w:themeColor="text1" w:themeTint="F2"/>
          <w:sz w:val="24"/>
          <w:szCs w:val="24"/>
          <w:shd w:val="clear" w:color="auto" w:fill="FFFFFF"/>
          <w:lang w:val="ro-RO"/>
        </w:rPr>
        <w:t xml:space="preserve">prin LD. </w:t>
      </w:r>
    </w:p>
    <w:p w14:paraId="2B95B50E" w14:textId="55A05A73" w:rsidR="00381C93" w:rsidRPr="00650D66" w:rsidRDefault="00381C93" w:rsidP="00381C93">
      <w:pPr>
        <w:spacing w:after="0" w:line="276" w:lineRule="auto"/>
        <w:jc w:val="both"/>
        <w:rPr>
          <w:rFonts w:ascii="Times New Roman" w:hAnsi="Times New Roman" w:cs="Times New Roman"/>
          <w:i/>
          <w:color w:val="0D0D0D" w:themeColor="text1" w:themeTint="F2"/>
          <w:sz w:val="24"/>
          <w:szCs w:val="24"/>
          <w:shd w:val="clear" w:color="auto" w:fill="FFFFFF"/>
          <w:lang w:val="ro-RO"/>
        </w:rPr>
      </w:pPr>
      <w:r w:rsidRPr="00650D66">
        <w:rPr>
          <w:rFonts w:ascii="Times New Roman" w:hAnsi="Times New Roman" w:cs="Times New Roman"/>
          <w:color w:val="0D0D0D" w:themeColor="text1" w:themeTint="F2"/>
          <w:sz w:val="24"/>
          <w:szCs w:val="24"/>
          <w:shd w:val="clear" w:color="auto" w:fill="FFFFFF"/>
          <w:lang w:val="ro-RO"/>
        </w:rPr>
        <w:t>Astfel, în anul 2019 prin COP s-au contractat servicii în sumă de 625,4 mii lei, pentru perioada</w:t>
      </w:r>
      <w:r w:rsidRPr="00650D66">
        <w:rPr>
          <w:rFonts w:ascii="Times New Roman" w:hAnsi="Times New Roman" w:cs="Times New Roman"/>
          <w:color w:val="0D0D0D" w:themeColor="text1" w:themeTint="F2"/>
          <w:lang w:val="ro-RO"/>
        </w:rPr>
        <w:t xml:space="preserve"> </w:t>
      </w:r>
      <w:r w:rsidRPr="00650D66">
        <w:rPr>
          <w:rFonts w:ascii="Times New Roman" w:hAnsi="Times New Roman" w:cs="Times New Roman"/>
          <w:color w:val="0D0D0D" w:themeColor="text1" w:themeTint="F2"/>
          <w:sz w:val="24"/>
          <w:szCs w:val="24"/>
          <w:shd w:val="clear" w:color="auto" w:fill="FFFFFF"/>
          <w:lang w:val="ro-RO"/>
        </w:rPr>
        <w:t>01.08.2019-31</w:t>
      </w:r>
      <w:r w:rsidR="00A87FF3" w:rsidRPr="00650D66">
        <w:rPr>
          <w:rFonts w:ascii="Times New Roman" w:hAnsi="Times New Roman" w:cs="Times New Roman"/>
          <w:color w:val="0D0D0D" w:themeColor="text1" w:themeTint="F2"/>
          <w:sz w:val="24"/>
          <w:szCs w:val="24"/>
          <w:shd w:val="clear" w:color="auto" w:fill="FFFFFF"/>
          <w:lang w:val="ro-RO"/>
        </w:rPr>
        <w:t xml:space="preserve">.07.2020 </w:t>
      </w:r>
      <w:r w:rsidRPr="00650D66">
        <w:rPr>
          <w:rFonts w:ascii="Times New Roman" w:hAnsi="Times New Roman" w:cs="Times New Roman"/>
          <w:color w:val="0D0D0D" w:themeColor="text1" w:themeTint="F2"/>
          <w:sz w:val="24"/>
          <w:szCs w:val="24"/>
          <w:shd w:val="clear" w:color="auto" w:fill="FFFFFF"/>
          <w:lang w:val="ro-RO"/>
        </w:rPr>
        <w:t>fiind executat</w:t>
      </w:r>
      <w:r w:rsidR="009E0F7D">
        <w:rPr>
          <w:rFonts w:ascii="Times New Roman" w:hAnsi="Times New Roman" w:cs="Times New Roman"/>
          <w:color w:val="0D0D0D" w:themeColor="text1" w:themeTint="F2"/>
          <w:sz w:val="24"/>
          <w:szCs w:val="24"/>
          <w:shd w:val="clear" w:color="auto" w:fill="FFFFFF"/>
          <w:lang w:val="ro-RO"/>
        </w:rPr>
        <w:t>e</w:t>
      </w:r>
      <w:r w:rsidRPr="00650D66">
        <w:rPr>
          <w:rFonts w:ascii="Times New Roman" w:hAnsi="Times New Roman" w:cs="Times New Roman"/>
          <w:color w:val="0D0D0D" w:themeColor="text1" w:themeTint="F2"/>
          <w:sz w:val="24"/>
          <w:szCs w:val="24"/>
          <w:shd w:val="clear" w:color="auto" w:fill="FFFFFF"/>
          <w:lang w:val="ro-RO"/>
        </w:rPr>
        <w:t xml:space="preserve"> la nivel de 90,0%</w:t>
      </w:r>
      <w:r w:rsidR="009E0F7D">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 sau 562,8 mii lei</w:t>
      </w:r>
      <w:r w:rsidR="009E0F7D">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 deoarece BNM</w:t>
      </w:r>
      <w:r w:rsidR="009E0F7D">
        <w:rPr>
          <w:rFonts w:ascii="Times New Roman" w:hAnsi="Times New Roman" w:cs="Times New Roman"/>
          <w:color w:val="0D0D0D" w:themeColor="text1" w:themeTint="F2"/>
          <w:sz w:val="24"/>
          <w:szCs w:val="24"/>
          <w:shd w:val="clear" w:color="auto" w:fill="FFFFFF"/>
          <w:lang w:val="ro-RO"/>
        </w:rPr>
        <w:t>, conform</w:t>
      </w:r>
      <w:r w:rsidRPr="00650D66">
        <w:rPr>
          <w:rFonts w:ascii="Times New Roman" w:hAnsi="Times New Roman" w:cs="Times New Roman"/>
          <w:color w:val="0D0D0D" w:themeColor="text1" w:themeTint="F2"/>
          <w:sz w:val="24"/>
          <w:szCs w:val="24"/>
          <w:shd w:val="clear" w:color="auto" w:fill="FFFFFF"/>
          <w:lang w:val="ro-RO"/>
        </w:rPr>
        <w:t xml:space="preserve"> condițiil</w:t>
      </w:r>
      <w:r w:rsidR="009E0F7D">
        <w:rPr>
          <w:rFonts w:ascii="Times New Roman" w:hAnsi="Times New Roman" w:cs="Times New Roman"/>
          <w:color w:val="0D0D0D" w:themeColor="text1" w:themeTint="F2"/>
          <w:sz w:val="24"/>
          <w:szCs w:val="24"/>
          <w:shd w:val="clear" w:color="auto" w:fill="FFFFFF"/>
          <w:lang w:val="ro-RO"/>
        </w:rPr>
        <w:t>or</w:t>
      </w:r>
      <w:r w:rsidRPr="00650D66">
        <w:rPr>
          <w:rFonts w:ascii="Times New Roman" w:hAnsi="Times New Roman" w:cs="Times New Roman"/>
          <w:color w:val="0D0D0D" w:themeColor="text1" w:themeTint="F2"/>
          <w:sz w:val="24"/>
          <w:szCs w:val="24"/>
          <w:shd w:val="clear" w:color="auto" w:fill="FFFFFF"/>
          <w:lang w:val="ro-RO"/>
        </w:rPr>
        <w:t xml:space="preserve"> contractuale</w:t>
      </w:r>
      <w:r w:rsidR="009E0F7D">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 a obținut 10% reducere la achitarea integrală. Pe parcursul anilor 2019 și 2020, 165 </w:t>
      </w:r>
      <w:r w:rsidR="009E0F7D">
        <w:rPr>
          <w:rFonts w:ascii="Times New Roman" w:hAnsi="Times New Roman" w:cs="Times New Roman"/>
          <w:color w:val="0D0D0D" w:themeColor="text1" w:themeTint="F2"/>
          <w:sz w:val="24"/>
          <w:szCs w:val="24"/>
          <w:shd w:val="clear" w:color="auto" w:fill="FFFFFF"/>
          <w:lang w:val="ro-RO"/>
        </w:rPr>
        <w:t xml:space="preserve">de </w:t>
      </w:r>
      <w:r w:rsidRPr="00650D66">
        <w:rPr>
          <w:rFonts w:ascii="Times New Roman" w:hAnsi="Times New Roman" w:cs="Times New Roman"/>
          <w:color w:val="0D0D0D" w:themeColor="text1" w:themeTint="F2"/>
          <w:sz w:val="24"/>
          <w:szCs w:val="24"/>
          <w:shd w:val="clear" w:color="auto" w:fill="FFFFFF"/>
          <w:lang w:val="ro-RO"/>
        </w:rPr>
        <w:t>persoane</w:t>
      </w:r>
      <w:r w:rsidR="009E0F7D">
        <w:rPr>
          <w:rFonts w:ascii="Times New Roman" w:hAnsi="Times New Roman" w:cs="Times New Roman"/>
          <w:color w:val="0D0D0D" w:themeColor="text1" w:themeTint="F2"/>
          <w:sz w:val="24"/>
          <w:szCs w:val="24"/>
          <w:shd w:val="clear" w:color="auto" w:fill="FFFFFF"/>
          <w:lang w:val="ro-RO"/>
        </w:rPr>
        <w:t xml:space="preserve"> </w:t>
      </w:r>
      <w:r w:rsidR="009E0F7D" w:rsidRPr="00650D66">
        <w:rPr>
          <w:rFonts w:ascii="Times New Roman" w:hAnsi="Times New Roman" w:cs="Times New Roman"/>
          <w:color w:val="0D0D0D" w:themeColor="text1" w:themeTint="F2"/>
          <w:sz w:val="24"/>
          <w:szCs w:val="24"/>
          <w:shd w:val="clear" w:color="auto" w:fill="FFFFFF"/>
          <w:lang w:val="ro-RO"/>
        </w:rPr>
        <w:t>au beneficiat</w:t>
      </w:r>
      <w:r w:rsidR="009E0F7D">
        <w:rPr>
          <w:rFonts w:ascii="Times New Roman" w:hAnsi="Times New Roman" w:cs="Times New Roman"/>
          <w:color w:val="0D0D0D" w:themeColor="text1" w:themeTint="F2"/>
          <w:sz w:val="24"/>
          <w:szCs w:val="24"/>
          <w:shd w:val="clear" w:color="auto" w:fill="FFFFFF"/>
          <w:lang w:val="ro-RO"/>
        </w:rPr>
        <w:t xml:space="preserve"> de aceste servicii</w:t>
      </w:r>
      <w:r w:rsidRPr="00650D66">
        <w:rPr>
          <w:rFonts w:ascii="Times New Roman" w:hAnsi="Times New Roman" w:cs="Times New Roman"/>
          <w:color w:val="0D0D0D" w:themeColor="text1" w:themeTint="F2"/>
          <w:sz w:val="24"/>
          <w:szCs w:val="24"/>
          <w:shd w:val="clear" w:color="auto" w:fill="FFFFFF"/>
          <w:lang w:val="ro-RO"/>
        </w:rPr>
        <w:t>, prima de asigurare pentru o pe</w:t>
      </w:r>
      <w:r w:rsidR="00722154" w:rsidRPr="00650D66">
        <w:rPr>
          <w:rFonts w:ascii="Times New Roman" w:hAnsi="Times New Roman" w:cs="Times New Roman"/>
          <w:color w:val="0D0D0D" w:themeColor="text1" w:themeTint="F2"/>
          <w:sz w:val="24"/>
          <w:szCs w:val="24"/>
          <w:shd w:val="clear" w:color="auto" w:fill="FFFFFF"/>
          <w:lang w:val="ro-RO"/>
        </w:rPr>
        <w:t>rsoană constitui</w:t>
      </w:r>
      <w:r w:rsidR="008F47F0">
        <w:rPr>
          <w:rFonts w:ascii="Times New Roman" w:hAnsi="Times New Roman" w:cs="Times New Roman"/>
          <w:color w:val="0D0D0D" w:themeColor="text1" w:themeTint="F2"/>
          <w:sz w:val="24"/>
          <w:szCs w:val="24"/>
          <w:shd w:val="clear" w:color="auto" w:fill="FFFFFF"/>
          <w:lang w:val="ro-RO"/>
        </w:rPr>
        <w:t>nd</w:t>
      </w:r>
      <w:r w:rsidR="00722154" w:rsidRPr="00650D66">
        <w:rPr>
          <w:rFonts w:ascii="Times New Roman" w:hAnsi="Times New Roman" w:cs="Times New Roman"/>
          <w:color w:val="0D0D0D" w:themeColor="text1" w:themeTint="F2"/>
          <w:sz w:val="24"/>
          <w:szCs w:val="24"/>
          <w:shd w:val="clear" w:color="auto" w:fill="FFFFFF"/>
          <w:lang w:val="ro-RO"/>
        </w:rPr>
        <w:t xml:space="preserve"> 3,8 mii lei.</w:t>
      </w:r>
      <w:r w:rsidR="00B55EF2" w:rsidRPr="00650D66">
        <w:rPr>
          <w:rFonts w:ascii="Times New Roman" w:hAnsi="Times New Roman" w:cs="Times New Roman"/>
          <w:color w:val="0D0D0D" w:themeColor="text1" w:themeTint="F2"/>
          <w:sz w:val="24"/>
          <w:szCs w:val="24"/>
          <w:shd w:val="clear" w:color="auto" w:fill="FFFFFF"/>
          <w:lang w:val="ro-RO"/>
        </w:rPr>
        <w:t xml:space="preserve"> </w:t>
      </w:r>
      <w:r w:rsidRPr="00650D66">
        <w:rPr>
          <w:rFonts w:ascii="Times New Roman" w:hAnsi="Times New Roman" w:cs="Times New Roman"/>
          <w:color w:val="0D0D0D" w:themeColor="text1" w:themeTint="F2"/>
          <w:sz w:val="24"/>
          <w:szCs w:val="24"/>
          <w:shd w:val="clear" w:color="auto" w:fill="FFFFFF"/>
          <w:lang w:val="ro-RO"/>
        </w:rPr>
        <w:t xml:space="preserve">Totodată, prin licitație deschisă în anul 2021 a </w:t>
      </w:r>
      <w:r w:rsidR="008F47F0">
        <w:rPr>
          <w:rFonts w:ascii="Times New Roman" w:hAnsi="Times New Roman" w:cs="Times New Roman"/>
          <w:color w:val="0D0D0D" w:themeColor="text1" w:themeTint="F2"/>
          <w:sz w:val="24"/>
          <w:szCs w:val="24"/>
          <w:shd w:val="clear" w:color="auto" w:fill="FFFFFF"/>
          <w:lang w:val="ro-RO"/>
        </w:rPr>
        <w:t xml:space="preserve">fost </w:t>
      </w:r>
      <w:r w:rsidRPr="00650D66">
        <w:rPr>
          <w:rFonts w:ascii="Times New Roman" w:hAnsi="Times New Roman" w:cs="Times New Roman"/>
          <w:color w:val="0D0D0D" w:themeColor="text1" w:themeTint="F2"/>
          <w:sz w:val="24"/>
          <w:szCs w:val="24"/>
          <w:shd w:val="clear" w:color="auto" w:fill="FFFFFF"/>
          <w:lang w:val="ro-RO"/>
        </w:rPr>
        <w:t>încheiat un contract</w:t>
      </w:r>
      <w:r w:rsidRPr="00650D66">
        <w:rPr>
          <w:rFonts w:ascii="Times New Roman" w:hAnsi="Times New Roman" w:cs="Times New Roman"/>
          <w:color w:val="0D0D0D" w:themeColor="text1" w:themeTint="F2"/>
          <w:sz w:val="24"/>
          <w:szCs w:val="24"/>
          <w:shd w:val="clear" w:color="auto" w:fill="FFFFFF"/>
          <w:vertAlign w:val="superscript"/>
          <w:lang w:val="ro-RO"/>
        </w:rPr>
        <w:footnoteReference w:id="53"/>
      </w:r>
      <w:r w:rsidRPr="00650D66">
        <w:rPr>
          <w:rFonts w:ascii="Times New Roman" w:hAnsi="Times New Roman" w:cs="Times New Roman"/>
          <w:color w:val="0D0D0D" w:themeColor="text1" w:themeTint="F2"/>
          <w:sz w:val="24"/>
          <w:szCs w:val="24"/>
          <w:shd w:val="clear" w:color="auto" w:fill="FFFFFF"/>
          <w:lang w:val="ro-RO"/>
        </w:rPr>
        <w:t xml:space="preserve"> de asigurare medicală benevolă în sumă de 734,5 mii lei</w:t>
      </w:r>
      <w:r w:rsidR="009E0F7D">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 </w:t>
      </w:r>
      <w:r w:rsidR="008F47F0">
        <w:rPr>
          <w:rFonts w:ascii="Times New Roman" w:hAnsi="Times New Roman" w:cs="Times New Roman"/>
          <w:color w:val="0D0D0D" w:themeColor="text1" w:themeTint="F2"/>
          <w:sz w:val="24"/>
          <w:szCs w:val="24"/>
          <w:shd w:val="clear" w:color="auto" w:fill="FFFFFF"/>
          <w:lang w:val="ro-RO"/>
        </w:rPr>
        <w:t xml:space="preserve">acesta </w:t>
      </w:r>
      <w:r w:rsidRPr="00650D66">
        <w:rPr>
          <w:rFonts w:ascii="Times New Roman" w:hAnsi="Times New Roman" w:cs="Times New Roman"/>
          <w:color w:val="0D0D0D" w:themeColor="text1" w:themeTint="F2"/>
          <w:sz w:val="24"/>
          <w:szCs w:val="24"/>
          <w:shd w:val="clear" w:color="auto" w:fill="FFFFFF"/>
          <w:lang w:val="ro-RO"/>
        </w:rPr>
        <w:t xml:space="preserve">fiind executat integral, </w:t>
      </w:r>
      <w:r w:rsidR="009E0F7D">
        <w:rPr>
          <w:rFonts w:ascii="Times New Roman" w:hAnsi="Times New Roman" w:cs="Times New Roman"/>
          <w:color w:val="0D0D0D" w:themeColor="text1" w:themeTint="F2"/>
          <w:sz w:val="24"/>
          <w:szCs w:val="24"/>
          <w:shd w:val="clear" w:color="auto" w:fill="FFFFFF"/>
          <w:lang w:val="ro-RO"/>
        </w:rPr>
        <w:t xml:space="preserve">de servicii </w:t>
      </w:r>
      <w:r w:rsidRPr="00650D66">
        <w:rPr>
          <w:rFonts w:ascii="Times New Roman" w:hAnsi="Times New Roman" w:cs="Times New Roman"/>
          <w:color w:val="0D0D0D" w:themeColor="text1" w:themeTint="F2"/>
          <w:sz w:val="24"/>
          <w:szCs w:val="24"/>
          <w:shd w:val="clear" w:color="auto" w:fill="FFFFFF"/>
          <w:lang w:val="ro-RO"/>
        </w:rPr>
        <w:t xml:space="preserve">beneficiind 130 </w:t>
      </w:r>
      <w:r w:rsidR="009E0F7D">
        <w:rPr>
          <w:rFonts w:ascii="Times New Roman" w:hAnsi="Times New Roman" w:cs="Times New Roman"/>
          <w:color w:val="0D0D0D" w:themeColor="text1" w:themeTint="F2"/>
          <w:sz w:val="24"/>
          <w:szCs w:val="24"/>
          <w:shd w:val="clear" w:color="auto" w:fill="FFFFFF"/>
          <w:lang w:val="ro-RO"/>
        </w:rPr>
        <w:t xml:space="preserve">de </w:t>
      </w:r>
      <w:r w:rsidRPr="00650D66">
        <w:rPr>
          <w:rFonts w:ascii="Times New Roman" w:hAnsi="Times New Roman" w:cs="Times New Roman"/>
          <w:color w:val="0D0D0D" w:themeColor="text1" w:themeTint="F2"/>
          <w:sz w:val="24"/>
          <w:szCs w:val="24"/>
          <w:shd w:val="clear" w:color="auto" w:fill="FFFFFF"/>
          <w:lang w:val="ro-RO"/>
        </w:rPr>
        <w:t>persoane</w:t>
      </w:r>
      <w:r w:rsidR="008F47F0">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 </w:t>
      </w:r>
      <w:r w:rsidR="008F47F0">
        <w:rPr>
          <w:rFonts w:ascii="Times New Roman" w:hAnsi="Times New Roman" w:cs="Times New Roman"/>
          <w:color w:val="0D0D0D" w:themeColor="text1" w:themeTint="F2"/>
          <w:sz w:val="24"/>
          <w:szCs w:val="24"/>
          <w:shd w:val="clear" w:color="auto" w:fill="FFFFFF"/>
          <w:lang w:val="ro-RO"/>
        </w:rPr>
        <w:t>Î</w:t>
      </w:r>
      <w:r w:rsidRPr="00650D66">
        <w:rPr>
          <w:rFonts w:ascii="Times New Roman" w:hAnsi="Times New Roman" w:cs="Times New Roman"/>
          <w:color w:val="0D0D0D" w:themeColor="text1" w:themeTint="F2"/>
          <w:sz w:val="24"/>
          <w:szCs w:val="24"/>
          <w:shd w:val="clear" w:color="auto" w:fill="FFFFFF"/>
          <w:lang w:val="ro-RO"/>
        </w:rPr>
        <w:t>n anul 2022 a</w:t>
      </w:r>
      <w:r w:rsidR="009E0F7D">
        <w:rPr>
          <w:rFonts w:ascii="Times New Roman" w:hAnsi="Times New Roman" w:cs="Times New Roman"/>
          <w:color w:val="0D0D0D" w:themeColor="text1" w:themeTint="F2"/>
          <w:sz w:val="24"/>
          <w:szCs w:val="24"/>
          <w:shd w:val="clear" w:color="auto" w:fill="FFFFFF"/>
          <w:lang w:val="ro-RO"/>
        </w:rPr>
        <w:t>u fost</w:t>
      </w:r>
      <w:r w:rsidRPr="00650D66">
        <w:rPr>
          <w:rFonts w:ascii="Times New Roman" w:hAnsi="Times New Roman" w:cs="Times New Roman"/>
          <w:color w:val="0D0D0D" w:themeColor="text1" w:themeTint="F2"/>
          <w:sz w:val="24"/>
          <w:szCs w:val="24"/>
          <w:shd w:val="clear" w:color="auto" w:fill="FFFFFF"/>
          <w:lang w:val="ro-RO"/>
        </w:rPr>
        <w:t xml:space="preserve"> contractat</w:t>
      </w:r>
      <w:r w:rsidR="009E0F7D">
        <w:rPr>
          <w:rFonts w:ascii="Times New Roman" w:hAnsi="Times New Roman" w:cs="Times New Roman"/>
          <w:color w:val="0D0D0D" w:themeColor="text1" w:themeTint="F2"/>
          <w:sz w:val="24"/>
          <w:szCs w:val="24"/>
          <w:shd w:val="clear" w:color="auto" w:fill="FFFFFF"/>
          <w:lang w:val="ro-RO"/>
        </w:rPr>
        <w:t>e servicii</w:t>
      </w:r>
      <w:r w:rsidRPr="00650D66">
        <w:rPr>
          <w:rFonts w:ascii="Times New Roman" w:hAnsi="Times New Roman" w:cs="Times New Roman"/>
          <w:color w:val="0D0D0D" w:themeColor="text1" w:themeTint="F2"/>
          <w:sz w:val="24"/>
          <w:szCs w:val="24"/>
          <w:shd w:val="clear" w:color="auto" w:fill="FFFFFF"/>
          <w:lang w:val="ro-RO"/>
        </w:rPr>
        <w:t xml:space="preserve"> în sumă de 955,8 mii lei</w:t>
      </w:r>
      <w:r w:rsidR="009E0F7D">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 dar a</w:t>
      </w:r>
      <w:r w:rsidR="009E0F7D">
        <w:rPr>
          <w:rFonts w:ascii="Times New Roman" w:hAnsi="Times New Roman" w:cs="Times New Roman"/>
          <w:color w:val="0D0D0D" w:themeColor="text1" w:themeTint="F2"/>
          <w:sz w:val="24"/>
          <w:szCs w:val="24"/>
          <w:shd w:val="clear" w:color="auto" w:fill="FFFFFF"/>
          <w:lang w:val="ro-RO"/>
        </w:rPr>
        <w:t>u</w:t>
      </w:r>
      <w:r w:rsidRPr="00650D66">
        <w:rPr>
          <w:rFonts w:ascii="Times New Roman" w:hAnsi="Times New Roman" w:cs="Times New Roman"/>
          <w:color w:val="0D0D0D" w:themeColor="text1" w:themeTint="F2"/>
          <w:sz w:val="24"/>
          <w:szCs w:val="24"/>
          <w:shd w:val="clear" w:color="auto" w:fill="FFFFFF"/>
          <w:lang w:val="ro-RO"/>
        </w:rPr>
        <w:t xml:space="preserve"> </w:t>
      </w:r>
      <w:r w:rsidR="008F47F0">
        <w:rPr>
          <w:rFonts w:ascii="Times New Roman" w:hAnsi="Times New Roman" w:cs="Times New Roman"/>
          <w:color w:val="0D0D0D" w:themeColor="text1" w:themeTint="F2"/>
          <w:sz w:val="24"/>
          <w:szCs w:val="24"/>
          <w:shd w:val="clear" w:color="auto" w:fill="FFFFFF"/>
          <w:lang w:val="ro-RO"/>
        </w:rPr>
        <w:t xml:space="preserve">fost </w:t>
      </w:r>
      <w:r w:rsidRPr="00650D66">
        <w:rPr>
          <w:rFonts w:ascii="Times New Roman" w:hAnsi="Times New Roman" w:cs="Times New Roman"/>
          <w:color w:val="0D0D0D" w:themeColor="text1" w:themeTint="F2"/>
          <w:sz w:val="24"/>
          <w:szCs w:val="24"/>
          <w:shd w:val="clear" w:color="auto" w:fill="FFFFFF"/>
          <w:lang w:val="ro-RO"/>
        </w:rPr>
        <w:t>executat</w:t>
      </w:r>
      <w:r w:rsidR="008F47F0">
        <w:rPr>
          <w:rFonts w:ascii="Times New Roman" w:hAnsi="Times New Roman" w:cs="Times New Roman"/>
          <w:color w:val="0D0D0D" w:themeColor="text1" w:themeTint="F2"/>
          <w:sz w:val="24"/>
          <w:szCs w:val="24"/>
          <w:shd w:val="clear" w:color="auto" w:fill="FFFFFF"/>
          <w:lang w:val="ro-RO"/>
        </w:rPr>
        <w:t>e</w:t>
      </w:r>
      <w:r w:rsidRPr="00650D66">
        <w:rPr>
          <w:rFonts w:ascii="Times New Roman" w:hAnsi="Times New Roman" w:cs="Times New Roman"/>
          <w:color w:val="0D0D0D" w:themeColor="text1" w:themeTint="F2"/>
          <w:sz w:val="24"/>
          <w:szCs w:val="24"/>
          <w:shd w:val="clear" w:color="auto" w:fill="FFFFFF"/>
          <w:lang w:val="ro-RO"/>
        </w:rPr>
        <w:t xml:space="preserve"> cheltuieli în sumă de </w:t>
      </w:r>
      <w:r w:rsidR="008F47F0">
        <w:rPr>
          <w:rFonts w:ascii="Times New Roman" w:hAnsi="Times New Roman" w:cs="Times New Roman"/>
          <w:color w:val="0D0D0D" w:themeColor="text1" w:themeTint="F2"/>
          <w:sz w:val="24"/>
          <w:szCs w:val="24"/>
          <w:shd w:val="clear" w:color="auto" w:fill="FFFFFF"/>
          <w:lang w:val="ro-RO"/>
        </w:rPr>
        <w:t xml:space="preserve">numai </w:t>
      </w:r>
      <w:r w:rsidRPr="00650D66">
        <w:rPr>
          <w:rFonts w:ascii="Times New Roman" w:hAnsi="Times New Roman" w:cs="Times New Roman"/>
          <w:color w:val="0D0D0D" w:themeColor="text1" w:themeTint="F2"/>
          <w:sz w:val="24"/>
          <w:szCs w:val="24"/>
          <w:shd w:val="clear" w:color="auto" w:fill="FFFFFF"/>
          <w:lang w:val="ro-RO"/>
        </w:rPr>
        <w:t>359,7 mii lei</w:t>
      </w:r>
      <w:r w:rsidR="008F47F0">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 deoarece termenul contractului </w:t>
      </w:r>
      <w:r w:rsidR="008F47F0">
        <w:rPr>
          <w:rFonts w:ascii="Times New Roman" w:hAnsi="Times New Roman" w:cs="Times New Roman"/>
          <w:color w:val="0D0D0D" w:themeColor="text1" w:themeTint="F2"/>
          <w:sz w:val="24"/>
          <w:szCs w:val="24"/>
          <w:shd w:val="clear" w:color="auto" w:fill="FFFFFF"/>
          <w:lang w:val="ro-RO"/>
        </w:rPr>
        <w:t>a expirat la</w:t>
      </w:r>
      <w:r w:rsidRPr="00650D66">
        <w:rPr>
          <w:rFonts w:ascii="Times New Roman" w:hAnsi="Times New Roman" w:cs="Times New Roman"/>
          <w:color w:val="0D0D0D" w:themeColor="text1" w:themeTint="F2"/>
          <w:sz w:val="24"/>
          <w:szCs w:val="24"/>
          <w:shd w:val="clear" w:color="auto" w:fill="FFFFFF"/>
          <w:lang w:val="ro-RO"/>
        </w:rPr>
        <w:t xml:space="preserve"> 15 august 2023, de </w:t>
      </w:r>
      <w:r w:rsidR="008F47F0">
        <w:rPr>
          <w:rFonts w:ascii="Times New Roman" w:hAnsi="Times New Roman" w:cs="Times New Roman"/>
          <w:color w:val="0D0D0D" w:themeColor="text1" w:themeTint="F2"/>
          <w:sz w:val="24"/>
          <w:szCs w:val="24"/>
          <w:shd w:val="clear" w:color="auto" w:fill="FFFFFF"/>
          <w:lang w:val="ro-RO"/>
        </w:rPr>
        <w:t>aceste servicii</w:t>
      </w:r>
      <w:r w:rsidRPr="00650D66">
        <w:rPr>
          <w:rFonts w:ascii="Times New Roman" w:hAnsi="Times New Roman" w:cs="Times New Roman"/>
          <w:color w:val="0D0D0D" w:themeColor="text1" w:themeTint="F2"/>
          <w:sz w:val="24"/>
          <w:szCs w:val="24"/>
          <w:shd w:val="clear" w:color="auto" w:fill="FFFFFF"/>
          <w:lang w:val="ro-RO"/>
        </w:rPr>
        <w:t xml:space="preserve"> benefici</w:t>
      </w:r>
      <w:r w:rsidR="008F47F0">
        <w:rPr>
          <w:rFonts w:ascii="Times New Roman" w:hAnsi="Times New Roman" w:cs="Times New Roman"/>
          <w:color w:val="0D0D0D" w:themeColor="text1" w:themeTint="F2"/>
          <w:sz w:val="24"/>
          <w:szCs w:val="24"/>
          <w:shd w:val="clear" w:color="auto" w:fill="FFFFFF"/>
          <w:lang w:val="ro-RO"/>
        </w:rPr>
        <w:t>ind</w:t>
      </w:r>
      <w:r w:rsidRPr="00650D66">
        <w:rPr>
          <w:rFonts w:ascii="Times New Roman" w:hAnsi="Times New Roman" w:cs="Times New Roman"/>
          <w:color w:val="0D0D0D" w:themeColor="text1" w:themeTint="F2"/>
          <w:sz w:val="24"/>
          <w:szCs w:val="24"/>
          <w:shd w:val="clear" w:color="auto" w:fill="FFFFFF"/>
          <w:lang w:val="ro-RO"/>
        </w:rPr>
        <w:t xml:space="preserve"> 162 </w:t>
      </w:r>
      <w:r w:rsidR="008F47F0">
        <w:rPr>
          <w:rFonts w:ascii="Times New Roman" w:hAnsi="Times New Roman" w:cs="Times New Roman"/>
          <w:color w:val="0D0D0D" w:themeColor="text1" w:themeTint="F2"/>
          <w:sz w:val="24"/>
          <w:szCs w:val="24"/>
          <w:shd w:val="clear" w:color="auto" w:fill="FFFFFF"/>
          <w:lang w:val="ro-RO"/>
        </w:rPr>
        <w:t xml:space="preserve">de </w:t>
      </w:r>
      <w:r w:rsidRPr="00650D66">
        <w:rPr>
          <w:rFonts w:ascii="Times New Roman" w:hAnsi="Times New Roman" w:cs="Times New Roman"/>
          <w:color w:val="0D0D0D" w:themeColor="text1" w:themeTint="F2"/>
          <w:sz w:val="24"/>
          <w:szCs w:val="24"/>
          <w:shd w:val="clear" w:color="auto" w:fill="FFFFFF"/>
          <w:lang w:val="ro-RO"/>
        </w:rPr>
        <w:t>persoane (actualizat ulterior). Potrivit prevederilor contractuale</w:t>
      </w:r>
      <w:r w:rsidR="008F47F0">
        <w:rPr>
          <w:rFonts w:ascii="Times New Roman" w:hAnsi="Times New Roman" w:cs="Times New Roman"/>
          <w:color w:val="0D0D0D" w:themeColor="text1" w:themeTint="F2"/>
          <w:sz w:val="24"/>
          <w:szCs w:val="24"/>
          <w:shd w:val="clear" w:color="auto" w:fill="FFFFFF"/>
          <w:lang w:val="ro-RO"/>
        </w:rPr>
        <w:t>,</w:t>
      </w:r>
      <w:r w:rsidRPr="00650D66">
        <w:rPr>
          <w:rFonts w:ascii="Times New Roman" w:hAnsi="Times New Roman" w:cs="Times New Roman"/>
          <w:color w:val="0D0D0D" w:themeColor="text1" w:themeTint="F2"/>
          <w:sz w:val="24"/>
          <w:szCs w:val="24"/>
          <w:shd w:val="clear" w:color="auto" w:fill="FFFFFF"/>
          <w:lang w:val="ro-RO"/>
        </w:rPr>
        <w:t xml:space="preserve"> numărul persoanelor asigurate a fost modificat pe parcursul anului.</w:t>
      </w:r>
      <w:r w:rsidRPr="00650D66">
        <w:rPr>
          <w:rFonts w:ascii="Times New Roman" w:hAnsi="Times New Roman" w:cs="Times New Roman"/>
          <w:b/>
          <w:color w:val="0D0D0D" w:themeColor="text1" w:themeTint="F2"/>
          <w:sz w:val="24"/>
          <w:szCs w:val="24"/>
          <w:lang w:val="ro-RO"/>
        </w:rPr>
        <w:t xml:space="preserve"> </w:t>
      </w:r>
    </w:p>
    <w:p w14:paraId="294FA0AC" w14:textId="77777777" w:rsidR="00381C93" w:rsidRPr="00650D66" w:rsidRDefault="00381C93" w:rsidP="00381C93">
      <w:pPr>
        <w:spacing w:after="0" w:line="276" w:lineRule="auto"/>
        <w:jc w:val="both"/>
        <w:rPr>
          <w:rFonts w:ascii="Times New Roman" w:hAnsi="Times New Roman" w:cs="Times New Roman"/>
          <w:color w:val="313131"/>
          <w:sz w:val="6"/>
          <w:szCs w:val="6"/>
          <w:shd w:val="clear" w:color="auto" w:fill="FFFFFF"/>
          <w:lang w:val="ro-RO"/>
        </w:rPr>
      </w:pPr>
    </w:p>
    <w:p w14:paraId="47617D0E" w14:textId="49608DC6" w:rsidR="00381C93" w:rsidRPr="00D767FF" w:rsidRDefault="00381C93" w:rsidP="00381C93">
      <w:pPr>
        <w:spacing w:after="0" w:line="276" w:lineRule="auto"/>
        <w:jc w:val="both"/>
        <w:rPr>
          <w:rFonts w:ascii="Times New Roman" w:eastAsia="Times New Roman" w:hAnsi="Times New Roman" w:cs="Times New Roman"/>
          <w:color w:val="000000"/>
          <w:sz w:val="24"/>
          <w:szCs w:val="24"/>
          <w:lang w:val="ro-RO"/>
        </w:rPr>
      </w:pPr>
      <w:r w:rsidRPr="00650D66">
        <w:rPr>
          <w:rFonts w:ascii="Times New Roman" w:eastAsia="Times New Roman" w:hAnsi="Times New Roman" w:cs="Times New Roman"/>
          <w:color w:val="000000"/>
          <w:sz w:val="24"/>
          <w:szCs w:val="24"/>
          <w:lang w:val="ro-RO"/>
        </w:rPr>
        <w:t>Auditul a constatat că BNM</w:t>
      </w:r>
      <w:r w:rsidR="00264D4E">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cu acordul angajaților doritori de asigurare facultativă</w:t>
      </w:r>
      <w:r w:rsidR="00264D4E">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a contractat serviciile </w:t>
      </w:r>
      <w:r w:rsidR="00264D4E">
        <w:rPr>
          <w:rFonts w:ascii="Times New Roman" w:eastAsia="Times New Roman" w:hAnsi="Times New Roman" w:cs="Times New Roman"/>
          <w:color w:val="000000"/>
          <w:sz w:val="24"/>
          <w:szCs w:val="24"/>
          <w:lang w:val="ro-RO"/>
        </w:rPr>
        <w:t xml:space="preserve">respective </w:t>
      </w:r>
      <w:r w:rsidRPr="00650D66">
        <w:rPr>
          <w:rFonts w:ascii="Times New Roman" w:eastAsia="Times New Roman" w:hAnsi="Times New Roman" w:cs="Times New Roman"/>
          <w:color w:val="000000"/>
          <w:sz w:val="24"/>
          <w:szCs w:val="24"/>
          <w:lang w:val="ro-RO"/>
        </w:rPr>
        <w:t xml:space="preserve">și a executat cheltuieli </w:t>
      </w:r>
      <w:r w:rsidR="00264D4E">
        <w:rPr>
          <w:rFonts w:ascii="Times New Roman" w:eastAsia="Times New Roman" w:hAnsi="Times New Roman" w:cs="Times New Roman"/>
          <w:color w:val="000000"/>
          <w:sz w:val="24"/>
          <w:szCs w:val="24"/>
          <w:lang w:val="ro-RO"/>
        </w:rPr>
        <w:t>care nu au fost</w:t>
      </w:r>
      <w:r w:rsidRPr="00650D66">
        <w:rPr>
          <w:rFonts w:ascii="Times New Roman" w:eastAsia="Times New Roman" w:hAnsi="Times New Roman" w:cs="Times New Roman"/>
          <w:color w:val="000000"/>
          <w:sz w:val="24"/>
          <w:szCs w:val="24"/>
          <w:lang w:val="ro-RO"/>
        </w:rPr>
        <w:t xml:space="preserve"> specificate în </w:t>
      </w:r>
      <w:r w:rsidR="00DC20EB" w:rsidRPr="00650D66">
        <w:rPr>
          <w:rFonts w:ascii="Times New Roman" w:eastAsia="Times New Roman" w:hAnsi="Times New Roman" w:cs="Times New Roman"/>
          <w:color w:val="000000"/>
          <w:sz w:val="24"/>
          <w:szCs w:val="24"/>
          <w:lang w:val="ro-RO"/>
        </w:rPr>
        <w:t>Politicile contabile</w:t>
      </w:r>
      <w:r w:rsidRPr="00650D66">
        <w:rPr>
          <w:rFonts w:ascii="Times New Roman" w:eastAsia="Times New Roman" w:hAnsi="Times New Roman" w:cs="Times New Roman"/>
          <w:color w:val="000000"/>
          <w:sz w:val="24"/>
          <w:szCs w:val="24"/>
          <w:lang w:val="ro-RO"/>
        </w:rPr>
        <w:t xml:space="preserve"> sau în alt act normativ aprobat de BNM. Totodată, conform prevederilor Regulamentului intern al BNM</w:t>
      </w:r>
      <w:r w:rsidRPr="00650D66">
        <w:rPr>
          <w:rFonts w:ascii="Times New Roman" w:eastAsia="Times New Roman" w:hAnsi="Times New Roman" w:cs="Times New Roman"/>
          <w:color w:val="000000"/>
          <w:sz w:val="24"/>
          <w:szCs w:val="24"/>
          <w:vertAlign w:val="superscript"/>
          <w:lang w:val="ro-RO"/>
        </w:rPr>
        <w:footnoteReference w:id="54"/>
      </w:r>
      <w:r w:rsidR="00264D4E">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salariatul are dreptul doar la asigurarea socială și </w:t>
      </w:r>
      <w:r w:rsidR="00264D4E">
        <w:rPr>
          <w:rFonts w:ascii="Times New Roman" w:eastAsia="Times New Roman" w:hAnsi="Times New Roman" w:cs="Times New Roman"/>
          <w:color w:val="000000"/>
          <w:sz w:val="24"/>
          <w:szCs w:val="24"/>
          <w:lang w:val="ro-RO"/>
        </w:rPr>
        <w:t xml:space="preserve">asigurarea </w:t>
      </w:r>
      <w:r w:rsidRPr="00650D66">
        <w:rPr>
          <w:rFonts w:ascii="Times New Roman" w:eastAsia="Times New Roman" w:hAnsi="Times New Roman" w:cs="Times New Roman"/>
          <w:color w:val="000000"/>
          <w:sz w:val="24"/>
          <w:szCs w:val="24"/>
          <w:lang w:val="ro-RO"/>
        </w:rPr>
        <w:t>medicală obligatorie, nu și la cea facultativă.</w:t>
      </w:r>
    </w:p>
    <w:p w14:paraId="0207631F" w14:textId="49CDC185" w:rsidR="00381C93" w:rsidRPr="00650D66" w:rsidRDefault="00381C93" w:rsidP="00381C93">
      <w:pPr>
        <w:spacing w:after="0" w:line="276" w:lineRule="auto"/>
        <w:jc w:val="both"/>
        <w:rPr>
          <w:rFonts w:ascii="Times New Roman" w:eastAsia="Times New Roman" w:hAnsi="Times New Roman" w:cs="Times New Roman"/>
          <w:color w:val="000000"/>
          <w:sz w:val="24"/>
          <w:szCs w:val="24"/>
          <w:lang w:val="ro-RO"/>
        </w:rPr>
      </w:pPr>
      <w:r w:rsidRPr="00650D66">
        <w:rPr>
          <w:rFonts w:ascii="Times New Roman" w:eastAsia="Times New Roman" w:hAnsi="Times New Roman" w:cs="Times New Roman"/>
          <w:color w:val="000000"/>
          <w:sz w:val="24"/>
          <w:szCs w:val="24"/>
          <w:lang w:val="ro-RO"/>
        </w:rPr>
        <w:lastRenderedPageBreak/>
        <w:t xml:space="preserve">În condițiile prevederilor contractuale, BNM a primit </w:t>
      </w:r>
      <w:r w:rsidR="00DC6592" w:rsidRPr="00650D66">
        <w:rPr>
          <w:rFonts w:ascii="Times New Roman" w:eastAsia="Times New Roman" w:hAnsi="Times New Roman" w:cs="Times New Roman"/>
          <w:color w:val="000000"/>
          <w:sz w:val="24"/>
          <w:szCs w:val="24"/>
          <w:lang w:val="ro-RO"/>
        </w:rPr>
        <w:t xml:space="preserve">de la asigurători </w:t>
      </w:r>
      <w:r w:rsidRPr="00650D66">
        <w:rPr>
          <w:rFonts w:ascii="Times New Roman" w:eastAsia="Times New Roman" w:hAnsi="Times New Roman" w:cs="Times New Roman"/>
          <w:color w:val="000000"/>
          <w:sz w:val="24"/>
          <w:szCs w:val="24"/>
          <w:lang w:val="ro-RO"/>
        </w:rPr>
        <w:t>rapoarte privind sumele asigurate utilizate/neutilizate de către persoanele asigurate. Astfel, în perioada 2019-2023 au fost achitate despăgubiri în sumă totală de 2</w:t>
      </w:r>
      <w:r w:rsidR="00264D4E">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644,5 mii lei.</w:t>
      </w:r>
    </w:p>
    <w:p w14:paraId="7072585A" w14:textId="77777777" w:rsidR="00381C93" w:rsidRPr="00650D66" w:rsidRDefault="00381C93" w:rsidP="00381C93">
      <w:pPr>
        <w:spacing w:after="0" w:line="276" w:lineRule="auto"/>
        <w:jc w:val="both"/>
        <w:rPr>
          <w:rFonts w:ascii="Times New Roman" w:eastAsia="Times New Roman" w:hAnsi="Times New Roman" w:cs="Times New Roman"/>
          <w:color w:val="000000"/>
          <w:sz w:val="6"/>
          <w:szCs w:val="6"/>
          <w:lang w:val="ro-RO"/>
        </w:rPr>
      </w:pPr>
    </w:p>
    <w:p w14:paraId="6DB46876" w14:textId="743DFCCD" w:rsidR="00381C93" w:rsidRPr="00650D66" w:rsidRDefault="00381C93" w:rsidP="00381C93">
      <w:pPr>
        <w:spacing w:after="0" w:line="276" w:lineRule="auto"/>
        <w:jc w:val="both"/>
        <w:rPr>
          <w:rFonts w:ascii="Times New Roman" w:hAnsi="Times New Roman" w:cs="Times New Roman"/>
          <w:color w:val="000000" w:themeColor="text1"/>
          <w:sz w:val="24"/>
          <w:szCs w:val="24"/>
          <w:shd w:val="clear" w:color="auto" w:fill="FFFFFF"/>
          <w:lang w:val="ro-RO"/>
        </w:rPr>
      </w:pPr>
      <w:r w:rsidRPr="00650D66">
        <w:rPr>
          <w:rFonts w:ascii="Times New Roman" w:eastAsia="Times New Roman" w:hAnsi="Times New Roman" w:cs="Times New Roman"/>
          <w:color w:val="000000" w:themeColor="text1"/>
          <w:sz w:val="24"/>
          <w:szCs w:val="24"/>
          <w:lang w:val="ro-RO"/>
        </w:rPr>
        <w:t>De menționat că instituțiile medicale care deservesc angajații BNM as</w:t>
      </w:r>
      <w:r w:rsidR="002C12BC">
        <w:rPr>
          <w:rFonts w:ascii="Times New Roman" w:eastAsia="Times New Roman" w:hAnsi="Times New Roman" w:cs="Times New Roman"/>
          <w:color w:val="000000" w:themeColor="text1"/>
          <w:sz w:val="24"/>
          <w:szCs w:val="24"/>
          <w:lang w:val="ro-RO"/>
        </w:rPr>
        <w:t>igurați facultativ se regăsesc</w:t>
      </w:r>
      <w:r w:rsidRPr="00650D66">
        <w:rPr>
          <w:rFonts w:ascii="Times New Roman" w:eastAsia="Times New Roman" w:hAnsi="Times New Roman" w:cs="Times New Roman"/>
          <w:color w:val="000000" w:themeColor="text1"/>
          <w:sz w:val="24"/>
          <w:szCs w:val="24"/>
          <w:lang w:val="ro-RO"/>
        </w:rPr>
        <w:t xml:space="preserve"> și </w:t>
      </w:r>
      <w:r w:rsidR="00264D4E">
        <w:rPr>
          <w:rFonts w:ascii="Times New Roman" w:eastAsia="Times New Roman" w:hAnsi="Times New Roman" w:cs="Times New Roman"/>
          <w:color w:val="000000" w:themeColor="text1"/>
          <w:sz w:val="24"/>
          <w:szCs w:val="24"/>
          <w:lang w:val="ro-RO"/>
        </w:rPr>
        <w:t>în lista instituțiilor care oferă</w:t>
      </w:r>
      <w:r w:rsidRPr="00650D66">
        <w:rPr>
          <w:rFonts w:ascii="Times New Roman" w:eastAsia="Times New Roman" w:hAnsi="Times New Roman" w:cs="Times New Roman"/>
          <w:color w:val="000000" w:themeColor="text1"/>
          <w:sz w:val="24"/>
          <w:szCs w:val="24"/>
          <w:lang w:val="ro-RO"/>
        </w:rPr>
        <w:t xml:space="preserve"> asigurare obligatorie de asisten</w:t>
      </w:r>
      <w:r w:rsidR="00264D4E">
        <w:rPr>
          <w:rFonts w:ascii="Times New Roman" w:eastAsia="Times New Roman" w:hAnsi="Times New Roman" w:cs="Times New Roman"/>
          <w:color w:val="000000" w:themeColor="text1"/>
          <w:sz w:val="24"/>
          <w:szCs w:val="24"/>
          <w:lang w:val="ro-RO"/>
        </w:rPr>
        <w:t>ț</w:t>
      </w:r>
      <w:r w:rsidRPr="00650D66">
        <w:rPr>
          <w:rFonts w:ascii="Times New Roman" w:eastAsia="Times New Roman" w:hAnsi="Times New Roman" w:cs="Times New Roman"/>
          <w:color w:val="000000" w:themeColor="text1"/>
          <w:sz w:val="24"/>
          <w:szCs w:val="24"/>
          <w:lang w:val="ro-RO"/>
        </w:rPr>
        <w:t xml:space="preserve">ă medicală. Totodată, asistența și serviciile medicale specificate în Programul unic al asigurării obligatorii de asistență medicală reprezintă un pachet universal de servicii, iar conform contractelor încheiate se prestează servicii </w:t>
      </w:r>
      <w:r w:rsidR="00AA1729" w:rsidRPr="00650D66">
        <w:rPr>
          <w:rFonts w:ascii="Times New Roman" w:eastAsia="Times New Roman" w:hAnsi="Times New Roman" w:cs="Times New Roman"/>
          <w:color w:val="000000" w:themeColor="text1"/>
          <w:sz w:val="24"/>
          <w:szCs w:val="24"/>
          <w:lang w:val="ro-RO"/>
        </w:rPr>
        <w:t>în limita sumei de asigurare a programului și poliței de asigurare, în volumul și ordinea prevăzut</w:t>
      </w:r>
      <w:r w:rsidR="00264D4E">
        <w:rPr>
          <w:rFonts w:ascii="Times New Roman" w:eastAsia="Times New Roman" w:hAnsi="Times New Roman" w:cs="Times New Roman"/>
          <w:color w:val="000000" w:themeColor="text1"/>
          <w:sz w:val="24"/>
          <w:szCs w:val="24"/>
          <w:lang w:val="ro-RO"/>
        </w:rPr>
        <w:t>e</w:t>
      </w:r>
      <w:r w:rsidR="00AA1729" w:rsidRPr="00650D66">
        <w:rPr>
          <w:rFonts w:ascii="Times New Roman" w:eastAsia="Times New Roman" w:hAnsi="Times New Roman" w:cs="Times New Roman"/>
          <w:color w:val="000000" w:themeColor="text1"/>
          <w:sz w:val="24"/>
          <w:szCs w:val="24"/>
          <w:lang w:val="ro-RO"/>
        </w:rPr>
        <w:t xml:space="preserve"> de Contractul de asigurare</w:t>
      </w:r>
      <w:r w:rsidRPr="00650D66">
        <w:rPr>
          <w:rFonts w:ascii="Times New Roman" w:eastAsia="Times New Roman" w:hAnsi="Times New Roman" w:cs="Times New Roman"/>
          <w:color w:val="000000" w:themeColor="text1"/>
          <w:sz w:val="24"/>
          <w:szCs w:val="24"/>
          <w:lang w:val="ro-RO"/>
        </w:rPr>
        <w:t>.</w:t>
      </w:r>
      <w:r w:rsidRPr="00650D66">
        <w:rPr>
          <w:rFonts w:ascii="Times New Roman" w:hAnsi="Times New Roman" w:cs="Times New Roman"/>
          <w:color w:val="000000" w:themeColor="text1"/>
          <w:sz w:val="24"/>
          <w:szCs w:val="24"/>
          <w:shd w:val="clear" w:color="auto" w:fill="FFFFFF"/>
          <w:lang w:val="ro-RO"/>
        </w:rPr>
        <w:t xml:space="preserve"> </w:t>
      </w:r>
      <w:r w:rsidR="00A71CBC">
        <w:rPr>
          <w:rFonts w:ascii="Times New Roman" w:hAnsi="Times New Roman" w:cs="Times New Roman"/>
          <w:color w:val="000000" w:themeColor="text1"/>
          <w:sz w:val="24"/>
          <w:szCs w:val="24"/>
          <w:shd w:val="clear" w:color="auto" w:fill="FFFFFF"/>
          <w:lang w:val="ro-RO"/>
        </w:rPr>
        <w:t>Conform motivației BNM</w:t>
      </w:r>
      <w:r w:rsidRPr="00A71CBC">
        <w:rPr>
          <w:rFonts w:ascii="Times New Roman" w:hAnsi="Times New Roman" w:cs="Times New Roman"/>
          <w:i/>
          <w:color w:val="000000" w:themeColor="text1"/>
          <w:sz w:val="24"/>
          <w:szCs w:val="24"/>
          <w:shd w:val="clear" w:color="auto" w:fill="FFFFFF"/>
          <w:lang w:val="ro-RO"/>
        </w:rPr>
        <w:t xml:space="preserve"> </w:t>
      </w:r>
      <w:r w:rsidR="00A71CBC" w:rsidRPr="00A71CBC">
        <w:rPr>
          <w:rFonts w:ascii="Times New Roman" w:hAnsi="Times New Roman" w:cs="Times New Roman"/>
          <w:i/>
          <w:color w:val="000000" w:themeColor="text1"/>
          <w:sz w:val="24"/>
          <w:szCs w:val="24"/>
          <w:shd w:val="clear" w:color="auto" w:fill="FFFFFF"/>
          <w:lang w:val="ro-RO"/>
        </w:rPr>
        <w:t>,,</w:t>
      </w:r>
      <w:r w:rsidRPr="00A71CBC">
        <w:rPr>
          <w:rFonts w:ascii="Times New Roman" w:hAnsi="Times New Roman" w:cs="Times New Roman"/>
          <w:i/>
          <w:color w:val="000000" w:themeColor="text1"/>
          <w:sz w:val="24"/>
          <w:szCs w:val="24"/>
          <w:shd w:val="clear" w:color="auto" w:fill="FFFFFF"/>
          <w:lang w:val="ro-RO"/>
        </w:rPr>
        <w:t xml:space="preserve">din considerentele că serviciile </w:t>
      </w:r>
      <w:r w:rsidR="00264D4E" w:rsidRPr="00A71CBC">
        <w:rPr>
          <w:rFonts w:ascii="Times New Roman" w:hAnsi="Times New Roman" w:cs="Times New Roman"/>
          <w:i/>
          <w:color w:val="000000" w:themeColor="text1"/>
          <w:sz w:val="24"/>
          <w:szCs w:val="24"/>
          <w:shd w:val="clear" w:color="auto" w:fill="FFFFFF"/>
          <w:lang w:val="ro-RO"/>
        </w:rPr>
        <w:t xml:space="preserve">medicale </w:t>
      </w:r>
      <w:r w:rsidRPr="00A71CBC">
        <w:rPr>
          <w:rFonts w:ascii="Times New Roman" w:hAnsi="Times New Roman" w:cs="Times New Roman"/>
          <w:i/>
          <w:color w:val="000000" w:themeColor="text1"/>
          <w:sz w:val="24"/>
          <w:szCs w:val="24"/>
          <w:shd w:val="clear" w:color="auto" w:fill="FFFFFF"/>
          <w:lang w:val="ro-RO"/>
        </w:rPr>
        <w:t xml:space="preserve">se prestează </w:t>
      </w:r>
      <w:r w:rsidR="00264D4E" w:rsidRPr="00A71CBC">
        <w:rPr>
          <w:rFonts w:ascii="Times New Roman" w:hAnsi="Times New Roman" w:cs="Times New Roman"/>
          <w:i/>
          <w:color w:val="000000" w:themeColor="text1"/>
          <w:sz w:val="24"/>
          <w:szCs w:val="24"/>
          <w:shd w:val="clear" w:color="auto" w:fill="FFFFFF"/>
          <w:lang w:val="ro-RO"/>
        </w:rPr>
        <w:t>un</w:t>
      </w:r>
      <w:r w:rsidRPr="00A71CBC">
        <w:rPr>
          <w:rFonts w:ascii="Times New Roman" w:hAnsi="Times New Roman" w:cs="Times New Roman"/>
          <w:i/>
          <w:color w:val="000000" w:themeColor="text1"/>
          <w:sz w:val="24"/>
          <w:szCs w:val="24"/>
          <w:shd w:val="clear" w:color="auto" w:fill="FFFFFF"/>
          <w:lang w:val="ro-RO"/>
        </w:rPr>
        <w:t xml:space="preserve"> </w:t>
      </w:r>
      <w:r w:rsidR="00F37E3E" w:rsidRPr="00A71CBC">
        <w:rPr>
          <w:rFonts w:ascii="Times New Roman" w:hAnsi="Times New Roman" w:cs="Times New Roman"/>
          <w:i/>
          <w:color w:val="000000" w:themeColor="text1"/>
          <w:sz w:val="24"/>
          <w:szCs w:val="24"/>
          <w:shd w:val="clear" w:color="auto" w:fill="FFFFFF"/>
          <w:lang w:val="ro-RO"/>
        </w:rPr>
        <w:t xml:space="preserve">cu </w:t>
      </w:r>
      <w:r w:rsidR="00A71CBC" w:rsidRPr="00A71CBC">
        <w:rPr>
          <w:rFonts w:ascii="Times New Roman" w:hAnsi="Times New Roman" w:cs="Times New Roman"/>
          <w:i/>
          <w:color w:val="000000" w:themeColor="text1"/>
          <w:sz w:val="24"/>
          <w:szCs w:val="24"/>
          <w:shd w:val="clear" w:color="auto" w:fill="FFFFFF"/>
          <w:lang w:val="ro-RO"/>
        </w:rPr>
        <w:t>întârziere</w:t>
      </w:r>
      <w:r w:rsidR="00264D4E" w:rsidRPr="00A71CBC">
        <w:rPr>
          <w:rFonts w:ascii="Times New Roman" w:hAnsi="Times New Roman" w:cs="Times New Roman"/>
          <w:i/>
          <w:color w:val="000000" w:themeColor="text1"/>
          <w:sz w:val="24"/>
          <w:szCs w:val="24"/>
          <w:shd w:val="clear" w:color="auto" w:fill="FFFFFF"/>
          <w:lang w:val="ro-RO"/>
        </w:rPr>
        <w:t>,</w:t>
      </w:r>
      <w:r w:rsidRPr="00A71CBC">
        <w:rPr>
          <w:rFonts w:ascii="Times New Roman" w:hAnsi="Times New Roman" w:cs="Times New Roman"/>
          <w:i/>
          <w:color w:val="000000" w:themeColor="text1"/>
          <w:sz w:val="24"/>
          <w:szCs w:val="24"/>
          <w:shd w:val="clear" w:color="auto" w:fill="FFFFFF"/>
          <w:lang w:val="ro-RO"/>
        </w:rPr>
        <w:t xml:space="preserve"> angajații recurg </w:t>
      </w:r>
      <w:r w:rsidR="00AA1729" w:rsidRPr="00A71CBC">
        <w:rPr>
          <w:rFonts w:ascii="Times New Roman" w:hAnsi="Times New Roman" w:cs="Times New Roman"/>
          <w:i/>
          <w:color w:val="000000" w:themeColor="text1"/>
          <w:sz w:val="24"/>
          <w:szCs w:val="24"/>
          <w:shd w:val="clear" w:color="auto" w:fill="FFFFFF"/>
          <w:lang w:val="ro-RO"/>
        </w:rPr>
        <w:t xml:space="preserve">la </w:t>
      </w:r>
      <w:r w:rsidRPr="00A71CBC">
        <w:rPr>
          <w:rFonts w:ascii="Times New Roman" w:hAnsi="Times New Roman" w:cs="Times New Roman"/>
          <w:i/>
          <w:color w:val="000000" w:themeColor="text1"/>
          <w:sz w:val="24"/>
          <w:szCs w:val="24"/>
          <w:shd w:val="clear" w:color="auto" w:fill="FFFFFF"/>
          <w:lang w:val="ro-RO"/>
        </w:rPr>
        <w:t>servicii</w:t>
      </w:r>
      <w:r w:rsidR="00AA1729" w:rsidRPr="00A71CBC">
        <w:rPr>
          <w:rFonts w:ascii="Times New Roman" w:hAnsi="Times New Roman" w:cs="Times New Roman"/>
          <w:i/>
          <w:color w:val="000000" w:themeColor="text1"/>
          <w:sz w:val="24"/>
          <w:szCs w:val="24"/>
          <w:shd w:val="clear" w:color="auto" w:fill="FFFFFF"/>
          <w:lang w:val="ro-RO"/>
        </w:rPr>
        <w:t>le de asigurare medicală facultativă</w:t>
      </w:r>
      <w:r w:rsidR="00264D4E" w:rsidRPr="00A71CBC">
        <w:rPr>
          <w:rFonts w:ascii="Times New Roman" w:hAnsi="Times New Roman" w:cs="Times New Roman"/>
          <w:i/>
          <w:color w:val="000000" w:themeColor="text1"/>
          <w:sz w:val="24"/>
          <w:szCs w:val="24"/>
          <w:shd w:val="clear" w:color="auto" w:fill="FFFFFF"/>
          <w:lang w:val="ro-RO"/>
        </w:rPr>
        <w:t>,</w:t>
      </w:r>
      <w:r w:rsidRPr="00A71CBC">
        <w:rPr>
          <w:rFonts w:ascii="Times New Roman" w:hAnsi="Times New Roman" w:cs="Times New Roman"/>
          <w:i/>
          <w:color w:val="000000" w:themeColor="text1"/>
          <w:sz w:val="24"/>
          <w:szCs w:val="24"/>
          <w:shd w:val="clear" w:color="auto" w:fill="FFFFFF"/>
          <w:lang w:val="ro-RO"/>
        </w:rPr>
        <w:t xml:space="preserve"> pentru a benefic</w:t>
      </w:r>
      <w:r w:rsidR="00264D4E" w:rsidRPr="00A71CBC">
        <w:rPr>
          <w:rFonts w:ascii="Times New Roman" w:hAnsi="Times New Roman" w:cs="Times New Roman"/>
          <w:i/>
          <w:color w:val="000000" w:themeColor="text1"/>
          <w:sz w:val="24"/>
          <w:szCs w:val="24"/>
          <w:shd w:val="clear" w:color="auto" w:fill="FFFFFF"/>
          <w:lang w:val="ro-RO"/>
        </w:rPr>
        <w:t>i</w:t>
      </w:r>
      <w:r w:rsidRPr="00A71CBC">
        <w:rPr>
          <w:rFonts w:ascii="Times New Roman" w:hAnsi="Times New Roman" w:cs="Times New Roman"/>
          <w:i/>
          <w:color w:val="000000" w:themeColor="text1"/>
          <w:sz w:val="24"/>
          <w:szCs w:val="24"/>
          <w:shd w:val="clear" w:color="auto" w:fill="FFFFFF"/>
          <w:lang w:val="ro-RO"/>
        </w:rPr>
        <w:t>a de serviciile asigurat</w:t>
      </w:r>
      <w:r w:rsidR="00B03BD2" w:rsidRPr="00A71CBC">
        <w:rPr>
          <w:rFonts w:ascii="Times New Roman" w:hAnsi="Times New Roman" w:cs="Times New Roman"/>
          <w:i/>
          <w:color w:val="000000" w:themeColor="text1"/>
          <w:sz w:val="24"/>
          <w:szCs w:val="24"/>
          <w:shd w:val="clear" w:color="auto" w:fill="FFFFFF"/>
          <w:lang w:val="ro-RO"/>
        </w:rPr>
        <w:t xml:space="preserve">e </w:t>
      </w:r>
      <w:r w:rsidR="00AA1729" w:rsidRPr="00A71CBC">
        <w:rPr>
          <w:rFonts w:ascii="Times New Roman" w:hAnsi="Times New Roman" w:cs="Times New Roman"/>
          <w:i/>
          <w:color w:val="000000" w:themeColor="text1"/>
          <w:sz w:val="24"/>
          <w:szCs w:val="24"/>
          <w:shd w:val="clear" w:color="auto" w:fill="FFFFFF"/>
          <w:lang w:val="ro-RO"/>
        </w:rPr>
        <w:t xml:space="preserve">în timp util </w:t>
      </w:r>
      <w:r w:rsidR="00264D4E" w:rsidRPr="00A71CBC">
        <w:rPr>
          <w:rFonts w:ascii="Times New Roman" w:hAnsi="Times New Roman" w:cs="Times New Roman"/>
          <w:i/>
          <w:color w:val="000000" w:themeColor="text1"/>
          <w:sz w:val="24"/>
          <w:szCs w:val="24"/>
          <w:shd w:val="clear" w:color="auto" w:fill="FFFFFF"/>
          <w:lang w:val="ro-RO"/>
        </w:rPr>
        <w:t>în cazul în care</w:t>
      </w:r>
      <w:r w:rsidR="00B03BD2" w:rsidRPr="00A71CBC">
        <w:rPr>
          <w:rFonts w:ascii="Times New Roman" w:hAnsi="Times New Roman" w:cs="Times New Roman"/>
          <w:i/>
          <w:color w:val="000000" w:themeColor="text1"/>
          <w:sz w:val="24"/>
          <w:szCs w:val="24"/>
          <w:shd w:val="clear" w:color="auto" w:fill="FFFFFF"/>
          <w:lang w:val="ro-RO"/>
        </w:rPr>
        <w:t xml:space="preserve"> persoana se îmbolnăvește, odată ce nu pot beneficia la necesitate</w:t>
      </w:r>
      <w:r w:rsidR="00A71CBC" w:rsidRPr="00A71CBC">
        <w:rPr>
          <w:rFonts w:ascii="Times New Roman" w:hAnsi="Times New Roman" w:cs="Times New Roman"/>
          <w:i/>
          <w:color w:val="000000" w:themeColor="text1"/>
          <w:sz w:val="24"/>
          <w:szCs w:val="24"/>
          <w:shd w:val="clear" w:color="auto" w:fill="FFFFFF"/>
          <w:lang w:val="ro-RO"/>
        </w:rPr>
        <w:t>”</w:t>
      </w:r>
      <w:r w:rsidR="00B03BD2" w:rsidRPr="00A71CBC">
        <w:rPr>
          <w:rFonts w:ascii="Times New Roman" w:hAnsi="Times New Roman" w:cs="Times New Roman"/>
          <w:i/>
          <w:color w:val="000000" w:themeColor="text1"/>
          <w:sz w:val="24"/>
          <w:szCs w:val="24"/>
          <w:shd w:val="clear" w:color="auto" w:fill="FFFFFF"/>
          <w:lang w:val="ro-RO"/>
        </w:rPr>
        <w:t>.</w:t>
      </w:r>
    </w:p>
    <w:p w14:paraId="3D1859B3" w14:textId="20FF1DD0" w:rsidR="00381C93" w:rsidRPr="00650D66" w:rsidRDefault="00381C93" w:rsidP="00381C93">
      <w:pPr>
        <w:spacing w:after="0" w:line="276" w:lineRule="auto"/>
        <w:jc w:val="both"/>
        <w:rPr>
          <w:rFonts w:ascii="Times New Roman" w:hAnsi="Times New Roman" w:cs="Times New Roman"/>
          <w:color w:val="000000" w:themeColor="text1"/>
          <w:sz w:val="24"/>
          <w:szCs w:val="24"/>
          <w:shd w:val="clear" w:color="auto" w:fill="FFFFFF"/>
          <w:lang w:val="ro-RO"/>
        </w:rPr>
      </w:pPr>
      <w:r w:rsidRPr="00650D66">
        <w:rPr>
          <w:rFonts w:ascii="Times New Roman" w:hAnsi="Times New Roman" w:cs="Times New Roman"/>
          <w:color w:val="000000" w:themeColor="text1"/>
          <w:sz w:val="24"/>
          <w:szCs w:val="24"/>
          <w:shd w:val="clear" w:color="auto" w:fill="FFFFFF"/>
          <w:lang w:val="ro-RO"/>
        </w:rPr>
        <w:t>BNM a achitat primele de asigurare obligatorie de asistență medicală în perioada 2019-2021 în sumă totală de 10</w:t>
      </w:r>
      <w:r w:rsidR="00F864B0">
        <w:rPr>
          <w:rFonts w:ascii="Times New Roman" w:hAnsi="Times New Roman" w:cs="Times New Roman"/>
          <w:color w:val="000000" w:themeColor="text1"/>
          <w:sz w:val="24"/>
          <w:szCs w:val="24"/>
          <w:shd w:val="clear" w:color="auto" w:fill="FFFFFF"/>
          <w:lang w:val="ro-RO"/>
        </w:rPr>
        <w:t>.</w:t>
      </w:r>
      <w:r w:rsidRPr="00650D66">
        <w:rPr>
          <w:rFonts w:ascii="Times New Roman" w:hAnsi="Times New Roman" w:cs="Times New Roman"/>
          <w:color w:val="000000" w:themeColor="text1"/>
          <w:sz w:val="24"/>
          <w:szCs w:val="24"/>
          <w:shd w:val="clear" w:color="auto" w:fill="FFFFFF"/>
          <w:lang w:val="ro-RO"/>
        </w:rPr>
        <w:t xml:space="preserve">522,3 mii lei, </w:t>
      </w:r>
      <w:r w:rsidR="00F864B0">
        <w:rPr>
          <w:rFonts w:ascii="Times New Roman" w:hAnsi="Times New Roman" w:cs="Times New Roman"/>
          <w:color w:val="000000" w:themeColor="text1"/>
          <w:sz w:val="24"/>
          <w:szCs w:val="24"/>
          <w:shd w:val="clear" w:color="auto" w:fill="FFFFFF"/>
          <w:lang w:val="ro-RO"/>
        </w:rPr>
        <w:t>iar</w:t>
      </w:r>
      <w:r w:rsidRPr="00650D66">
        <w:rPr>
          <w:rFonts w:ascii="Times New Roman" w:hAnsi="Times New Roman" w:cs="Times New Roman"/>
          <w:color w:val="000000" w:themeColor="text1"/>
          <w:sz w:val="24"/>
          <w:szCs w:val="24"/>
          <w:shd w:val="clear" w:color="auto" w:fill="FFFFFF"/>
          <w:lang w:val="ro-RO"/>
        </w:rPr>
        <w:t xml:space="preserve"> conform cadrului normativ în anul 2022 achitarea primelor a fost efectuat</w:t>
      </w:r>
      <w:r w:rsidR="00F864B0">
        <w:rPr>
          <w:rFonts w:ascii="Times New Roman" w:hAnsi="Times New Roman" w:cs="Times New Roman"/>
          <w:color w:val="000000" w:themeColor="text1"/>
          <w:sz w:val="24"/>
          <w:szCs w:val="24"/>
          <w:shd w:val="clear" w:color="auto" w:fill="FFFFFF"/>
          <w:lang w:val="ro-RO"/>
        </w:rPr>
        <w:t>ă</w:t>
      </w:r>
      <w:r w:rsidRPr="00650D66">
        <w:rPr>
          <w:rFonts w:ascii="Times New Roman" w:hAnsi="Times New Roman" w:cs="Times New Roman"/>
          <w:color w:val="000000" w:themeColor="text1"/>
          <w:sz w:val="24"/>
          <w:szCs w:val="24"/>
          <w:shd w:val="clear" w:color="auto" w:fill="FFFFFF"/>
          <w:lang w:val="ro-RO"/>
        </w:rPr>
        <w:t xml:space="preserve"> din contul angaja</w:t>
      </w:r>
      <w:r w:rsidR="00F864B0">
        <w:rPr>
          <w:rFonts w:ascii="Times New Roman" w:hAnsi="Times New Roman" w:cs="Times New Roman"/>
          <w:color w:val="000000" w:themeColor="text1"/>
          <w:sz w:val="24"/>
          <w:szCs w:val="24"/>
          <w:shd w:val="clear" w:color="auto" w:fill="FFFFFF"/>
          <w:lang w:val="ro-RO"/>
        </w:rPr>
        <w:t>ților</w:t>
      </w:r>
      <w:r w:rsidRPr="00650D66">
        <w:rPr>
          <w:rFonts w:ascii="Times New Roman" w:hAnsi="Times New Roman" w:cs="Times New Roman"/>
          <w:color w:val="000000" w:themeColor="text1"/>
          <w:sz w:val="24"/>
          <w:szCs w:val="24"/>
          <w:shd w:val="clear" w:color="auto" w:fill="FFFFFF"/>
          <w:vertAlign w:val="superscript"/>
          <w:lang w:val="ro-RO"/>
        </w:rPr>
        <w:footnoteReference w:id="55"/>
      </w:r>
      <w:r w:rsidRPr="00650D66">
        <w:rPr>
          <w:rFonts w:ascii="Times New Roman" w:hAnsi="Times New Roman" w:cs="Times New Roman"/>
          <w:color w:val="000000" w:themeColor="text1"/>
          <w:sz w:val="24"/>
          <w:szCs w:val="24"/>
          <w:shd w:val="clear" w:color="auto" w:fill="FFFFFF"/>
          <w:lang w:val="ro-RO"/>
        </w:rPr>
        <w:t>.</w:t>
      </w:r>
    </w:p>
    <w:p w14:paraId="6A35F1FB" w14:textId="77777777" w:rsidR="00381C93" w:rsidRPr="00650D66" w:rsidRDefault="00381C93" w:rsidP="00381C93">
      <w:pPr>
        <w:spacing w:after="0" w:line="276" w:lineRule="auto"/>
        <w:jc w:val="both"/>
        <w:rPr>
          <w:rFonts w:ascii="Times New Roman" w:hAnsi="Times New Roman" w:cs="Times New Roman"/>
          <w:color w:val="313131"/>
          <w:sz w:val="6"/>
          <w:szCs w:val="6"/>
          <w:shd w:val="clear" w:color="auto" w:fill="FFFFFF"/>
          <w:lang w:val="ro-RO"/>
        </w:rPr>
      </w:pPr>
    </w:p>
    <w:p w14:paraId="32910EBD" w14:textId="056D198A" w:rsidR="000B3B91" w:rsidRPr="00650D66" w:rsidRDefault="000B3B91" w:rsidP="000B3B91">
      <w:pPr>
        <w:spacing w:after="0" w:line="276" w:lineRule="auto"/>
        <w:jc w:val="both"/>
        <w:rPr>
          <w:rFonts w:ascii="Times New Roman" w:eastAsia="Times New Roman" w:hAnsi="Times New Roman" w:cs="Times New Roman"/>
          <w:color w:val="000000"/>
          <w:sz w:val="24"/>
          <w:szCs w:val="24"/>
          <w:lang w:val="ro-RO"/>
        </w:rPr>
      </w:pPr>
      <w:r w:rsidRPr="00650D66">
        <w:rPr>
          <w:rFonts w:ascii="Times New Roman" w:eastAsia="Times New Roman" w:hAnsi="Times New Roman" w:cs="Times New Roman"/>
          <w:color w:val="000000"/>
          <w:sz w:val="24"/>
          <w:szCs w:val="24"/>
          <w:lang w:val="ro-RO"/>
        </w:rPr>
        <w:t xml:space="preserve">Pe parcursul anilor 2019-2022, în baza </w:t>
      </w:r>
      <w:r w:rsidR="00993657" w:rsidRPr="00650D66">
        <w:rPr>
          <w:rFonts w:ascii="Times New Roman" w:eastAsia="Times New Roman" w:hAnsi="Times New Roman" w:cs="Times New Roman"/>
          <w:color w:val="000000"/>
          <w:sz w:val="24"/>
          <w:szCs w:val="24"/>
          <w:lang w:val="ro-RO"/>
        </w:rPr>
        <w:t xml:space="preserve">Hotărârilor </w:t>
      </w:r>
      <w:r w:rsidRPr="00650D66">
        <w:rPr>
          <w:rFonts w:ascii="Times New Roman" w:eastAsia="Times New Roman" w:hAnsi="Times New Roman" w:cs="Times New Roman"/>
          <w:color w:val="000000"/>
          <w:sz w:val="24"/>
          <w:szCs w:val="24"/>
          <w:lang w:val="ro-RO"/>
        </w:rPr>
        <w:t>CS au fost acordate ajutoare materiale pensionarilor</w:t>
      </w:r>
      <w:r w:rsidR="00F864B0">
        <w:rPr>
          <w:rFonts w:ascii="Times New Roman" w:eastAsia="Times New Roman" w:hAnsi="Times New Roman" w:cs="Times New Roman"/>
          <w:color w:val="000000"/>
          <w:sz w:val="24"/>
          <w:szCs w:val="24"/>
          <w:lang w:val="ro-RO"/>
        </w:rPr>
        <w:t xml:space="preserve"> și</w:t>
      </w:r>
      <w:r w:rsidRPr="00650D66">
        <w:rPr>
          <w:rFonts w:ascii="Times New Roman" w:eastAsia="Times New Roman" w:hAnsi="Times New Roman" w:cs="Times New Roman"/>
          <w:color w:val="000000"/>
          <w:sz w:val="24"/>
          <w:szCs w:val="24"/>
          <w:lang w:val="ro-RO"/>
        </w:rPr>
        <w:t xml:space="preserve"> invalizilor</w:t>
      </w:r>
      <w:r w:rsidR="00F864B0">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foști angajați ai BNM</w:t>
      </w:r>
      <w:r w:rsidR="00F864B0">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în sumă totală de 1</w:t>
      </w:r>
      <w:r w:rsidR="00F864B0">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188,5 mii lei, din care în anul 2019 – 287,5 mii lei, în anul 2020 – 300,0 mii lei, în anul 2021 – 300,0 mii lei</w:t>
      </w:r>
      <w:r w:rsidR="00F864B0">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și în anul 2022 – 301,0 mii lei. </w:t>
      </w:r>
      <w:r w:rsidR="00D37F67" w:rsidRPr="00650D66">
        <w:rPr>
          <w:rFonts w:ascii="Times New Roman" w:eastAsia="Times New Roman" w:hAnsi="Times New Roman" w:cs="Times New Roman"/>
          <w:color w:val="000000"/>
          <w:sz w:val="24"/>
          <w:szCs w:val="24"/>
          <w:lang w:val="ro-RO"/>
        </w:rPr>
        <w:t>Auditul relevă că ajutoarele materiale acordate foștilor angajați pensionați nu se încadrează în prevederile cadrului normativ național</w:t>
      </w:r>
      <w:r w:rsidR="00F864B0">
        <w:rPr>
          <w:rFonts w:ascii="Times New Roman" w:eastAsia="Times New Roman" w:hAnsi="Times New Roman" w:cs="Times New Roman"/>
          <w:color w:val="000000"/>
          <w:sz w:val="24"/>
          <w:szCs w:val="24"/>
          <w:lang w:val="ro-RO"/>
        </w:rPr>
        <w:t>,</w:t>
      </w:r>
      <w:r w:rsidR="00D37F67" w:rsidRPr="00650D66">
        <w:rPr>
          <w:rFonts w:ascii="Times New Roman" w:eastAsia="Times New Roman" w:hAnsi="Times New Roman" w:cs="Times New Roman"/>
          <w:color w:val="000000"/>
          <w:sz w:val="24"/>
          <w:szCs w:val="24"/>
          <w:lang w:val="ro-RO"/>
        </w:rPr>
        <w:t xml:space="preserve"> acestea fiind acordate în baza Hotărârilor Consiliului de supraveghere</w:t>
      </w:r>
      <w:r w:rsidR="00BE1411" w:rsidRPr="00650D66">
        <w:rPr>
          <w:rFonts w:ascii="Times New Roman" w:eastAsia="Times New Roman" w:hAnsi="Times New Roman" w:cs="Times New Roman"/>
          <w:color w:val="000000"/>
          <w:sz w:val="24"/>
          <w:szCs w:val="24"/>
          <w:lang w:val="ro-RO"/>
        </w:rPr>
        <w:t>,</w:t>
      </w:r>
      <w:r w:rsidR="00D37F67" w:rsidRPr="00650D66">
        <w:rPr>
          <w:rFonts w:ascii="Times New Roman" w:eastAsia="Times New Roman" w:hAnsi="Times New Roman" w:cs="Times New Roman"/>
          <w:color w:val="000000"/>
          <w:sz w:val="24"/>
          <w:szCs w:val="24"/>
          <w:lang w:val="ro-RO"/>
        </w:rPr>
        <w:t xml:space="preserve"> </w:t>
      </w:r>
      <w:r w:rsidR="0056631E" w:rsidRPr="00650D66">
        <w:rPr>
          <w:rFonts w:ascii="Times New Roman" w:eastAsia="Times New Roman" w:hAnsi="Times New Roman" w:cs="Times New Roman"/>
          <w:color w:val="000000"/>
          <w:sz w:val="24"/>
          <w:szCs w:val="24"/>
          <w:lang w:val="ro-RO"/>
        </w:rPr>
        <w:t>în</w:t>
      </w:r>
      <w:r w:rsidR="00D37F67" w:rsidRPr="00650D66">
        <w:rPr>
          <w:rFonts w:ascii="Times New Roman" w:eastAsia="Times New Roman" w:hAnsi="Times New Roman" w:cs="Times New Roman"/>
          <w:color w:val="000000"/>
          <w:sz w:val="24"/>
          <w:szCs w:val="24"/>
          <w:lang w:val="ro-RO"/>
        </w:rPr>
        <w:t xml:space="preserve"> reglementări</w:t>
      </w:r>
      <w:r w:rsidR="0056631E" w:rsidRPr="00650D66">
        <w:rPr>
          <w:rFonts w:ascii="Times New Roman" w:eastAsia="Times New Roman" w:hAnsi="Times New Roman" w:cs="Times New Roman"/>
          <w:color w:val="000000"/>
          <w:sz w:val="24"/>
          <w:szCs w:val="24"/>
          <w:lang w:val="ro-RO"/>
        </w:rPr>
        <w:t>le</w:t>
      </w:r>
      <w:r w:rsidR="00D37F67" w:rsidRPr="00650D66">
        <w:rPr>
          <w:rFonts w:ascii="Times New Roman" w:eastAsia="Times New Roman" w:hAnsi="Times New Roman" w:cs="Times New Roman"/>
          <w:color w:val="000000"/>
          <w:sz w:val="24"/>
          <w:szCs w:val="24"/>
          <w:lang w:val="ro-RO"/>
        </w:rPr>
        <w:t xml:space="preserve"> interne</w:t>
      </w:r>
      <w:r w:rsidR="0056631E" w:rsidRPr="00650D66">
        <w:rPr>
          <w:rFonts w:ascii="Times New Roman" w:eastAsia="Times New Roman" w:hAnsi="Times New Roman" w:cs="Times New Roman"/>
          <w:color w:val="000000"/>
          <w:sz w:val="24"/>
          <w:szCs w:val="24"/>
          <w:lang w:val="ro-RO"/>
        </w:rPr>
        <w:t xml:space="preserve"> regăsindu-se doar în </w:t>
      </w:r>
      <w:r w:rsidR="00CE0897">
        <w:rPr>
          <w:rFonts w:ascii="Times New Roman" w:eastAsia="Times New Roman" w:hAnsi="Times New Roman" w:cs="Times New Roman"/>
          <w:color w:val="000000"/>
          <w:sz w:val="24"/>
          <w:szCs w:val="24"/>
          <w:lang w:val="ro-RO"/>
        </w:rPr>
        <w:t>I</w:t>
      </w:r>
      <w:r w:rsidR="0056631E" w:rsidRPr="00650D66">
        <w:rPr>
          <w:rFonts w:ascii="Times New Roman" w:eastAsia="Times New Roman" w:hAnsi="Times New Roman" w:cs="Times New Roman"/>
          <w:color w:val="000000"/>
          <w:sz w:val="24"/>
          <w:szCs w:val="24"/>
          <w:lang w:val="ro-RO"/>
        </w:rPr>
        <w:t>nstrucțiunea privind contabilizarea cheltuielilor</w:t>
      </w:r>
      <w:r w:rsidRPr="00650D66">
        <w:rPr>
          <w:rFonts w:ascii="Times New Roman" w:eastAsia="Times New Roman" w:hAnsi="Times New Roman" w:cs="Times New Roman"/>
          <w:color w:val="000000"/>
          <w:sz w:val="24"/>
          <w:szCs w:val="24"/>
          <w:lang w:val="ro-RO"/>
        </w:rPr>
        <w:t>.</w:t>
      </w:r>
      <w:r w:rsidR="00725DA3" w:rsidRPr="00650D66">
        <w:rPr>
          <w:rFonts w:ascii="Times New Roman" w:eastAsia="Times New Roman" w:hAnsi="Times New Roman" w:cs="Times New Roman"/>
          <w:color w:val="000000"/>
          <w:sz w:val="24"/>
          <w:szCs w:val="24"/>
          <w:lang w:val="ro-RO"/>
        </w:rPr>
        <w:t xml:space="preserve"> Totodată, în </w:t>
      </w:r>
      <w:r w:rsidR="00725DA3" w:rsidRPr="00650D66">
        <w:rPr>
          <w:rFonts w:ascii="Times New Roman" w:eastAsia="Times New Roman" w:hAnsi="Times New Roman" w:cs="Times New Roman"/>
          <w:i/>
          <w:color w:val="000000"/>
          <w:sz w:val="24"/>
          <w:szCs w:val="24"/>
          <w:lang w:val="ro-RO"/>
        </w:rPr>
        <w:t>,,</w:t>
      </w:r>
      <w:r w:rsidR="003719B3" w:rsidRPr="00650D66">
        <w:rPr>
          <w:rFonts w:ascii="Times New Roman" w:eastAsia="Times New Roman" w:hAnsi="Times New Roman" w:cs="Times New Roman"/>
          <w:i/>
          <w:color w:val="000000"/>
          <w:sz w:val="24"/>
          <w:szCs w:val="24"/>
          <w:lang w:val="ro-RO"/>
        </w:rPr>
        <w:t>S</w:t>
      </w:r>
      <w:r w:rsidR="00725DA3" w:rsidRPr="00650D66">
        <w:rPr>
          <w:rFonts w:ascii="Times New Roman" w:eastAsia="Times New Roman" w:hAnsi="Times New Roman" w:cs="Times New Roman"/>
          <w:i/>
          <w:color w:val="000000"/>
          <w:sz w:val="24"/>
          <w:szCs w:val="24"/>
          <w:lang w:val="ro-RO"/>
        </w:rPr>
        <w:t xml:space="preserve">ituațiile financiare consolidate și individuale </w:t>
      </w:r>
      <w:r w:rsidR="003719B3" w:rsidRPr="00650D66">
        <w:rPr>
          <w:rFonts w:ascii="Times New Roman" w:eastAsia="Times New Roman" w:hAnsi="Times New Roman" w:cs="Times New Roman"/>
          <w:i/>
          <w:color w:val="000000"/>
          <w:sz w:val="24"/>
          <w:szCs w:val="24"/>
          <w:lang w:val="ro-RO"/>
        </w:rPr>
        <w:t>din</w:t>
      </w:r>
      <w:r w:rsidR="00725DA3" w:rsidRPr="00650D66">
        <w:rPr>
          <w:rFonts w:ascii="Times New Roman" w:eastAsia="Times New Roman" w:hAnsi="Times New Roman" w:cs="Times New Roman"/>
          <w:i/>
          <w:color w:val="000000"/>
          <w:sz w:val="24"/>
          <w:szCs w:val="24"/>
          <w:lang w:val="ro-RO"/>
        </w:rPr>
        <w:t xml:space="preserve"> Raportul auditorului independent”</w:t>
      </w:r>
      <w:r w:rsidR="00725DA3" w:rsidRPr="00650D66">
        <w:rPr>
          <w:rFonts w:ascii="Times New Roman" w:eastAsia="Times New Roman" w:hAnsi="Times New Roman" w:cs="Times New Roman"/>
          <w:color w:val="000000"/>
          <w:sz w:val="24"/>
          <w:szCs w:val="24"/>
          <w:lang w:val="ro-RO"/>
        </w:rPr>
        <w:t xml:space="preserve"> pentru exercițiul financiar încheiat la 31.12.2022, se evidențiază că </w:t>
      </w:r>
      <w:r w:rsidR="00725DA3" w:rsidRPr="00650D66">
        <w:rPr>
          <w:rFonts w:ascii="Times New Roman" w:eastAsia="Times New Roman" w:hAnsi="Times New Roman" w:cs="Times New Roman"/>
          <w:b/>
          <w:i/>
          <w:color w:val="000000"/>
          <w:sz w:val="24"/>
          <w:szCs w:val="24"/>
          <w:lang w:val="ro-RO"/>
        </w:rPr>
        <w:t>,,BNM nu participă la nicio altă schemă de pensionare și nu are nicio obligație de a oferi alte beneficii foștilor sau actualilor angajați”</w:t>
      </w:r>
      <w:r w:rsidR="00A57552" w:rsidRPr="00650D66">
        <w:rPr>
          <w:rStyle w:val="FootnoteReference"/>
          <w:rFonts w:ascii="Times New Roman" w:eastAsia="Times New Roman" w:hAnsi="Times New Roman" w:cs="Times New Roman"/>
          <w:b/>
          <w:i/>
          <w:color w:val="000000"/>
          <w:sz w:val="24"/>
          <w:szCs w:val="24"/>
          <w:lang w:val="ro-RO"/>
        </w:rPr>
        <w:footnoteReference w:id="56"/>
      </w:r>
      <w:r w:rsidR="00725DA3" w:rsidRPr="00650D66">
        <w:rPr>
          <w:rFonts w:ascii="Times New Roman" w:eastAsia="Times New Roman" w:hAnsi="Times New Roman" w:cs="Times New Roman"/>
          <w:b/>
          <w:i/>
          <w:color w:val="000000"/>
          <w:sz w:val="24"/>
          <w:szCs w:val="24"/>
          <w:lang w:val="ro-RO"/>
        </w:rPr>
        <w:t>.</w:t>
      </w:r>
    </w:p>
    <w:p w14:paraId="01EF395D" w14:textId="77777777" w:rsidR="00784591" w:rsidRPr="00650D66" w:rsidRDefault="00784591" w:rsidP="000B3B91">
      <w:pPr>
        <w:spacing w:after="0" w:line="276" w:lineRule="auto"/>
        <w:jc w:val="both"/>
        <w:rPr>
          <w:rFonts w:ascii="Times New Roman" w:eastAsia="Times New Roman" w:hAnsi="Times New Roman" w:cs="Times New Roman"/>
          <w:color w:val="000000"/>
          <w:sz w:val="6"/>
          <w:szCs w:val="6"/>
          <w:lang w:val="ro-RO"/>
        </w:rPr>
      </w:pPr>
    </w:p>
    <w:p w14:paraId="517849F3" w14:textId="1013B17A" w:rsidR="00B31767" w:rsidRPr="00650D66" w:rsidRDefault="00784591" w:rsidP="00B31767">
      <w:pPr>
        <w:spacing w:after="0" w:line="276" w:lineRule="auto"/>
        <w:jc w:val="both"/>
        <w:rPr>
          <w:rFonts w:ascii="Times New Roman" w:eastAsia="Times New Roman" w:hAnsi="Times New Roman" w:cs="Times New Roman"/>
          <w:color w:val="000000"/>
          <w:sz w:val="24"/>
          <w:szCs w:val="24"/>
          <w:lang w:val="ro-RO"/>
        </w:rPr>
      </w:pPr>
      <w:r w:rsidRPr="00650D66">
        <w:rPr>
          <w:rFonts w:ascii="Times New Roman" w:eastAsia="Times New Roman" w:hAnsi="Times New Roman" w:cs="Times New Roman"/>
          <w:color w:val="000000"/>
          <w:sz w:val="24"/>
          <w:szCs w:val="24"/>
          <w:lang w:val="ro-RO"/>
        </w:rPr>
        <w:t>Casa de odihnă ,,La Nistru”</w:t>
      </w:r>
      <w:r w:rsidR="00CE0897">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situată în satul Molovata Nouă</w:t>
      </w:r>
      <w:r w:rsidR="00CE0897">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raionul Dubăsari și </w:t>
      </w:r>
      <w:r w:rsidR="00CE0897">
        <w:rPr>
          <w:rFonts w:ascii="Times New Roman" w:eastAsia="Times New Roman" w:hAnsi="Times New Roman" w:cs="Times New Roman"/>
          <w:color w:val="000000"/>
          <w:sz w:val="24"/>
          <w:szCs w:val="24"/>
          <w:lang w:val="ro-RO"/>
        </w:rPr>
        <w:t>O</w:t>
      </w:r>
      <w:r w:rsidRPr="00650D66">
        <w:rPr>
          <w:rFonts w:ascii="Times New Roman" w:eastAsia="Times New Roman" w:hAnsi="Times New Roman" w:cs="Times New Roman"/>
          <w:color w:val="000000"/>
          <w:sz w:val="24"/>
          <w:szCs w:val="24"/>
          <w:lang w:val="ro-RO"/>
        </w:rPr>
        <w:t>ficiul de protocol nr.9</w:t>
      </w:r>
      <w:r w:rsidR="00CE0897">
        <w:rPr>
          <w:rFonts w:ascii="Times New Roman" w:eastAsia="Times New Roman" w:hAnsi="Times New Roman" w:cs="Times New Roman"/>
          <w:color w:val="000000"/>
          <w:sz w:val="24"/>
          <w:szCs w:val="24"/>
          <w:lang w:val="ro-RO"/>
        </w:rPr>
        <w:t>,</w:t>
      </w:r>
      <w:r w:rsidRPr="00650D66">
        <w:rPr>
          <w:rFonts w:ascii="Times New Roman" w:eastAsia="Times New Roman" w:hAnsi="Times New Roman" w:cs="Times New Roman"/>
          <w:color w:val="000000"/>
          <w:sz w:val="24"/>
          <w:szCs w:val="24"/>
          <w:lang w:val="ro-RO"/>
        </w:rPr>
        <w:t xml:space="preserve"> situat în satul Holercani, raionul Dubăsari reprezintă obiective de menire social-culturală și sunt părți a</w:t>
      </w:r>
      <w:r w:rsidR="00CE0897">
        <w:rPr>
          <w:rFonts w:ascii="Times New Roman" w:eastAsia="Times New Roman" w:hAnsi="Times New Roman" w:cs="Times New Roman"/>
          <w:color w:val="000000"/>
          <w:sz w:val="24"/>
          <w:szCs w:val="24"/>
          <w:lang w:val="ro-RO"/>
        </w:rPr>
        <w:t>le</w:t>
      </w:r>
      <w:r w:rsidRPr="00650D66">
        <w:rPr>
          <w:rFonts w:ascii="Times New Roman" w:eastAsia="Times New Roman" w:hAnsi="Times New Roman" w:cs="Times New Roman"/>
          <w:color w:val="000000"/>
          <w:sz w:val="24"/>
          <w:szCs w:val="24"/>
          <w:lang w:val="ro-RO"/>
        </w:rPr>
        <w:t xml:space="preserve"> patrimoniului BNM.</w:t>
      </w:r>
      <w:r w:rsidR="00BC023A" w:rsidRPr="00650D66">
        <w:rPr>
          <w:rFonts w:ascii="Times New Roman" w:eastAsia="Times New Roman" w:hAnsi="Times New Roman" w:cs="Times New Roman"/>
          <w:color w:val="000000"/>
          <w:sz w:val="24"/>
          <w:szCs w:val="24"/>
          <w:lang w:val="ro-RO"/>
        </w:rPr>
        <w:t xml:space="preserve"> Scopul principal al activității </w:t>
      </w:r>
      <w:r w:rsidR="00CE0897">
        <w:rPr>
          <w:rFonts w:ascii="Times New Roman" w:eastAsia="Times New Roman" w:hAnsi="Times New Roman" w:cs="Times New Roman"/>
          <w:color w:val="000000"/>
          <w:sz w:val="24"/>
          <w:szCs w:val="24"/>
          <w:lang w:val="ro-RO"/>
        </w:rPr>
        <w:t>O</w:t>
      </w:r>
      <w:r w:rsidR="00BC023A" w:rsidRPr="00650D66">
        <w:rPr>
          <w:rFonts w:ascii="Times New Roman" w:eastAsia="Times New Roman" w:hAnsi="Times New Roman" w:cs="Times New Roman"/>
          <w:color w:val="000000"/>
          <w:sz w:val="24"/>
          <w:szCs w:val="24"/>
          <w:lang w:val="ro-RO"/>
        </w:rPr>
        <w:t>ficiului de protocol nr.9 este asigurarea condițiilor de odihnă a</w:t>
      </w:r>
      <w:r w:rsidR="00CE0897">
        <w:rPr>
          <w:rFonts w:ascii="Times New Roman" w:eastAsia="Times New Roman" w:hAnsi="Times New Roman" w:cs="Times New Roman"/>
          <w:color w:val="000000"/>
          <w:sz w:val="24"/>
          <w:szCs w:val="24"/>
          <w:lang w:val="ro-RO"/>
        </w:rPr>
        <w:t>le</w:t>
      </w:r>
      <w:r w:rsidR="00BC023A" w:rsidRPr="00650D66">
        <w:rPr>
          <w:rFonts w:ascii="Times New Roman" w:eastAsia="Times New Roman" w:hAnsi="Times New Roman" w:cs="Times New Roman"/>
          <w:color w:val="000000"/>
          <w:sz w:val="24"/>
          <w:szCs w:val="24"/>
          <w:lang w:val="ro-RO"/>
        </w:rPr>
        <w:t xml:space="preserve"> conducerii BNM și asigurarea condițiilor privind primirea delegațiilor străine, membrilor misiunilor de asistență tehnică, persoanelor oficiale din RM, personalităților remarcabi</w:t>
      </w:r>
      <w:r w:rsidR="00C84DDB" w:rsidRPr="00650D66">
        <w:rPr>
          <w:rFonts w:ascii="Times New Roman" w:eastAsia="Times New Roman" w:hAnsi="Times New Roman" w:cs="Times New Roman"/>
          <w:color w:val="000000"/>
          <w:sz w:val="24"/>
          <w:szCs w:val="24"/>
          <w:lang w:val="ro-RO"/>
        </w:rPr>
        <w:t>le care vizitează BNM, iar</w:t>
      </w:r>
      <w:r w:rsidR="00BC023A" w:rsidRPr="00650D66">
        <w:rPr>
          <w:rFonts w:ascii="Times New Roman" w:eastAsia="Times New Roman" w:hAnsi="Times New Roman" w:cs="Times New Roman"/>
          <w:color w:val="000000"/>
          <w:sz w:val="24"/>
          <w:szCs w:val="24"/>
          <w:lang w:val="ro-RO"/>
        </w:rPr>
        <w:t xml:space="preserve"> Casa de odihnă ,,La Nistru” asigură condiții de odihnă </w:t>
      </w:r>
      <w:r w:rsidR="00A835F8" w:rsidRPr="00650D66">
        <w:rPr>
          <w:rFonts w:ascii="Times New Roman" w:eastAsia="Times New Roman" w:hAnsi="Times New Roman" w:cs="Times New Roman"/>
          <w:color w:val="000000"/>
          <w:sz w:val="24"/>
          <w:szCs w:val="24"/>
          <w:lang w:val="ro-RO"/>
        </w:rPr>
        <w:t xml:space="preserve">și de dezvoltare profesională </w:t>
      </w:r>
      <w:r w:rsidR="00BC023A" w:rsidRPr="00650D66">
        <w:rPr>
          <w:rFonts w:ascii="Times New Roman" w:eastAsia="Times New Roman" w:hAnsi="Times New Roman" w:cs="Times New Roman"/>
          <w:color w:val="000000"/>
          <w:sz w:val="24"/>
          <w:szCs w:val="24"/>
          <w:lang w:val="ro-RO"/>
        </w:rPr>
        <w:t>pentru angajații BNM.</w:t>
      </w:r>
      <w:r w:rsidR="00B31767" w:rsidRPr="00650D66">
        <w:rPr>
          <w:rFonts w:ascii="Times New Roman" w:eastAsia="Times New Roman" w:hAnsi="Times New Roman" w:cs="Times New Roman"/>
          <w:color w:val="000000" w:themeColor="text1"/>
          <w:sz w:val="24"/>
          <w:szCs w:val="24"/>
          <w:lang w:val="ro-RO"/>
        </w:rPr>
        <w:t xml:space="preserve"> </w:t>
      </w:r>
    </w:p>
    <w:p w14:paraId="0EB9CCB8" w14:textId="239E0396" w:rsidR="008518BC" w:rsidRPr="00650D66" w:rsidRDefault="008518BC" w:rsidP="00B31767">
      <w:pPr>
        <w:spacing w:after="0" w:line="276" w:lineRule="auto"/>
        <w:jc w:val="both"/>
        <w:rPr>
          <w:rFonts w:ascii="Times New Roman" w:eastAsia="Times New Roman" w:hAnsi="Times New Roman" w:cs="Times New Roman"/>
          <w:color w:val="000000"/>
          <w:sz w:val="24"/>
          <w:szCs w:val="24"/>
          <w:lang w:val="ro-RO"/>
        </w:rPr>
      </w:pPr>
      <w:r w:rsidRPr="00650D66">
        <w:rPr>
          <w:rFonts w:ascii="Times New Roman" w:eastAsia="Times New Roman" w:hAnsi="Times New Roman" w:cs="Times New Roman"/>
          <w:color w:val="000000" w:themeColor="text1"/>
          <w:sz w:val="24"/>
          <w:szCs w:val="24"/>
          <w:lang w:val="ro-RO"/>
        </w:rPr>
        <w:t>Drept bază pentru cazarea și transportarea vilegiaturișt</w:t>
      </w:r>
      <w:r w:rsidR="00955D43" w:rsidRPr="00650D66">
        <w:rPr>
          <w:rFonts w:ascii="Times New Roman" w:eastAsia="Times New Roman" w:hAnsi="Times New Roman" w:cs="Times New Roman"/>
          <w:color w:val="000000" w:themeColor="text1"/>
          <w:sz w:val="24"/>
          <w:szCs w:val="24"/>
          <w:lang w:val="ro-RO"/>
        </w:rPr>
        <w:t>ilor servește biletul de odihnă</w:t>
      </w:r>
      <w:r w:rsidRPr="00650D66">
        <w:rPr>
          <w:rFonts w:ascii="Times New Roman" w:eastAsia="Times New Roman" w:hAnsi="Times New Roman" w:cs="Times New Roman"/>
          <w:color w:val="000000" w:themeColor="text1"/>
          <w:sz w:val="24"/>
          <w:szCs w:val="24"/>
          <w:lang w:val="ro-RO"/>
        </w:rPr>
        <w:t xml:space="preserve"> </w:t>
      </w:r>
      <w:r w:rsidR="00955D43" w:rsidRPr="00650D66">
        <w:rPr>
          <w:rFonts w:ascii="Times New Roman" w:eastAsia="Times New Roman" w:hAnsi="Times New Roman" w:cs="Times New Roman"/>
          <w:color w:val="000000" w:themeColor="text1"/>
          <w:sz w:val="24"/>
          <w:szCs w:val="24"/>
          <w:lang w:val="ro-RO"/>
        </w:rPr>
        <w:t>care</w:t>
      </w:r>
      <w:r w:rsidRPr="00650D66">
        <w:rPr>
          <w:rFonts w:ascii="Times New Roman" w:eastAsia="Times New Roman" w:hAnsi="Times New Roman" w:cs="Times New Roman"/>
          <w:color w:val="000000" w:themeColor="text1"/>
          <w:sz w:val="24"/>
          <w:szCs w:val="24"/>
          <w:lang w:val="ro-RO"/>
        </w:rPr>
        <w:t xml:space="preserve"> se revizuiește anual până la începutul sezonului estival.</w:t>
      </w:r>
      <w:r w:rsidRPr="00650D66">
        <w:rPr>
          <w:rFonts w:ascii="Times New Roman" w:eastAsia="Times New Roman" w:hAnsi="Times New Roman" w:cs="Times New Roman"/>
          <w:color w:val="000000"/>
          <w:sz w:val="24"/>
          <w:szCs w:val="24"/>
          <w:lang w:val="ro-RO"/>
        </w:rPr>
        <w:t xml:space="preserve"> </w:t>
      </w:r>
      <w:r w:rsidR="00CE0897">
        <w:rPr>
          <w:rFonts w:ascii="Times New Roman" w:eastAsia="Times New Roman" w:hAnsi="Times New Roman" w:cs="Times New Roman"/>
          <w:color w:val="000000"/>
          <w:sz w:val="24"/>
          <w:szCs w:val="24"/>
          <w:lang w:val="ro-RO"/>
        </w:rPr>
        <w:t>Ca u</w:t>
      </w:r>
      <w:r w:rsidRPr="00650D66">
        <w:rPr>
          <w:rFonts w:ascii="Times New Roman" w:eastAsia="Times New Roman" w:hAnsi="Times New Roman" w:cs="Times New Roman"/>
          <w:color w:val="000000"/>
          <w:sz w:val="24"/>
          <w:szCs w:val="24"/>
          <w:lang w:val="ro-RO"/>
        </w:rPr>
        <w:t xml:space="preserve">rmare </w:t>
      </w:r>
      <w:r w:rsidR="00CE0897">
        <w:rPr>
          <w:rFonts w:ascii="Times New Roman" w:eastAsia="Times New Roman" w:hAnsi="Times New Roman" w:cs="Times New Roman"/>
          <w:color w:val="000000"/>
          <w:sz w:val="24"/>
          <w:szCs w:val="24"/>
          <w:lang w:val="ro-RO"/>
        </w:rPr>
        <w:t xml:space="preserve">a </w:t>
      </w:r>
      <w:r w:rsidRPr="00650D66">
        <w:rPr>
          <w:rFonts w:ascii="Times New Roman" w:eastAsia="Times New Roman" w:hAnsi="Times New Roman" w:cs="Times New Roman"/>
          <w:color w:val="000000"/>
          <w:sz w:val="24"/>
          <w:szCs w:val="24"/>
          <w:lang w:val="ro-RO"/>
        </w:rPr>
        <w:t xml:space="preserve">verificărilor de audit, s-a constatat că în </w:t>
      </w:r>
      <w:r w:rsidR="00CE0897">
        <w:rPr>
          <w:rFonts w:ascii="Times New Roman" w:eastAsia="Times New Roman" w:hAnsi="Times New Roman" w:cs="Times New Roman"/>
          <w:color w:val="000000"/>
          <w:sz w:val="24"/>
          <w:szCs w:val="24"/>
          <w:lang w:val="ro-RO"/>
        </w:rPr>
        <w:t>r</w:t>
      </w:r>
      <w:r w:rsidRPr="00650D66">
        <w:rPr>
          <w:rFonts w:ascii="Times New Roman" w:eastAsia="Times New Roman" w:hAnsi="Times New Roman" w:cs="Times New Roman"/>
          <w:color w:val="000000"/>
          <w:sz w:val="24"/>
          <w:szCs w:val="24"/>
          <w:lang w:val="ro-RO"/>
        </w:rPr>
        <w:t>egulamentele interne nu se specifică prin ce act normativ se stabilește costul biletului</w:t>
      </w:r>
      <w:r w:rsidR="006B4C1D" w:rsidRPr="00650D66">
        <w:rPr>
          <w:rFonts w:ascii="Times New Roman" w:eastAsia="Times New Roman" w:hAnsi="Times New Roman" w:cs="Times New Roman"/>
          <w:color w:val="000000"/>
          <w:sz w:val="24"/>
          <w:szCs w:val="24"/>
          <w:lang w:val="ro-RO"/>
        </w:rPr>
        <w:t xml:space="preserve"> de odihnă la casele de odihnă.</w:t>
      </w:r>
      <w:r w:rsidR="00D57E84" w:rsidRPr="00650D66">
        <w:rPr>
          <w:rFonts w:ascii="Times New Roman" w:eastAsia="Times New Roman" w:hAnsi="Times New Roman" w:cs="Times New Roman"/>
          <w:color w:val="000000"/>
          <w:sz w:val="24"/>
          <w:szCs w:val="24"/>
          <w:lang w:val="ro-RO"/>
        </w:rPr>
        <w:t xml:space="preserve"> BNM a afirmat că prețurile se revizuiesc anual până la începutul sezonului estival și se aprobă de Viceguvernatorul de domeniu, </w:t>
      </w:r>
      <w:r w:rsidR="00CE0897">
        <w:rPr>
          <w:rFonts w:ascii="Times New Roman" w:hAnsi="Times New Roman" w:cs="Times New Roman"/>
          <w:color w:val="0D0D0D" w:themeColor="text1" w:themeTint="F2"/>
          <w:sz w:val="24"/>
          <w:szCs w:val="24"/>
          <w:shd w:val="clear" w:color="auto" w:fill="FFFFFF"/>
          <w:lang w:val="ro-RO"/>
        </w:rPr>
        <w:t xml:space="preserve">ordinele respective </w:t>
      </w:r>
      <w:r w:rsidR="00D57E84" w:rsidRPr="00650D66">
        <w:rPr>
          <w:rFonts w:ascii="Times New Roman" w:eastAsia="Times New Roman" w:hAnsi="Times New Roman" w:cs="Times New Roman"/>
          <w:color w:val="000000"/>
          <w:sz w:val="24"/>
          <w:szCs w:val="24"/>
          <w:lang w:val="ro-RO"/>
        </w:rPr>
        <w:t>nefiind prezentate echipei de audit.</w:t>
      </w:r>
    </w:p>
    <w:p w14:paraId="08EF665F" w14:textId="77777777" w:rsidR="008518BC" w:rsidRPr="00650D66" w:rsidRDefault="008518BC" w:rsidP="00B31767">
      <w:pPr>
        <w:spacing w:after="0" w:line="276" w:lineRule="auto"/>
        <w:jc w:val="both"/>
        <w:rPr>
          <w:rFonts w:ascii="Times New Roman" w:eastAsia="Times New Roman" w:hAnsi="Times New Roman" w:cs="Times New Roman"/>
          <w:color w:val="FF0000"/>
          <w:sz w:val="6"/>
          <w:szCs w:val="6"/>
          <w:lang w:val="ro-RO"/>
        </w:rPr>
      </w:pPr>
    </w:p>
    <w:p w14:paraId="6336EE7A" w14:textId="1007E091" w:rsidR="00055874" w:rsidRPr="00650D66" w:rsidRDefault="002B5CDB" w:rsidP="00E632C9">
      <w:pPr>
        <w:spacing w:after="120" w:line="276" w:lineRule="auto"/>
        <w:jc w:val="both"/>
        <w:rPr>
          <w:rFonts w:ascii="Times New Roman" w:eastAsia="Times New Roman" w:hAnsi="Times New Roman" w:cs="Times New Roman"/>
          <w:color w:val="000000"/>
          <w:sz w:val="24"/>
          <w:szCs w:val="24"/>
          <w:lang w:val="ro-RO"/>
        </w:rPr>
      </w:pPr>
      <w:r w:rsidRPr="00650D66">
        <w:rPr>
          <w:rFonts w:ascii="Times New Roman" w:eastAsia="Times New Roman" w:hAnsi="Times New Roman" w:cs="Times New Roman"/>
          <w:color w:val="000000"/>
          <w:sz w:val="24"/>
          <w:szCs w:val="24"/>
          <w:lang w:val="ro-RO"/>
        </w:rPr>
        <w:t>În perioada 2019-2022, au fost executate cheltuieli de întreținere și reparație a obiect</w:t>
      </w:r>
      <w:r w:rsidR="00CE0897">
        <w:rPr>
          <w:rFonts w:ascii="Times New Roman" w:eastAsia="Times New Roman" w:hAnsi="Times New Roman" w:cs="Times New Roman"/>
          <w:color w:val="000000"/>
          <w:sz w:val="24"/>
          <w:szCs w:val="24"/>
          <w:lang w:val="ro-RO"/>
        </w:rPr>
        <w:t>iv</w:t>
      </w:r>
      <w:r w:rsidRPr="00650D66">
        <w:rPr>
          <w:rFonts w:ascii="Times New Roman" w:eastAsia="Times New Roman" w:hAnsi="Times New Roman" w:cs="Times New Roman"/>
          <w:color w:val="000000"/>
          <w:sz w:val="24"/>
          <w:szCs w:val="24"/>
          <w:lang w:val="ro-RO"/>
        </w:rPr>
        <w:t xml:space="preserve">elor social-culturale în sumă totală de 509,5 mii lei, din care pentru </w:t>
      </w:r>
      <w:r w:rsidRPr="00650D66">
        <w:rPr>
          <w:rFonts w:ascii="Times New Roman" w:eastAsia="Times New Roman" w:hAnsi="Times New Roman" w:cs="Times New Roman"/>
          <w:bCs/>
          <w:color w:val="000000"/>
          <w:sz w:val="24"/>
          <w:szCs w:val="24"/>
          <w:lang w:val="ro-RO"/>
        </w:rPr>
        <w:t>Casa de odihnă ,,La Nistru” – 281,8 mii lei</w:t>
      </w:r>
      <w:r w:rsidR="00CE0897">
        <w:rPr>
          <w:rFonts w:ascii="Times New Roman" w:eastAsia="Times New Roman" w:hAnsi="Times New Roman" w:cs="Times New Roman"/>
          <w:bCs/>
          <w:color w:val="000000"/>
          <w:sz w:val="24"/>
          <w:szCs w:val="24"/>
          <w:lang w:val="ro-RO"/>
        </w:rPr>
        <w:t>,</w:t>
      </w:r>
      <w:r w:rsidRPr="00650D66">
        <w:rPr>
          <w:rFonts w:ascii="Times New Roman" w:eastAsia="Times New Roman" w:hAnsi="Times New Roman" w:cs="Times New Roman"/>
          <w:bCs/>
          <w:color w:val="000000"/>
          <w:sz w:val="24"/>
          <w:szCs w:val="24"/>
          <w:lang w:val="ro-RO"/>
        </w:rPr>
        <w:t xml:space="preserve"> și pentru Oficiul de protocol nr.9 din Holercani – 227,7 mii lei.</w:t>
      </w:r>
      <w:r w:rsidRPr="00650D66">
        <w:rPr>
          <w:rFonts w:ascii="Times New Roman" w:eastAsia="Times New Roman" w:hAnsi="Times New Roman" w:cs="Times New Roman"/>
          <w:color w:val="000000"/>
          <w:sz w:val="24"/>
          <w:szCs w:val="24"/>
          <w:lang w:val="ro-RO"/>
        </w:rPr>
        <w:t xml:space="preserve"> Cheltuielile executate au fost </w:t>
      </w:r>
      <w:r w:rsidR="00CE0897">
        <w:rPr>
          <w:rFonts w:ascii="Times New Roman" w:eastAsia="Times New Roman" w:hAnsi="Times New Roman" w:cs="Times New Roman"/>
          <w:color w:val="000000"/>
          <w:sz w:val="24"/>
          <w:szCs w:val="24"/>
          <w:lang w:val="ro-RO"/>
        </w:rPr>
        <w:t xml:space="preserve">destinate </w:t>
      </w:r>
      <w:r w:rsidRPr="00650D66">
        <w:rPr>
          <w:rFonts w:ascii="Times New Roman" w:eastAsia="Times New Roman" w:hAnsi="Times New Roman" w:cs="Times New Roman"/>
          <w:color w:val="000000"/>
          <w:sz w:val="24"/>
          <w:szCs w:val="24"/>
          <w:lang w:val="ro-RO"/>
        </w:rPr>
        <w:t xml:space="preserve">pentru </w:t>
      </w:r>
      <w:r w:rsidR="00CE0897">
        <w:rPr>
          <w:rFonts w:ascii="Times New Roman" w:eastAsia="Times New Roman" w:hAnsi="Times New Roman" w:cs="Times New Roman"/>
          <w:color w:val="000000"/>
          <w:sz w:val="24"/>
          <w:szCs w:val="24"/>
          <w:lang w:val="ro-RO"/>
        </w:rPr>
        <w:t xml:space="preserve">achitarea </w:t>
      </w:r>
      <w:r w:rsidRPr="00650D66">
        <w:rPr>
          <w:rFonts w:ascii="Times New Roman" w:eastAsia="Times New Roman" w:hAnsi="Times New Roman" w:cs="Times New Roman"/>
          <w:color w:val="000000"/>
          <w:sz w:val="24"/>
          <w:szCs w:val="24"/>
          <w:lang w:val="ro-RO"/>
        </w:rPr>
        <w:t>servicii</w:t>
      </w:r>
      <w:r w:rsidR="00CE0897">
        <w:rPr>
          <w:rFonts w:ascii="Times New Roman" w:eastAsia="Times New Roman" w:hAnsi="Times New Roman" w:cs="Times New Roman"/>
          <w:color w:val="000000"/>
          <w:sz w:val="24"/>
          <w:szCs w:val="24"/>
          <w:lang w:val="ro-RO"/>
        </w:rPr>
        <w:t>lor</w:t>
      </w:r>
      <w:r w:rsidRPr="00650D66">
        <w:rPr>
          <w:rFonts w:ascii="Times New Roman" w:eastAsia="Times New Roman" w:hAnsi="Times New Roman" w:cs="Times New Roman"/>
          <w:color w:val="000000"/>
          <w:sz w:val="24"/>
          <w:szCs w:val="24"/>
          <w:lang w:val="ro-RO"/>
        </w:rPr>
        <w:t xml:space="preserve"> comunale, </w:t>
      </w:r>
      <w:r w:rsidR="00CE0897">
        <w:rPr>
          <w:rFonts w:ascii="Times New Roman" w:eastAsia="Times New Roman" w:hAnsi="Times New Roman" w:cs="Times New Roman"/>
          <w:color w:val="000000"/>
          <w:sz w:val="24"/>
          <w:szCs w:val="24"/>
          <w:lang w:val="ro-RO"/>
        </w:rPr>
        <w:t xml:space="preserve">de </w:t>
      </w:r>
      <w:r w:rsidRPr="00650D66">
        <w:rPr>
          <w:rFonts w:ascii="Times New Roman" w:eastAsia="Times New Roman" w:hAnsi="Times New Roman" w:cs="Times New Roman"/>
          <w:color w:val="000000"/>
          <w:sz w:val="24"/>
          <w:szCs w:val="24"/>
          <w:lang w:val="ro-RO"/>
        </w:rPr>
        <w:t xml:space="preserve">telefonie fixă, </w:t>
      </w:r>
      <w:r w:rsidR="00CE0897">
        <w:rPr>
          <w:rFonts w:ascii="Times New Roman" w:eastAsia="Times New Roman" w:hAnsi="Times New Roman" w:cs="Times New Roman"/>
          <w:color w:val="000000"/>
          <w:sz w:val="24"/>
          <w:szCs w:val="24"/>
          <w:lang w:val="ro-RO"/>
        </w:rPr>
        <w:t xml:space="preserve">pentru </w:t>
      </w:r>
      <w:r w:rsidRPr="00650D66">
        <w:rPr>
          <w:rFonts w:ascii="Times New Roman" w:eastAsia="Times New Roman" w:hAnsi="Times New Roman" w:cs="Times New Roman"/>
          <w:color w:val="000000"/>
          <w:sz w:val="24"/>
          <w:szCs w:val="24"/>
          <w:lang w:val="ro-RO"/>
        </w:rPr>
        <w:t>deservirea tehnic</w:t>
      </w:r>
      <w:r w:rsidR="00CE0897">
        <w:rPr>
          <w:rFonts w:ascii="Times New Roman" w:eastAsia="Times New Roman" w:hAnsi="Times New Roman" w:cs="Times New Roman"/>
          <w:color w:val="000000"/>
          <w:sz w:val="24"/>
          <w:szCs w:val="24"/>
          <w:lang w:val="ro-RO"/>
        </w:rPr>
        <w:t>ă</w:t>
      </w:r>
      <w:r w:rsidRPr="00650D66">
        <w:rPr>
          <w:rFonts w:ascii="Times New Roman" w:eastAsia="Times New Roman" w:hAnsi="Times New Roman" w:cs="Times New Roman"/>
          <w:color w:val="000000"/>
          <w:sz w:val="24"/>
          <w:szCs w:val="24"/>
          <w:lang w:val="ro-RO"/>
        </w:rPr>
        <w:t xml:space="preserve"> a cazanelor etc.</w:t>
      </w:r>
      <w:r w:rsidR="00457496" w:rsidRPr="00650D66">
        <w:rPr>
          <w:rFonts w:ascii="Times New Roman" w:eastAsia="Times New Roman" w:hAnsi="Times New Roman" w:cs="Times New Roman"/>
          <w:color w:val="000000"/>
          <w:sz w:val="24"/>
          <w:szCs w:val="24"/>
          <w:lang w:val="ro-RO"/>
        </w:rPr>
        <w:t xml:space="preserve"> </w:t>
      </w:r>
      <w:r w:rsidR="00055874" w:rsidRPr="00650D66">
        <w:rPr>
          <w:rFonts w:ascii="Times New Roman" w:eastAsia="Times New Roman" w:hAnsi="Times New Roman" w:cs="Times New Roman"/>
          <w:color w:val="000000"/>
          <w:sz w:val="24"/>
          <w:szCs w:val="24"/>
          <w:lang w:val="ro-RO"/>
        </w:rPr>
        <w:t xml:space="preserve">Suplimentar, cheltuielile suportate conform normelor de consum aprobate pentru </w:t>
      </w:r>
      <w:r w:rsidR="00055874" w:rsidRPr="00650D66">
        <w:rPr>
          <w:rFonts w:ascii="Times New Roman" w:eastAsia="Times New Roman" w:hAnsi="Times New Roman" w:cs="Times New Roman"/>
          <w:color w:val="000000"/>
          <w:sz w:val="24"/>
          <w:szCs w:val="24"/>
          <w:lang w:val="ro-RO"/>
        </w:rPr>
        <w:lastRenderedPageBreak/>
        <w:t>bunuri</w:t>
      </w:r>
      <w:r w:rsidR="0082261D">
        <w:rPr>
          <w:rFonts w:ascii="Times New Roman" w:eastAsia="Times New Roman" w:hAnsi="Times New Roman" w:cs="Times New Roman"/>
          <w:color w:val="000000"/>
          <w:sz w:val="24"/>
          <w:szCs w:val="24"/>
          <w:lang w:val="ro-RO"/>
        </w:rPr>
        <w:t>le</w:t>
      </w:r>
      <w:r w:rsidR="00055874" w:rsidRPr="00650D66">
        <w:rPr>
          <w:rFonts w:ascii="Times New Roman" w:eastAsia="Times New Roman" w:hAnsi="Times New Roman" w:cs="Times New Roman"/>
          <w:color w:val="000000"/>
          <w:sz w:val="24"/>
          <w:szCs w:val="24"/>
          <w:lang w:val="ro-RO"/>
        </w:rPr>
        <w:t xml:space="preserve"> </w:t>
      </w:r>
      <w:proofErr w:type="spellStart"/>
      <w:r w:rsidR="00055874" w:rsidRPr="00650D66">
        <w:rPr>
          <w:rFonts w:ascii="Times New Roman" w:eastAsia="Times New Roman" w:hAnsi="Times New Roman" w:cs="Times New Roman"/>
          <w:color w:val="000000"/>
          <w:sz w:val="24"/>
          <w:szCs w:val="24"/>
          <w:lang w:val="ro-RO"/>
        </w:rPr>
        <w:t>igienico</w:t>
      </w:r>
      <w:proofErr w:type="spellEnd"/>
      <w:r w:rsidR="00055874" w:rsidRPr="00650D66">
        <w:rPr>
          <w:rFonts w:ascii="Times New Roman" w:eastAsia="Times New Roman" w:hAnsi="Times New Roman" w:cs="Times New Roman"/>
          <w:color w:val="000000"/>
          <w:sz w:val="24"/>
          <w:szCs w:val="24"/>
          <w:lang w:val="ro-RO"/>
        </w:rPr>
        <w:t>-sanitare, achiziționarea diverselor bunuri și servicii se raportează la cheltuielile administrative și investițiile executat</w:t>
      </w:r>
      <w:r w:rsidR="002F30DB" w:rsidRPr="00650D66">
        <w:rPr>
          <w:rFonts w:ascii="Times New Roman" w:eastAsia="Times New Roman" w:hAnsi="Times New Roman" w:cs="Times New Roman"/>
          <w:color w:val="000000"/>
          <w:sz w:val="24"/>
          <w:szCs w:val="24"/>
          <w:lang w:val="ro-RO"/>
        </w:rPr>
        <w:t>e de către BNM.</w:t>
      </w:r>
    </w:p>
    <w:p w14:paraId="4D679F5A" w14:textId="34AA2D97" w:rsidR="006E74EE" w:rsidRPr="00650D66" w:rsidRDefault="006E74EE" w:rsidP="00BF5F5E">
      <w:pPr>
        <w:spacing w:after="0" w:line="276" w:lineRule="auto"/>
        <w:jc w:val="both"/>
        <w:rPr>
          <w:rFonts w:ascii="Times New Roman" w:eastAsia="Times New Roman" w:hAnsi="Times New Roman" w:cs="Times New Roman"/>
          <w:bCs/>
          <w:color w:val="000000"/>
          <w:sz w:val="24"/>
          <w:szCs w:val="24"/>
          <w:lang w:val="ro-RO"/>
        </w:rPr>
      </w:pPr>
      <w:r w:rsidRPr="00650D66">
        <w:rPr>
          <w:rFonts w:ascii="Times New Roman" w:eastAsia="Times New Roman" w:hAnsi="Times New Roman" w:cs="Times New Roman"/>
          <w:color w:val="000000"/>
          <w:sz w:val="24"/>
          <w:szCs w:val="24"/>
          <w:lang w:val="ro-RO"/>
        </w:rPr>
        <w:t xml:space="preserve">Auditul a constatat că, deși BNM a executat cheltuieli de întreținere și reparație a </w:t>
      </w:r>
      <w:r w:rsidRPr="00650D66">
        <w:rPr>
          <w:rFonts w:ascii="Times New Roman" w:eastAsia="Times New Roman" w:hAnsi="Times New Roman" w:cs="Times New Roman"/>
          <w:bCs/>
          <w:color w:val="000000"/>
          <w:sz w:val="24"/>
          <w:szCs w:val="24"/>
          <w:lang w:val="ro-RO"/>
        </w:rPr>
        <w:t>Oficiului de protocol nr.9 din Holercani</w:t>
      </w:r>
      <w:r w:rsidR="0082261D">
        <w:rPr>
          <w:rFonts w:ascii="Times New Roman" w:eastAsia="Times New Roman" w:hAnsi="Times New Roman" w:cs="Times New Roman"/>
          <w:bCs/>
          <w:color w:val="000000"/>
          <w:sz w:val="24"/>
          <w:szCs w:val="24"/>
          <w:lang w:val="ro-RO"/>
        </w:rPr>
        <w:t>,</w:t>
      </w:r>
      <w:r w:rsidRPr="00650D66">
        <w:rPr>
          <w:rFonts w:ascii="Times New Roman" w:eastAsia="Times New Roman" w:hAnsi="Times New Roman" w:cs="Times New Roman"/>
          <w:bCs/>
          <w:color w:val="000000"/>
          <w:sz w:val="24"/>
          <w:szCs w:val="24"/>
          <w:lang w:val="ro-RO"/>
        </w:rPr>
        <w:t xml:space="preserve"> transmis </w:t>
      </w:r>
      <w:r w:rsidR="00211983" w:rsidRPr="00650D66">
        <w:rPr>
          <w:rFonts w:ascii="Times New Roman" w:eastAsia="Times New Roman" w:hAnsi="Times New Roman" w:cs="Times New Roman"/>
          <w:bCs/>
          <w:color w:val="000000"/>
          <w:sz w:val="24"/>
          <w:szCs w:val="24"/>
          <w:lang w:val="ro-RO"/>
        </w:rPr>
        <w:t xml:space="preserve">la balanța </w:t>
      </w:r>
      <w:r w:rsidRPr="00650D66">
        <w:rPr>
          <w:rFonts w:ascii="Times New Roman" w:eastAsia="Times New Roman" w:hAnsi="Times New Roman" w:cs="Times New Roman"/>
          <w:bCs/>
          <w:color w:val="000000"/>
          <w:sz w:val="24"/>
          <w:szCs w:val="24"/>
          <w:lang w:val="ro-RO"/>
        </w:rPr>
        <w:t>BNM în baza Dispoziției Guvernului din anul 1998, în HG nr.351 din 23.03.2005</w:t>
      </w:r>
      <w:r w:rsidR="00017878" w:rsidRPr="00650D66">
        <w:rPr>
          <w:rStyle w:val="FootnoteReference"/>
          <w:rFonts w:ascii="Times New Roman" w:eastAsia="Times New Roman" w:hAnsi="Times New Roman" w:cs="Times New Roman"/>
          <w:bCs/>
          <w:color w:val="000000"/>
          <w:sz w:val="24"/>
          <w:szCs w:val="24"/>
          <w:lang w:val="ro-RO"/>
        </w:rPr>
        <w:footnoteReference w:id="57"/>
      </w:r>
      <w:r w:rsidRPr="00650D66">
        <w:rPr>
          <w:rFonts w:ascii="Times New Roman" w:eastAsia="Times New Roman" w:hAnsi="Times New Roman" w:cs="Times New Roman"/>
          <w:bCs/>
          <w:color w:val="000000"/>
          <w:sz w:val="24"/>
          <w:szCs w:val="24"/>
          <w:lang w:val="ro-RO"/>
        </w:rPr>
        <w:t xml:space="preserve"> </w:t>
      </w:r>
      <w:r w:rsidR="0082261D">
        <w:rPr>
          <w:rFonts w:ascii="Times New Roman" w:eastAsia="Times New Roman" w:hAnsi="Times New Roman" w:cs="Times New Roman"/>
          <w:bCs/>
          <w:color w:val="000000"/>
          <w:sz w:val="24"/>
          <w:szCs w:val="24"/>
          <w:lang w:val="ro-RO"/>
        </w:rPr>
        <w:t xml:space="preserve">acest obiectiv </w:t>
      </w:r>
      <w:r w:rsidRPr="00650D66">
        <w:rPr>
          <w:rFonts w:ascii="Times New Roman" w:eastAsia="Times New Roman" w:hAnsi="Times New Roman" w:cs="Times New Roman"/>
          <w:bCs/>
          <w:color w:val="000000"/>
          <w:sz w:val="24"/>
          <w:szCs w:val="24"/>
          <w:lang w:val="ro-RO"/>
        </w:rPr>
        <w:t xml:space="preserve">nu se regăsește ca proprietate publică a BNM și nu a fost înregistrat la </w:t>
      </w:r>
      <w:r w:rsidR="00950075" w:rsidRPr="00650D66">
        <w:rPr>
          <w:rFonts w:ascii="Times New Roman" w:eastAsia="Times New Roman" w:hAnsi="Times New Roman" w:cs="Times New Roman"/>
          <w:bCs/>
          <w:color w:val="000000"/>
          <w:sz w:val="24"/>
          <w:szCs w:val="24"/>
          <w:lang w:val="ro-RO"/>
        </w:rPr>
        <w:t>Agenția Servicii Publice</w:t>
      </w:r>
      <w:r w:rsidR="00AC79CF" w:rsidRPr="00650D66">
        <w:rPr>
          <w:rFonts w:ascii="Times New Roman" w:eastAsia="Times New Roman" w:hAnsi="Times New Roman" w:cs="Times New Roman"/>
          <w:bCs/>
          <w:color w:val="000000"/>
          <w:sz w:val="24"/>
          <w:szCs w:val="24"/>
          <w:lang w:val="ro-RO"/>
        </w:rPr>
        <w:t>, fapt constatat și în anul 2015 de către</w:t>
      </w:r>
      <w:r w:rsidR="0082261D">
        <w:rPr>
          <w:rFonts w:ascii="Times New Roman" w:eastAsia="Times New Roman" w:hAnsi="Times New Roman" w:cs="Times New Roman"/>
          <w:bCs/>
          <w:color w:val="000000"/>
          <w:sz w:val="24"/>
          <w:szCs w:val="24"/>
          <w:lang w:val="ro-RO"/>
        </w:rPr>
        <w:t xml:space="preserve"> misiunea de audit a</w:t>
      </w:r>
      <w:r w:rsidR="00AC79CF" w:rsidRPr="00650D66">
        <w:rPr>
          <w:rFonts w:ascii="Times New Roman" w:eastAsia="Times New Roman" w:hAnsi="Times New Roman" w:cs="Times New Roman"/>
          <w:bCs/>
          <w:color w:val="000000"/>
          <w:sz w:val="24"/>
          <w:szCs w:val="24"/>
          <w:lang w:val="ro-RO"/>
        </w:rPr>
        <w:t xml:space="preserve"> Cur</w:t>
      </w:r>
      <w:r w:rsidR="0082261D">
        <w:rPr>
          <w:rFonts w:ascii="Times New Roman" w:eastAsia="Times New Roman" w:hAnsi="Times New Roman" w:cs="Times New Roman"/>
          <w:bCs/>
          <w:color w:val="000000"/>
          <w:sz w:val="24"/>
          <w:szCs w:val="24"/>
          <w:lang w:val="ro-RO"/>
        </w:rPr>
        <w:t>ții</w:t>
      </w:r>
      <w:r w:rsidR="00AC79CF" w:rsidRPr="00650D66">
        <w:rPr>
          <w:rFonts w:ascii="Times New Roman" w:eastAsia="Times New Roman" w:hAnsi="Times New Roman" w:cs="Times New Roman"/>
          <w:bCs/>
          <w:color w:val="000000"/>
          <w:sz w:val="24"/>
          <w:szCs w:val="24"/>
          <w:lang w:val="ro-RO"/>
        </w:rPr>
        <w:t xml:space="preserve"> de Conturi</w:t>
      </w:r>
      <w:r w:rsidR="00AC79CF" w:rsidRPr="00650D66">
        <w:rPr>
          <w:rStyle w:val="FootnoteReference"/>
          <w:rFonts w:ascii="Times New Roman" w:eastAsia="Times New Roman" w:hAnsi="Times New Roman" w:cs="Times New Roman"/>
          <w:bCs/>
          <w:color w:val="000000"/>
          <w:sz w:val="24"/>
          <w:szCs w:val="24"/>
          <w:lang w:val="ro-RO"/>
        </w:rPr>
        <w:footnoteReference w:id="58"/>
      </w:r>
      <w:r w:rsidRPr="00650D66">
        <w:rPr>
          <w:rFonts w:ascii="Times New Roman" w:eastAsia="Times New Roman" w:hAnsi="Times New Roman" w:cs="Times New Roman"/>
          <w:bCs/>
          <w:color w:val="000000"/>
          <w:sz w:val="24"/>
          <w:szCs w:val="24"/>
          <w:lang w:val="ro-RO"/>
        </w:rPr>
        <w:t>.</w:t>
      </w:r>
      <w:r w:rsidR="00DA77D0" w:rsidRPr="00650D66">
        <w:rPr>
          <w:rFonts w:ascii="Times New Roman" w:eastAsia="Times New Roman" w:hAnsi="Times New Roman" w:cs="Times New Roman"/>
          <w:bCs/>
          <w:color w:val="000000"/>
          <w:sz w:val="24"/>
          <w:szCs w:val="24"/>
          <w:lang w:val="ro-RO"/>
        </w:rPr>
        <w:t xml:space="preserve"> Totodată, BNM raportează anual la Agenția Proprietății Publice</w:t>
      </w:r>
      <w:r w:rsidR="00DA77D0" w:rsidRPr="00650D66">
        <w:rPr>
          <w:rFonts w:ascii="Times New Roman" w:hAnsi="Times New Roman" w:cs="Times New Roman"/>
          <w:lang w:val="ro-RO"/>
        </w:rPr>
        <w:t xml:space="preserve"> ,,</w:t>
      </w:r>
      <w:r w:rsidR="00DA77D0" w:rsidRPr="00650D66">
        <w:rPr>
          <w:rFonts w:ascii="Times New Roman" w:eastAsia="Times New Roman" w:hAnsi="Times New Roman" w:cs="Times New Roman"/>
          <w:bCs/>
          <w:color w:val="000000"/>
          <w:sz w:val="24"/>
          <w:szCs w:val="24"/>
          <w:lang w:val="ro-RO"/>
        </w:rPr>
        <w:t>Lista bunurilor imobile proprietate publică a statului din gestiunea Băncii Naționale a Moldovei”</w:t>
      </w:r>
      <w:r w:rsidR="0082261D">
        <w:rPr>
          <w:rFonts w:ascii="Times New Roman" w:eastAsia="Times New Roman" w:hAnsi="Times New Roman" w:cs="Times New Roman"/>
          <w:bCs/>
          <w:color w:val="000000"/>
          <w:sz w:val="24"/>
          <w:szCs w:val="24"/>
          <w:lang w:val="ro-RO"/>
        </w:rPr>
        <w:t>,</w:t>
      </w:r>
      <w:r w:rsidR="00DA77D0" w:rsidRPr="00650D66">
        <w:rPr>
          <w:rFonts w:ascii="Times New Roman" w:eastAsia="Times New Roman" w:hAnsi="Times New Roman" w:cs="Times New Roman"/>
          <w:bCs/>
          <w:color w:val="000000"/>
          <w:sz w:val="24"/>
          <w:szCs w:val="24"/>
          <w:lang w:val="ro-RO"/>
        </w:rPr>
        <w:t xml:space="preserve"> care include și Oficiul de protocol nr.9.</w:t>
      </w:r>
      <w:r w:rsidR="007F0846" w:rsidRPr="00650D66">
        <w:rPr>
          <w:rFonts w:ascii="Times New Roman" w:eastAsia="Times New Roman" w:hAnsi="Times New Roman" w:cs="Times New Roman"/>
          <w:bCs/>
          <w:color w:val="000000"/>
          <w:sz w:val="24"/>
          <w:szCs w:val="24"/>
          <w:lang w:val="ro-RO"/>
        </w:rPr>
        <w:t xml:space="preserve"> BNM a motivat că s-a adresat la instituțiile de resort</w:t>
      </w:r>
      <w:r w:rsidR="0082261D">
        <w:rPr>
          <w:rFonts w:ascii="Times New Roman" w:eastAsia="Times New Roman" w:hAnsi="Times New Roman" w:cs="Times New Roman"/>
          <w:bCs/>
          <w:color w:val="000000"/>
          <w:sz w:val="24"/>
          <w:szCs w:val="24"/>
          <w:lang w:val="ro-RO"/>
        </w:rPr>
        <w:t xml:space="preserve"> în acest scop,</w:t>
      </w:r>
      <w:r w:rsidR="007F0846" w:rsidRPr="00650D66">
        <w:rPr>
          <w:rFonts w:ascii="Times New Roman" w:eastAsia="Times New Roman" w:hAnsi="Times New Roman" w:cs="Times New Roman"/>
          <w:bCs/>
          <w:color w:val="000000"/>
          <w:sz w:val="24"/>
          <w:szCs w:val="24"/>
          <w:lang w:val="ro-RO"/>
        </w:rPr>
        <w:t xml:space="preserve"> dar </w:t>
      </w:r>
      <w:r w:rsidR="0082261D">
        <w:rPr>
          <w:rFonts w:ascii="Times New Roman" w:eastAsia="Times New Roman" w:hAnsi="Times New Roman" w:cs="Times New Roman"/>
          <w:bCs/>
          <w:color w:val="000000"/>
          <w:sz w:val="24"/>
          <w:szCs w:val="24"/>
          <w:lang w:val="ro-RO"/>
        </w:rPr>
        <w:t xml:space="preserve">demersurile </w:t>
      </w:r>
      <w:r w:rsidR="007F0846" w:rsidRPr="00650D66">
        <w:rPr>
          <w:rFonts w:ascii="Times New Roman" w:eastAsia="Times New Roman" w:hAnsi="Times New Roman" w:cs="Times New Roman"/>
          <w:bCs/>
          <w:color w:val="000000"/>
          <w:sz w:val="24"/>
          <w:szCs w:val="24"/>
          <w:lang w:val="ro-RO"/>
        </w:rPr>
        <w:t>nu au dat rezultate.</w:t>
      </w:r>
      <w:r w:rsidR="00257EB7" w:rsidRPr="00650D66">
        <w:rPr>
          <w:rFonts w:ascii="Times New Roman" w:eastAsia="Times New Roman" w:hAnsi="Times New Roman" w:cs="Times New Roman"/>
          <w:bCs/>
          <w:color w:val="000000"/>
          <w:sz w:val="24"/>
          <w:szCs w:val="24"/>
          <w:lang w:val="ro-RO"/>
        </w:rPr>
        <w:t xml:space="preserve"> Astfel, situația rămân</w:t>
      </w:r>
      <w:r w:rsidR="0082261D">
        <w:rPr>
          <w:rFonts w:ascii="Times New Roman" w:eastAsia="Times New Roman" w:hAnsi="Times New Roman" w:cs="Times New Roman"/>
          <w:bCs/>
          <w:color w:val="000000"/>
          <w:sz w:val="24"/>
          <w:szCs w:val="24"/>
          <w:lang w:val="ro-RO"/>
        </w:rPr>
        <w:t>e</w:t>
      </w:r>
      <w:r w:rsidR="0000737F" w:rsidRPr="00650D66">
        <w:rPr>
          <w:rFonts w:ascii="Times New Roman" w:eastAsia="Times New Roman" w:hAnsi="Times New Roman" w:cs="Times New Roman"/>
          <w:bCs/>
          <w:color w:val="000000"/>
          <w:sz w:val="24"/>
          <w:szCs w:val="24"/>
          <w:lang w:val="ro-RO"/>
        </w:rPr>
        <w:t xml:space="preserve"> incertă deoarece</w:t>
      </w:r>
      <w:r w:rsidR="00257EB7" w:rsidRPr="00650D66">
        <w:rPr>
          <w:rFonts w:ascii="Times New Roman" w:eastAsia="Times New Roman" w:hAnsi="Times New Roman" w:cs="Times New Roman"/>
          <w:bCs/>
          <w:color w:val="000000"/>
          <w:sz w:val="24"/>
          <w:szCs w:val="24"/>
          <w:lang w:val="ro-RO"/>
        </w:rPr>
        <w:t xml:space="preserve"> </w:t>
      </w:r>
      <w:r w:rsidR="0082261D">
        <w:rPr>
          <w:rFonts w:ascii="Times New Roman" w:eastAsia="Times New Roman" w:hAnsi="Times New Roman" w:cs="Times New Roman"/>
          <w:bCs/>
          <w:color w:val="000000"/>
          <w:sz w:val="24"/>
          <w:szCs w:val="24"/>
          <w:lang w:val="ro-RO"/>
        </w:rPr>
        <w:t xml:space="preserve">obiectivul respectiv </w:t>
      </w:r>
      <w:r w:rsidR="00257EB7" w:rsidRPr="00650D66">
        <w:rPr>
          <w:rFonts w:ascii="Times New Roman" w:eastAsia="Times New Roman" w:hAnsi="Times New Roman" w:cs="Times New Roman"/>
          <w:bCs/>
          <w:color w:val="000000"/>
          <w:sz w:val="24"/>
          <w:szCs w:val="24"/>
          <w:lang w:val="ro-RO"/>
        </w:rPr>
        <w:t xml:space="preserve">a </w:t>
      </w:r>
      <w:r w:rsidR="0082261D">
        <w:rPr>
          <w:rFonts w:ascii="Times New Roman" w:eastAsia="Times New Roman" w:hAnsi="Times New Roman" w:cs="Times New Roman"/>
          <w:bCs/>
          <w:color w:val="000000"/>
          <w:sz w:val="24"/>
          <w:szCs w:val="24"/>
          <w:lang w:val="ro-RO"/>
        </w:rPr>
        <w:t xml:space="preserve">fost </w:t>
      </w:r>
      <w:r w:rsidR="00257EB7" w:rsidRPr="00650D66">
        <w:rPr>
          <w:rFonts w:ascii="Times New Roman" w:eastAsia="Times New Roman" w:hAnsi="Times New Roman" w:cs="Times New Roman"/>
          <w:bCs/>
          <w:color w:val="000000"/>
          <w:sz w:val="24"/>
          <w:szCs w:val="24"/>
          <w:lang w:val="ro-RO"/>
        </w:rPr>
        <w:t>transmis la balanța BNM</w:t>
      </w:r>
      <w:r w:rsidR="0082261D">
        <w:rPr>
          <w:rFonts w:ascii="Times New Roman" w:eastAsia="Times New Roman" w:hAnsi="Times New Roman" w:cs="Times New Roman"/>
          <w:bCs/>
          <w:color w:val="000000"/>
          <w:sz w:val="24"/>
          <w:szCs w:val="24"/>
          <w:lang w:val="ro-RO"/>
        </w:rPr>
        <w:t xml:space="preserve"> </w:t>
      </w:r>
      <w:r w:rsidR="0082261D">
        <w:rPr>
          <w:rFonts w:ascii="Times New Roman" w:hAnsi="Times New Roman" w:cs="Times New Roman"/>
          <w:color w:val="0D0D0D" w:themeColor="text1" w:themeTint="F2"/>
          <w:sz w:val="24"/>
          <w:szCs w:val="24"/>
          <w:shd w:val="clear" w:color="auto" w:fill="FFFFFF"/>
          <w:lang w:val="ro-RO"/>
        </w:rPr>
        <w:t>prin decizia Guvernului</w:t>
      </w:r>
      <w:r w:rsidR="00257EB7" w:rsidRPr="00650D66">
        <w:rPr>
          <w:rFonts w:ascii="Times New Roman" w:eastAsia="Times New Roman" w:hAnsi="Times New Roman" w:cs="Times New Roman"/>
          <w:bCs/>
          <w:color w:val="000000"/>
          <w:sz w:val="24"/>
          <w:szCs w:val="24"/>
          <w:lang w:val="ro-RO"/>
        </w:rPr>
        <w:t>.</w:t>
      </w:r>
    </w:p>
    <w:p w14:paraId="1B592227" w14:textId="77777777" w:rsidR="00BF5F5E" w:rsidRPr="00650D66" w:rsidRDefault="00BF5F5E" w:rsidP="00BF5F5E">
      <w:pPr>
        <w:spacing w:after="0" w:line="276" w:lineRule="auto"/>
        <w:jc w:val="both"/>
        <w:rPr>
          <w:rFonts w:ascii="Times New Roman" w:eastAsia="Times New Roman" w:hAnsi="Times New Roman" w:cs="Times New Roman"/>
          <w:color w:val="000000"/>
          <w:sz w:val="6"/>
          <w:szCs w:val="6"/>
          <w:lang w:val="ro-RO"/>
        </w:rPr>
      </w:pPr>
    </w:p>
    <w:p w14:paraId="457FFF92" w14:textId="309808E3" w:rsidR="00055874" w:rsidRPr="00650D66" w:rsidRDefault="00055874" w:rsidP="00BF5F5E">
      <w:pPr>
        <w:tabs>
          <w:tab w:val="left" w:pos="426"/>
        </w:tabs>
        <w:spacing w:after="0" w:line="276" w:lineRule="auto"/>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 xml:space="preserve">La </w:t>
      </w:r>
      <w:r w:rsidR="00676B7B">
        <w:rPr>
          <w:rFonts w:ascii="Times New Roman" w:hAnsi="Times New Roman" w:cs="Times New Roman"/>
          <w:color w:val="000000" w:themeColor="text1"/>
          <w:sz w:val="24"/>
          <w:szCs w:val="24"/>
          <w:lang w:val="ro-RO"/>
        </w:rPr>
        <w:t>C</w:t>
      </w:r>
      <w:r w:rsidRPr="00650D66">
        <w:rPr>
          <w:rFonts w:ascii="Times New Roman" w:hAnsi="Times New Roman" w:cs="Times New Roman"/>
          <w:color w:val="000000" w:themeColor="text1"/>
          <w:sz w:val="24"/>
          <w:szCs w:val="24"/>
          <w:lang w:val="ro-RO"/>
        </w:rPr>
        <w:t>asa de odihnă ,,La Nistru” s</w:t>
      </w:r>
      <w:r w:rsidR="00676B7B">
        <w:rPr>
          <w:rFonts w:ascii="Times New Roman" w:hAnsi="Times New Roman" w:cs="Times New Roman"/>
          <w:color w:val="000000" w:themeColor="text1"/>
          <w:sz w:val="24"/>
          <w:szCs w:val="24"/>
          <w:lang w:val="ro-RO"/>
        </w:rPr>
        <w:t>u</w:t>
      </w:r>
      <w:r w:rsidRPr="00650D66">
        <w:rPr>
          <w:rFonts w:ascii="Times New Roman" w:hAnsi="Times New Roman" w:cs="Times New Roman"/>
          <w:color w:val="000000" w:themeColor="text1"/>
          <w:sz w:val="24"/>
          <w:szCs w:val="24"/>
          <w:lang w:val="ro-RO"/>
        </w:rPr>
        <w:t>nt angaja</w:t>
      </w:r>
      <w:r w:rsidR="00676B7B">
        <w:rPr>
          <w:rFonts w:ascii="Times New Roman" w:hAnsi="Times New Roman" w:cs="Times New Roman"/>
          <w:color w:val="000000" w:themeColor="text1"/>
          <w:sz w:val="24"/>
          <w:szCs w:val="24"/>
          <w:lang w:val="ro-RO"/>
        </w:rPr>
        <w:t>te</w:t>
      </w:r>
      <w:r w:rsidRPr="00650D66">
        <w:rPr>
          <w:rFonts w:ascii="Times New Roman" w:hAnsi="Times New Roman" w:cs="Times New Roman"/>
          <w:color w:val="000000" w:themeColor="text1"/>
          <w:sz w:val="24"/>
          <w:szCs w:val="24"/>
          <w:lang w:val="ro-RO"/>
        </w:rPr>
        <w:t xml:space="preserve"> 8 persoane</w:t>
      </w:r>
      <w:r w:rsidR="00676B7B">
        <w:rPr>
          <w:rFonts w:ascii="Times New Roman" w:hAnsi="Times New Roman" w:cs="Times New Roman"/>
          <w:color w:val="000000" w:themeColor="text1"/>
          <w:sz w:val="24"/>
          <w:szCs w:val="24"/>
          <w:lang w:val="ro-RO"/>
        </w:rPr>
        <w:t>,</w:t>
      </w:r>
      <w:r w:rsidRPr="00650D66">
        <w:rPr>
          <w:rFonts w:ascii="Times New Roman" w:hAnsi="Times New Roman" w:cs="Times New Roman"/>
          <w:color w:val="000000" w:themeColor="text1"/>
          <w:sz w:val="24"/>
          <w:szCs w:val="24"/>
          <w:lang w:val="ro-RO"/>
        </w:rPr>
        <w:t xml:space="preserve"> pentru care a fost calculată remunerarea muncii în sumă totală de 3</w:t>
      </w:r>
      <w:r w:rsidR="00676B7B">
        <w:rPr>
          <w:rFonts w:ascii="Times New Roman" w:hAnsi="Times New Roman" w:cs="Times New Roman"/>
          <w:color w:val="000000" w:themeColor="text1"/>
          <w:sz w:val="24"/>
          <w:szCs w:val="24"/>
          <w:lang w:val="ro-RO"/>
        </w:rPr>
        <w:t>.</w:t>
      </w:r>
      <w:r w:rsidRPr="00650D66">
        <w:rPr>
          <w:rFonts w:ascii="Times New Roman" w:hAnsi="Times New Roman" w:cs="Times New Roman"/>
          <w:color w:val="000000" w:themeColor="text1"/>
          <w:sz w:val="24"/>
          <w:szCs w:val="24"/>
          <w:lang w:val="ro-RO"/>
        </w:rPr>
        <w:t>304,0 mii lei</w:t>
      </w:r>
      <w:r w:rsidR="00676B7B">
        <w:rPr>
          <w:rFonts w:ascii="Times New Roman" w:hAnsi="Times New Roman" w:cs="Times New Roman"/>
          <w:color w:val="000000" w:themeColor="text1"/>
          <w:sz w:val="24"/>
          <w:szCs w:val="24"/>
          <w:lang w:val="ro-RO"/>
        </w:rPr>
        <w:t>,</w:t>
      </w:r>
      <w:r w:rsidRPr="00650D66">
        <w:rPr>
          <w:rFonts w:ascii="Times New Roman" w:hAnsi="Times New Roman" w:cs="Times New Roman"/>
          <w:color w:val="000000" w:themeColor="text1"/>
          <w:sz w:val="24"/>
          <w:szCs w:val="24"/>
          <w:lang w:val="ro-RO"/>
        </w:rPr>
        <w:t xml:space="preserve"> </w:t>
      </w:r>
      <w:r w:rsidR="00676B7B">
        <w:rPr>
          <w:rFonts w:ascii="Times New Roman" w:hAnsi="Times New Roman" w:cs="Times New Roman"/>
          <w:color w:val="000000" w:themeColor="text1"/>
          <w:sz w:val="24"/>
          <w:szCs w:val="24"/>
          <w:lang w:val="ro-RO"/>
        </w:rPr>
        <w:t>pentru</w:t>
      </w:r>
      <w:r w:rsidRPr="00650D66">
        <w:rPr>
          <w:rFonts w:ascii="Times New Roman" w:hAnsi="Times New Roman" w:cs="Times New Roman"/>
          <w:color w:val="000000" w:themeColor="text1"/>
          <w:sz w:val="24"/>
          <w:szCs w:val="24"/>
          <w:lang w:val="ro-RO"/>
        </w:rPr>
        <w:t xml:space="preserve"> perioada 2019-2022, sau 413,0 mii lei în medi</w:t>
      </w:r>
      <w:r w:rsidR="00676B7B">
        <w:rPr>
          <w:rFonts w:ascii="Times New Roman" w:hAnsi="Times New Roman" w:cs="Times New Roman"/>
          <w:color w:val="000000" w:themeColor="text1"/>
          <w:sz w:val="24"/>
          <w:szCs w:val="24"/>
          <w:lang w:val="ro-RO"/>
        </w:rPr>
        <w:t>e</w:t>
      </w:r>
      <w:r w:rsidRPr="00650D66">
        <w:rPr>
          <w:rFonts w:ascii="Times New Roman" w:hAnsi="Times New Roman" w:cs="Times New Roman"/>
          <w:color w:val="000000" w:themeColor="text1"/>
          <w:sz w:val="24"/>
          <w:szCs w:val="24"/>
          <w:lang w:val="ro-RO"/>
        </w:rPr>
        <w:t xml:space="preserve"> per persoană. </w:t>
      </w:r>
      <w:r w:rsidRPr="00650D66">
        <w:rPr>
          <w:rFonts w:ascii="Times New Roman" w:eastAsia="Times New Roman" w:hAnsi="Times New Roman" w:cs="Times New Roman"/>
          <w:bCs/>
          <w:color w:val="000000"/>
          <w:sz w:val="24"/>
          <w:szCs w:val="24"/>
          <w:lang w:val="ro-RO"/>
        </w:rPr>
        <w:t>Totodată, la Oficiul de protocol nr.9 din Holercani este angajată doar o persoană</w:t>
      </w:r>
      <w:r w:rsidR="00676B7B">
        <w:rPr>
          <w:rFonts w:ascii="Times New Roman" w:eastAsia="Times New Roman" w:hAnsi="Times New Roman" w:cs="Times New Roman"/>
          <w:bCs/>
          <w:color w:val="000000"/>
          <w:sz w:val="24"/>
          <w:szCs w:val="24"/>
          <w:lang w:val="ro-RO"/>
        </w:rPr>
        <w:t>,</w:t>
      </w:r>
      <w:r w:rsidRPr="00650D66">
        <w:rPr>
          <w:rFonts w:ascii="Times New Roman" w:eastAsia="Times New Roman" w:hAnsi="Times New Roman" w:cs="Times New Roman"/>
          <w:bCs/>
          <w:color w:val="000000"/>
          <w:sz w:val="24"/>
          <w:szCs w:val="24"/>
          <w:lang w:val="ro-RO"/>
        </w:rPr>
        <w:t xml:space="preserve"> fiind </w:t>
      </w:r>
      <w:r w:rsidRPr="00650D66">
        <w:rPr>
          <w:rFonts w:ascii="Times New Roman" w:hAnsi="Times New Roman" w:cs="Times New Roman"/>
          <w:color w:val="000000" w:themeColor="text1"/>
          <w:sz w:val="24"/>
          <w:szCs w:val="24"/>
          <w:lang w:val="ro-RO"/>
        </w:rPr>
        <w:t>calculată remunerarea muncii</w:t>
      </w:r>
      <w:r w:rsidR="00676B7B">
        <w:rPr>
          <w:rFonts w:ascii="Times New Roman" w:hAnsi="Times New Roman" w:cs="Times New Roman"/>
          <w:color w:val="000000" w:themeColor="text1"/>
          <w:sz w:val="24"/>
          <w:szCs w:val="24"/>
          <w:lang w:val="ro-RO"/>
        </w:rPr>
        <w:t>,</w:t>
      </w:r>
      <w:r w:rsidRPr="00650D66">
        <w:rPr>
          <w:rFonts w:ascii="Times New Roman" w:hAnsi="Times New Roman" w:cs="Times New Roman"/>
          <w:color w:val="000000" w:themeColor="text1"/>
          <w:sz w:val="24"/>
          <w:szCs w:val="24"/>
          <w:lang w:val="ro-RO"/>
        </w:rPr>
        <w:t xml:space="preserve"> </w:t>
      </w:r>
      <w:r w:rsidR="00457496" w:rsidRPr="00650D66">
        <w:rPr>
          <w:rFonts w:ascii="Times New Roman" w:hAnsi="Times New Roman" w:cs="Times New Roman"/>
          <w:color w:val="000000" w:themeColor="text1"/>
          <w:sz w:val="24"/>
          <w:szCs w:val="24"/>
          <w:lang w:val="ro-RO"/>
        </w:rPr>
        <w:t>în perioada 2019-2022</w:t>
      </w:r>
      <w:r w:rsidR="00676B7B">
        <w:rPr>
          <w:rFonts w:ascii="Times New Roman" w:hAnsi="Times New Roman" w:cs="Times New Roman"/>
          <w:color w:val="000000" w:themeColor="text1"/>
          <w:sz w:val="24"/>
          <w:szCs w:val="24"/>
          <w:lang w:val="ro-RO"/>
        </w:rPr>
        <w:t>,</w:t>
      </w:r>
      <w:r w:rsidR="00457496" w:rsidRPr="00650D66">
        <w:rPr>
          <w:rFonts w:ascii="Times New Roman" w:hAnsi="Times New Roman" w:cs="Times New Roman"/>
          <w:color w:val="000000" w:themeColor="text1"/>
          <w:sz w:val="24"/>
          <w:szCs w:val="24"/>
          <w:lang w:val="ro-RO"/>
        </w:rPr>
        <w:t xml:space="preserve"> </w:t>
      </w:r>
      <w:r w:rsidRPr="00650D66">
        <w:rPr>
          <w:rFonts w:ascii="Times New Roman" w:hAnsi="Times New Roman" w:cs="Times New Roman"/>
          <w:color w:val="000000" w:themeColor="text1"/>
          <w:sz w:val="24"/>
          <w:szCs w:val="24"/>
          <w:lang w:val="ro-RO"/>
        </w:rPr>
        <w:t>în sumă totală de 264,3 mii lei.</w:t>
      </w:r>
    </w:p>
    <w:p w14:paraId="5A7C4FDD" w14:textId="77777777" w:rsidR="00457496" w:rsidRPr="00650D66" w:rsidRDefault="00457496" w:rsidP="00BF5F5E">
      <w:pPr>
        <w:spacing w:after="0" w:line="276" w:lineRule="auto"/>
        <w:jc w:val="both"/>
        <w:rPr>
          <w:rFonts w:ascii="Times New Roman" w:eastAsia="Times New Roman" w:hAnsi="Times New Roman" w:cs="Times New Roman"/>
          <w:color w:val="000000"/>
          <w:sz w:val="6"/>
          <w:szCs w:val="6"/>
          <w:lang w:val="ro-RO"/>
        </w:rPr>
      </w:pPr>
    </w:p>
    <w:p w14:paraId="6E10CA97" w14:textId="131CA3D1" w:rsidR="00851025" w:rsidRPr="00650D66" w:rsidRDefault="00457496" w:rsidP="00EB0BC5">
      <w:pPr>
        <w:spacing w:after="0" w:line="276" w:lineRule="auto"/>
        <w:jc w:val="both"/>
        <w:rPr>
          <w:rFonts w:ascii="Times New Roman" w:eastAsia="Times New Roman" w:hAnsi="Times New Roman" w:cs="Times New Roman"/>
          <w:color w:val="000000"/>
          <w:sz w:val="24"/>
          <w:szCs w:val="24"/>
          <w:lang w:val="ro-RO"/>
        </w:rPr>
      </w:pPr>
      <w:r w:rsidRPr="00650D66">
        <w:rPr>
          <w:rFonts w:ascii="Times New Roman" w:eastAsia="Times New Roman" w:hAnsi="Times New Roman" w:cs="Times New Roman"/>
          <w:color w:val="000000"/>
          <w:sz w:val="24"/>
          <w:szCs w:val="24"/>
          <w:lang w:val="ro-RO"/>
        </w:rPr>
        <w:t>Totodată, î</w:t>
      </w:r>
      <w:r w:rsidR="00E058A3" w:rsidRPr="00650D66">
        <w:rPr>
          <w:rFonts w:ascii="Times New Roman" w:eastAsia="Times New Roman" w:hAnsi="Times New Roman" w:cs="Times New Roman"/>
          <w:color w:val="000000"/>
          <w:sz w:val="24"/>
          <w:szCs w:val="24"/>
          <w:lang w:val="ro-RO"/>
        </w:rPr>
        <w:t xml:space="preserve">n perioada auditată au fost executate și diverse </w:t>
      </w:r>
      <w:r w:rsidR="00E058A3" w:rsidRPr="00AE1967">
        <w:rPr>
          <w:rFonts w:ascii="Times New Roman" w:eastAsia="Times New Roman" w:hAnsi="Times New Roman" w:cs="Times New Roman"/>
          <w:color w:val="000000"/>
          <w:sz w:val="24"/>
          <w:szCs w:val="24"/>
          <w:lang w:val="ro-RO"/>
        </w:rPr>
        <w:t>cheltuieli sociale în sumă totală de 451,1 mii lei, din care</w:t>
      </w:r>
      <w:r w:rsidR="00676B7B">
        <w:rPr>
          <w:rFonts w:ascii="Times New Roman" w:eastAsia="Times New Roman" w:hAnsi="Times New Roman" w:cs="Times New Roman"/>
          <w:color w:val="000000"/>
          <w:sz w:val="24"/>
          <w:szCs w:val="24"/>
          <w:lang w:val="ro-RO"/>
        </w:rPr>
        <w:t>,</w:t>
      </w:r>
      <w:r w:rsidR="00E058A3" w:rsidRPr="00AE1967">
        <w:rPr>
          <w:rFonts w:ascii="Times New Roman" w:eastAsia="Times New Roman" w:hAnsi="Times New Roman" w:cs="Times New Roman"/>
          <w:color w:val="000000"/>
          <w:sz w:val="24"/>
          <w:szCs w:val="24"/>
          <w:lang w:val="ro-RO"/>
        </w:rPr>
        <w:t xml:space="preserve"> pentru participarea la Chișinău </w:t>
      </w:r>
      <w:proofErr w:type="spellStart"/>
      <w:r w:rsidR="00E058A3" w:rsidRPr="00AE1967">
        <w:rPr>
          <w:rFonts w:ascii="Times New Roman" w:eastAsia="Times New Roman" w:hAnsi="Times New Roman" w:cs="Times New Roman"/>
          <w:color w:val="000000"/>
          <w:sz w:val="24"/>
          <w:szCs w:val="24"/>
          <w:lang w:val="ro-RO"/>
        </w:rPr>
        <w:t>Marathon</w:t>
      </w:r>
      <w:proofErr w:type="spellEnd"/>
      <w:r w:rsidR="00E058A3" w:rsidRPr="00AE1967">
        <w:rPr>
          <w:rFonts w:ascii="Times New Roman" w:eastAsia="Times New Roman" w:hAnsi="Times New Roman" w:cs="Times New Roman"/>
          <w:color w:val="000000"/>
          <w:sz w:val="24"/>
          <w:szCs w:val="24"/>
          <w:lang w:val="ro-RO"/>
        </w:rPr>
        <w:t xml:space="preserve"> </w:t>
      </w:r>
      <w:r w:rsidR="00676B7B">
        <w:rPr>
          <w:rFonts w:ascii="Times New Roman" w:eastAsia="Times New Roman" w:hAnsi="Times New Roman" w:cs="Times New Roman"/>
          <w:color w:val="000000"/>
          <w:sz w:val="24"/>
          <w:szCs w:val="24"/>
          <w:lang w:val="ro-RO"/>
        </w:rPr>
        <w:t xml:space="preserve">– </w:t>
      </w:r>
      <w:r w:rsidR="00E058A3" w:rsidRPr="00AE1967">
        <w:rPr>
          <w:rFonts w:ascii="Times New Roman" w:eastAsia="Times New Roman" w:hAnsi="Times New Roman" w:cs="Times New Roman"/>
          <w:color w:val="000000"/>
          <w:sz w:val="24"/>
          <w:szCs w:val="24"/>
          <w:lang w:val="ro-RO"/>
        </w:rPr>
        <w:t xml:space="preserve">în sumă totală de </w:t>
      </w:r>
      <w:r w:rsidR="00481DC1" w:rsidRPr="00AE1967">
        <w:rPr>
          <w:rFonts w:ascii="Times New Roman" w:eastAsia="Times New Roman" w:hAnsi="Times New Roman" w:cs="Times New Roman"/>
          <w:color w:val="000000"/>
          <w:sz w:val="24"/>
          <w:szCs w:val="24"/>
          <w:lang w:val="ro-RO"/>
        </w:rPr>
        <w:t xml:space="preserve">18,2 mii lei, </w:t>
      </w:r>
      <w:r w:rsidR="00676B7B">
        <w:rPr>
          <w:rFonts w:ascii="Times New Roman" w:eastAsia="Times New Roman" w:hAnsi="Times New Roman" w:cs="Times New Roman"/>
          <w:color w:val="000000"/>
          <w:sz w:val="24"/>
          <w:szCs w:val="24"/>
          <w:lang w:val="ro-RO"/>
        </w:rPr>
        <w:t xml:space="preserve">cheltuieli </w:t>
      </w:r>
      <w:r w:rsidR="00481DC1" w:rsidRPr="00AE1967">
        <w:rPr>
          <w:rFonts w:ascii="Times New Roman" w:eastAsia="Times New Roman" w:hAnsi="Times New Roman" w:cs="Times New Roman"/>
          <w:color w:val="000000"/>
          <w:sz w:val="24"/>
          <w:szCs w:val="24"/>
          <w:lang w:val="ro-RO"/>
        </w:rPr>
        <w:t xml:space="preserve">care nu se regăsesc în cadrul </w:t>
      </w:r>
      <w:r w:rsidR="003065B9" w:rsidRPr="00AE1967">
        <w:rPr>
          <w:rFonts w:ascii="Times New Roman" w:eastAsia="Times New Roman" w:hAnsi="Times New Roman" w:cs="Times New Roman"/>
          <w:color w:val="000000"/>
          <w:sz w:val="24"/>
          <w:szCs w:val="24"/>
          <w:lang w:val="ro-RO"/>
        </w:rPr>
        <w:t>normativ intern</w:t>
      </w:r>
      <w:r w:rsidR="003E5FA4" w:rsidRPr="00AE1967">
        <w:rPr>
          <w:rFonts w:ascii="Times New Roman" w:eastAsia="Times New Roman" w:hAnsi="Times New Roman" w:cs="Times New Roman"/>
          <w:color w:val="000000"/>
          <w:sz w:val="24"/>
          <w:szCs w:val="24"/>
          <w:lang w:val="ro-RO"/>
        </w:rPr>
        <w:t xml:space="preserve"> al BNM</w:t>
      </w:r>
      <w:r w:rsidR="00481DC1" w:rsidRPr="00AE1967">
        <w:rPr>
          <w:rFonts w:ascii="Times New Roman" w:eastAsia="Times New Roman" w:hAnsi="Times New Roman" w:cs="Times New Roman"/>
          <w:color w:val="000000"/>
          <w:sz w:val="24"/>
          <w:szCs w:val="24"/>
          <w:lang w:val="ro-RO"/>
        </w:rPr>
        <w:t>.</w:t>
      </w:r>
    </w:p>
    <w:p w14:paraId="153905FC" w14:textId="77777777" w:rsidR="00E17833" w:rsidRPr="00650D66" w:rsidRDefault="00E17833" w:rsidP="00EB0BC5">
      <w:pPr>
        <w:spacing w:after="0" w:line="276" w:lineRule="auto"/>
        <w:jc w:val="both"/>
        <w:rPr>
          <w:rFonts w:ascii="Times New Roman" w:eastAsia="Times New Roman" w:hAnsi="Times New Roman" w:cs="Times New Roman"/>
          <w:color w:val="000000"/>
          <w:sz w:val="24"/>
          <w:szCs w:val="24"/>
          <w:lang w:val="ro-RO"/>
        </w:rPr>
      </w:pPr>
    </w:p>
    <w:p w14:paraId="47A7433A" w14:textId="0FE8D762" w:rsidR="00A16845" w:rsidRPr="00416AF9" w:rsidRDefault="00416AF9" w:rsidP="00416AF9">
      <w:pPr>
        <w:spacing w:after="0"/>
        <w:jc w:val="both"/>
        <w:rPr>
          <w:rFonts w:ascii="Times New Roman" w:hAnsi="Times New Roman" w:cs="Times New Roman"/>
          <w:b/>
          <w:sz w:val="24"/>
          <w:szCs w:val="24"/>
          <w:lang w:val="ro-RO"/>
        </w:rPr>
      </w:pPr>
      <w:r w:rsidRPr="00416AF9">
        <w:rPr>
          <w:rFonts w:ascii="Times New Roman" w:hAnsi="Times New Roman" w:cs="Times New Roman"/>
          <w:b/>
          <w:sz w:val="24"/>
          <w:szCs w:val="24"/>
          <w:lang w:val="ro-RO"/>
        </w:rPr>
        <w:t xml:space="preserve">4.2.6 </w:t>
      </w:r>
      <w:r w:rsidR="001C2846" w:rsidRPr="00416AF9">
        <w:rPr>
          <w:rFonts w:ascii="Times New Roman" w:hAnsi="Times New Roman" w:cs="Times New Roman"/>
          <w:b/>
          <w:sz w:val="24"/>
          <w:szCs w:val="24"/>
          <w:lang w:val="ro-RO"/>
        </w:rPr>
        <w:t>Beneficii</w:t>
      </w:r>
      <w:r w:rsidR="00B2623F" w:rsidRPr="00416AF9">
        <w:rPr>
          <w:rFonts w:ascii="Times New Roman" w:hAnsi="Times New Roman" w:cs="Times New Roman"/>
          <w:b/>
          <w:sz w:val="24"/>
          <w:szCs w:val="24"/>
          <w:lang w:val="ro-RO"/>
        </w:rPr>
        <w:t xml:space="preserve"> oferite angajaților BNM, prin crearea cantinei</w:t>
      </w:r>
      <w:r w:rsidR="004F174C" w:rsidRPr="00416AF9">
        <w:rPr>
          <w:rFonts w:ascii="Times New Roman" w:hAnsi="Times New Roman" w:cs="Times New Roman"/>
          <w:b/>
          <w:sz w:val="24"/>
          <w:szCs w:val="24"/>
          <w:lang w:val="ro-RO"/>
        </w:rPr>
        <w:t>,</w:t>
      </w:r>
      <w:r w:rsidR="003C59C2" w:rsidRPr="00416AF9">
        <w:rPr>
          <w:rFonts w:ascii="Times New Roman" w:hAnsi="Times New Roman" w:cs="Times New Roman"/>
          <w:b/>
          <w:sz w:val="24"/>
          <w:szCs w:val="24"/>
          <w:lang w:val="ro-RO"/>
        </w:rPr>
        <w:t xml:space="preserve"> în lipsa unei evidențe separate a </w:t>
      </w:r>
      <w:r w:rsidR="00A05FC0" w:rsidRPr="00416AF9">
        <w:rPr>
          <w:rFonts w:ascii="Times New Roman" w:hAnsi="Times New Roman" w:cs="Times New Roman"/>
          <w:b/>
          <w:sz w:val="24"/>
          <w:szCs w:val="24"/>
          <w:lang w:val="ro-RO"/>
        </w:rPr>
        <w:t>acestora</w:t>
      </w:r>
      <w:r w:rsidR="003C59C2" w:rsidRPr="00416AF9">
        <w:rPr>
          <w:rFonts w:ascii="Times New Roman" w:hAnsi="Times New Roman" w:cs="Times New Roman"/>
          <w:b/>
          <w:sz w:val="24"/>
          <w:szCs w:val="24"/>
          <w:lang w:val="ro-RO"/>
        </w:rPr>
        <w:t xml:space="preserve"> și în lipsa reglementării </w:t>
      </w:r>
      <w:r w:rsidR="00A05FC0" w:rsidRPr="00416AF9">
        <w:rPr>
          <w:rFonts w:ascii="Times New Roman" w:hAnsi="Times New Roman" w:cs="Times New Roman"/>
          <w:b/>
          <w:sz w:val="24"/>
          <w:szCs w:val="24"/>
          <w:lang w:val="ro-RO"/>
        </w:rPr>
        <w:t>calculelor</w:t>
      </w:r>
      <w:r w:rsidR="0005148F" w:rsidRPr="00416AF9">
        <w:rPr>
          <w:rFonts w:ascii="Times New Roman" w:hAnsi="Times New Roman" w:cs="Times New Roman"/>
          <w:b/>
          <w:sz w:val="24"/>
          <w:szCs w:val="24"/>
          <w:lang w:val="ro-RO"/>
        </w:rPr>
        <w:t xml:space="preserve"> adaosului comercial</w:t>
      </w:r>
      <w:r w:rsidR="003C59C2" w:rsidRPr="00416AF9">
        <w:rPr>
          <w:rFonts w:ascii="Times New Roman" w:hAnsi="Times New Roman" w:cs="Times New Roman"/>
          <w:b/>
          <w:sz w:val="24"/>
          <w:szCs w:val="24"/>
          <w:lang w:val="ro-RO"/>
        </w:rPr>
        <w:t>.</w:t>
      </w:r>
    </w:p>
    <w:p w14:paraId="76CAE820" w14:textId="3A7CAF49" w:rsidR="00143AD5" w:rsidRPr="00650D66" w:rsidRDefault="00EB00F7" w:rsidP="00B2623F">
      <w:pPr>
        <w:pStyle w:val="ListParagraph"/>
        <w:tabs>
          <w:tab w:val="left" w:pos="426"/>
        </w:tabs>
        <w:spacing w:after="0"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00B2623F" w:rsidRPr="00650D66">
        <w:rPr>
          <w:rFonts w:ascii="Times New Roman" w:hAnsi="Times New Roman" w:cs="Times New Roman"/>
          <w:sz w:val="24"/>
          <w:szCs w:val="24"/>
          <w:lang w:val="ro-RO"/>
        </w:rPr>
        <w:t xml:space="preserve">n cadrul BNM </w:t>
      </w:r>
      <w:r>
        <w:rPr>
          <w:rFonts w:ascii="Times New Roman" w:hAnsi="Times New Roman" w:cs="Times New Roman"/>
          <w:sz w:val="24"/>
          <w:szCs w:val="24"/>
          <w:lang w:val="ro-RO"/>
        </w:rPr>
        <w:t>funcționează</w:t>
      </w:r>
      <w:r w:rsidRPr="00650D66">
        <w:rPr>
          <w:rFonts w:ascii="Times New Roman" w:hAnsi="Times New Roman" w:cs="Times New Roman"/>
          <w:sz w:val="24"/>
          <w:szCs w:val="24"/>
          <w:lang w:val="ro-RO"/>
        </w:rPr>
        <w:t xml:space="preserve"> </w:t>
      </w:r>
      <w:r w:rsidR="00B2623F" w:rsidRPr="00650D66">
        <w:rPr>
          <w:rFonts w:ascii="Times New Roman" w:hAnsi="Times New Roman" w:cs="Times New Roman"/>
          <w:sz w:val="24"/>
          <w:szCs w:val="24"/>
          <w:lang w:val="ro-RO"/>
        </w:rPr>
        <w:t xml:space="preserve">o cantină </w:t>
      </w:r>
      <w:r w:rsidR="00EA68CE" w:rsidRPr="00650D66">
        <w:rPr>
          <w:rFonts w:ascii="Times New Roman" w:hAnsi="Times New Roman" w:cs="Times New Roman"/>
          <w:sz w:val="24"/>
          <w:szCs w:val="24"/>
          <w:lang w:val="ro-RO"/>
        </w:rPr>
        <w:t>și o sală</w:t>
      </w:r>
      <w:r w:rsidR="00FE7F3E" w:rsidRPr="00650D66">
        <w:rPr>
          <w:rFonts w:ascii="Times New Roman" w:hAnsi="Times New Roman" w:cs="Times New Roman"/>
          <w:sz w:val="24"/>
          <w:szCs w:val="24"/>
          <w:lang w:val="ro-RO"/>
        </w:rPr>
        <w:t xml:space="preserve"> de sport</w:t>
      </w:r>
      <w:r w:rsidR="004B697A" w:rsidRPr="00650D66">
        <w:rPr>
          <w:rFonts w:ascii="Times New Roman" w:hAnsi="Times New Roman" w:cs="Times New Roman"/>
          <w:sz w:val="24"/>
          <w:szCs w:val="24"/>
          <w:lang w:val="ro-RO"/>
        </w:rPr>
        <w:t>, ca activit</w:t>
      </w:r>
      <w:r w:rsidR="00BC6425">
        <w:rPr>
          <w:rFonts w:ascii="Times New Roman" w:hAnsi="Times New Roman" w:cs="Times New Roman"/>
          <w:sz w:val="24"/>
          <w:szCs w:val="24"/>
          <w:lang w:val="ro-RO"/>
        </w:rPr>
        <w:t>ăți</w:t>
      </w:r>
      <w:r w:rsidR="004B697A" w:rsidRPr="00650D66">
        <w:rPr>
          <w:rFonts w:ascii="Times New Roman" w:hAnsi="Times New Roman" w:cs="Times New Roman"/>
          <w:sz w:val="24"/>
          <w:szCs w:val="24"/>
          <w:lang w:val="ro-RO"/>
        </w:rPr>
        <w:t xml:space="preserve"> conex</w:t>
      </w:r>
      <w:r w:rsidR="00BC6425">
        <w:rPr>
          <w:rFonts w:ascii="Times New Roman" w:hAnsi="Times New Roman" w:cs="Times New Roman"/>
          <w:sz w:val="24"/>
          <w:szCs w:val="24"/>
          <w:lang w:val="ro-RO"/>
        </w:rPr>
        <w:t>e</w:t>
      </w:r>
      <w:r w:rsidR="00FE7F3E" w:rsidRPr="00650D66">
        <w:rPr>
          <w:rFonts w:ascii="Times New Roman" w:hAnsi="Times New Roman" w:cs="Times New Roman"/>
          <w:sz w:val="24"/>
          <w:szCs w:val="24"/>
          <w:lang w:val="ro-RO"/>
        </w:rPr>
        <w:t>.</w:t>
      </w:r>
      <w:r w:rsidR="00417538" w:rsidRPr="00650D66">
        <w:rPr>
          <w:rFonts w:ascii="Times New Roman" w:hAnsi="Times New Roman" w:cs="Times New Roman"/>
          <w:sz w:val="24"/>
          <w:szCs w:val="24"/>
          <w:lang w:val="ro-RO"/>
        </w:rPr>
        <w:t xml:space="preserve"> </w:t>
      </w:r>
      <w:r w:rsidR="006F6D56" w:rsidRPr="00650D66">
        <w:rPr>
          <w:rFonts w:ascii="Times New Roman" w:hAnsi="Times New Roman" w:cs="Times New Roman"/>
          <w:sz w:val="24"/>
          <w:szCs w:val="24"/>
          <w:lang w:val="ro-RO"/>
        </w:rPr>
        <w:t xml:space="preserve">În anul 2021 au fost executate lucrări de reparație a sălii </w:t>
      </w:r>
      <w:r>
        <w:rPr>
          <w:rFonts w:ascii="Times New Roman" w:hAnsi="Times New Roman" w:cs="Times New Roman"/>
          <w:sz w:val="24"/>
          <w:szCs w:val="24"/>
          <w:lang w:val="ro-RO"/>
        </w:rPr>
        <w:t xml:space="preserve">de </w:t>
      </w:r>
      <w:r w:rsidR="006F6D56" w:rsidRPr="00650D66">
        <w:rPr>
          <w:rFonts w:ascii="Times New Roman" w:hAnsi="Times New Roman" w:cs="Times New Roman"/>
          <w:sz w:val="24"/>
          <w:szCs w:val="24"/>
          <w:lang w:val="ro-RO"/>
        </w:rPr>
        <w:t>sport din sediul BNM</w:t>
      </w:r>
      <w:r w:rsidR="00BC6425">
        <w:rPr>
          <w:rFonts w:ascii="Times New Roman" w:hAnsi="Times New Roman" w:cs="Times New Roman"/>
          <w:sz w:val="24"/>
          <w:szCs w:val="24"/>
          <w:lang w:val="ro-RO"/>
        </w:rPr>
        <w:t>,</w:t>
      </w:r>
      <w:r w:rsidR="006F6D56" w:rsidRPr="00650D66">
        <w:rPr>
          <w:rFonts w:ascii="Times New Roman" w:hAnsi="Times New Roman" w:cs="Times New Roman"/>
          <w:sz w:val="24"/>
          <w:szCs w:val="24"/>
          <w:lang w:val="ro-RO"/>
        </w:rPr>
        <w:t xml:space="preserve"> în sumă de 242,3 mii lei</w:t>
      </w:r>
      <w:r w:rsidR="006F6D56" w:rsidRPr="00650D66">
        <w:rPr>
          <w:rStyle w:val="FootnoteReference"/>
          <w:rFonts w:ascii="Times New Roman" w:hAnsi="Times New Roman" w:cs="Times New Roman"/>
          <w:sz w:val="24"/>
          <w:szCs w:val="24"/>
          <w:lang w:val="ro-RO"/>
        </w:rPr>
        <w:footnoteReference w:id="59"/>
      </w:r>
      <w:r w:rsidR="00A55648" w:rsidRPr="00650D66">
        <w:rPr>
          <w:rFonts w:ascii="Times New Roman" w:hAnsi="Times New Roman" w:cs="Times New Roman"/>
          <w:sz w:val="24"/>
          <w:szCs w:val="24"/>
          <w:lang w:val="ro-RO"/>
        </w:rPr>
        <w:t xml:space="preserve">, în care se antrenează personalul din </w:t>
      </w:r>
      <w:r>
        <w:rPr>
          <w:rFonts w:ascii="Times New Roman" w:hAnsi="Times New Roman" w:cs="Times New Roman"/>
          <w:sz w:val="24"/>
          <w:szCs w:val="24"/>
          <w:lang w:val="ro-RO"/>
        </w:rPr>
        <w:t xml:space="preserve">serviciul de </w:t>
      </w:r>
      <w:r w:rsidR="00A55648" w:rsidRPr="00650D66">
        <w:rPr>
          <w:rFonts w:ascii="Times New Roman" w:hAnsi="Times New Roman" w:cs="Times New Roman"/>
          <w:sz w:val="24"/>
          <w:szCs w:val="24"/>
          <w:lang w:val="ro-RO"/>
        </w:rPr>
        <w:t>securitate.</w:t>
      </w:r>
      <w:r w:rsidR="003A6D2B" w:rsidRPr="00650D66">
        <w:rPr>
          <w:rFonts w:ascii="Times New Roman" w:hAnsi="Times New Roman" w:cs="Times New Roman"/>
          <w:sz w:val="24"/>
          <w:szCs w:val="24"/>
          <w:lang w:val="ro-RO"/>
        </w:rPr>
        <w:t xml:space="preserve"> </w:t>
      </w:r>
    </w:p>
    <w:p w14:paraId="61380E95" w14:textId="77777777" w:rsidR="004B697A" w:rsidRPr="00650D66" w:rsidRDefault="004B697A" w:rsidP="00B2623F">
      <w:pPr>
        <w:pStyle w:val="ListParagraph"/>
        <w:tabs>
          <w:tab w:val="left" w:pos="426"/>
        </w:tabs>
        <w:spacing w:after="0" w:line="276" w:lineRule="auto"/>
        <w:ind w:left="0"/>
        <w:jc w:val="both"/>
        <w:rPr>
          <w:rFonts w:ascii="Times New Roman" w:hAnsi="Times New Roman" w:cs="Times New Roman"/>
          <w:sz w:val="6"/>
          <w:szCs w:val="6"/>
          <w:lang w:val="ro-RO"/>
        </w:rPr>
      </w:pPr>
    </w:p>
    <w:p w14:paraId="3E9446D1" w14:textId="5C5D690C" w:rsidR="00A16845" w:rsidRPr="00650D66" w:rsidRDefault="00A16845" w:rsidP="000C6DE1">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Activitatea cantinei se desfășoară în conformitate cu prevederile HG nr.1209 din 08.11.2007 ,,</w:t>
      </w:r>
      <w:r w:rsidR="00BC6425">
        <w:rPr>
          <w:rFonts w:ascii="Times New Roman" w:hAnsi="Times New Roman" w:cs="Times New Roman"/>
          <w:sz w:val="24"/>
          <w:szCs w:val="24"/>
          <w:lang w:val="ro-RO"/>
        </w:rPr>
        <w:t>C</w:t>
      </w:r>
      <w:r w:rsidRPr="00650D66">
        <w:rPr>
          <w:rFonts w:ascii="Times New Roman" w:hAnsi="Times New Roman" w:cs="Times New Roman"/>
          <w:sz w:val="24"/>
          <w:szCs w:val="24"/>
          <w:lang w:val="ro-RO"/>
        </w:rPr>
        <w:t xml:space="preserve">u privire la prestarea serviciilor de alimentație publică”, </w:t>
      </w:r>
      <w:r w:rsidR="00BC6425">
        <w:rPr>
          <w:rFonts w:ascii="Times New Roman" w:hAnsi="Times New Roman" w:cs="Times New Roman"/>
          <w:sz w:val="24"/>
          <w:szCs w:val="24"/>
          <w:lang w:val="ro-RO"/>
        </w:rPr>
        <w:t xml:space="preserve">cu </w:t>
      </w:r>
      <w:r w:rsidRPr="00650D66">
        <w:rPr>
          <w:rFonts w:ascii="Times New Roman" w:hAnsi="Times New Roman" w:cs="Times New Roman"/>
          <w:sz w:val="24"/>
          <w:szCs w:val="24"/>
          <w:lang w:val="ro-RO"/>
        </w:rPr>
        <w:t>legislația în domeniu a RM, ordinele și dispozițiile conducerii BNM și Regulamentul privind activitatea cantinei din cadrul BNM</w:t>
      </w:r>
      <w:r w:rsidRPr="00650D66">
        <w:rPr>
          <w:rStyle w:val="FootnoteReference"/>
          <w:rFonts w:ascii="Times New Roman" w:hAnsi="Times New Roman" w:cs="Times New Roman"/>
          <w:sz w:val="24"/>
          <w:szCs w:val="24"/>
          <w:lang w:val="ro-RO"/>
        </w:rPr>
        <w:footnoteReference w:id="60"/>
      </w:r>
      <w:r w:rsidRPr="00650D66">
        <w:rPr>
          <w:rFonts w:ascii="Times New Roman" w:hAnsi="Times New Roman" w:cs="Times New Roman"/>
          <w:sz w:val="24"/>
          <w:szCs w:val="24"/>
          <w:lang w:val="ro-RO"/>
        </w:rPr>
        <w:t>.</w:t>
      </w:r>
    </w:p>
    <w:p w14:paraId="596D8DDA" w14:textId="77777777" w:rsidR="00C0157E" w:rsidRPr="00650D66" w:rsidRDefault="00C0157E" w:rsidP="000C6DE1">
      <w:pPr>
        <w:spacing w:after="0"/>
        <w:jc w:val="both"/>
        <w:rPr>
          <w:rFonts w:ascii="Times New Roman" w:hAnsi="Times New Roman" w:cs="Times New Roman"/>
          <w:sz w:val="6"/>
          <w:szCs w:val="6"/>
          <w:lang w:val="ro-RO"/>
        </w:rPr>
      </w:pPr>
    </w:p>
    <w:p w14:paraId="5AE7BA70" w14:textId="5F33B894" w:rsidR="002D35E6" w:rsidRPr="00650D66" w:rsidRDefault="001431FF" w:rsidP="000C6DE1">
      <w:pPr>
        <w:tabs>
          <w:tab w:val="left" w:pos="426"/>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Auditul relevă că l</w:t>
      </w:r>
      <w:r w:rsidR="002D35E6" w:rsidRPr="00650D66">
        <w:rPr>
          <w:rFonts w:ascii="Times New Roman" w:hAnsi="Times New Roman" w:cs="Times New Roman"/>
          <w:sz w:val="24"/>
          <w:szCs w:val="24"/>
          <w:lang w:val="ro-RO"/>
        </w:rPr>
        <w:t>a cantina BNM s</w:t>
      </w:r>
      <w:r w:rsidR="00BC6425">
        <w:rPr>
          <w:rFonts w:ascii="Times New Roman" w:hAnsi="Times New Roman" w:cs="Times New Roman"/>
          <w:sz w:val="24"/>
          <w:szCs w:val="24"/>
          <w:lang w:val="ro-RO"/>
        </w:rPr>
        <w:t>u</w:t>
      </w:r>
      <w:r w:rsidR="002D35E6" w:rsidRPr="00650D66">
        <w:rPr>
          <w:rFonts w:ascii="Times New Roman" w:hAnsi="Times New Roman" w:cs="Times New Roman"/>
          <w:sz w:val="24"/>
          <w:szCs w:val="24"/>
          <w:lang w:val="ro-RO"/>
        </w:rPr>
        <w:t>nt</w:t>
      </w:r>
      <w:r w:rsidR="00904A50" w:rsidRPr="00650D66">
        <w:rPr>
          <w:rFonts w:ascii="Times New Roman" w:hAnsi="Times New Roman" w:cs="Times New Roman"/>
          <w:sz w:val="24"/>
          <w:szCs w:val="24"/>
          <w:lang w:val="ro-RO"/>
        </w:rPr>
        <w:t xml:space="preserve"> angajate 10</w:t>
      </w:r>
      <w:r w:rsidR="002D35E6" w:rsidRPr="00650D66">
        <w:rPr>
          <w:rFonts w:ascii="Times New Roman" w:hAnsi="Times New Roman" w:cs="Times New Roman"/>
          <w:sz w:val="24"/>
          <w:szCs w:val="24"/>
          <w:lang w:val="ro-RO"/>
        </w:rPr>
        <w:t xml:space="preserve"> persoane</w:t>
      </w:r>
      <w:r w:rsidR="007C050B" w:rsidRPr="00650D66">
        <w:rPr>
          <w:rFonts w:ascii="Times New Roman" w:hAnsi="Times New Roman" w:cs="Times New Roman"/>
          <w:sz w:val="24"/>
          <w:szCs w:val="24"/>
          <w:lang w:val="ro-RO"/>
        </w:rPr>
        <w:t xml:space="preserve"> (bucătari, casier etc.)</w:t>
      </w:r>
      <w:r w:rsidR="002D35E6" w:rsidRPr="00650D66">
        <w:rPr>
          <w:rFonts w:ascii="Times New Roman" w:hAnsi="Times New Roman" w:cs="Times New Roman"/>
          <w:sz w:val="24"/>
          <w:szCs w:val="24"/>
          <w:lang w:val="ro-RO"/>
        </w:rPr>
        <w:t>, în perioada 2019-2022 fiind remunerate în sumă totală de 3</w:t>
      </w:r>
      <w:r w:rsidR="00BC6425">
        <w:rPr>
          <w:rFonts w:ascii="Times New Roman" w:hAnsi="Times New Roman" w:cs="Times New Roman"/>
          <w:sz w:val="24"/>
          <w:szCs w:val="24"/>
          <w:lang w:val="ro-RO"/>
        </w:rPr>
        <w:t>.</w:t>
      </w:r>
      <w:r w:rsidR="002D35E6" w:rsidRPr="00650D66">
        <w:rPr>
          <w:rFonts w:ascii="Times New Roman" w:hAnsi="Times New Roman" w:cs="Times New Roman"/>
          <w:sz w:val="24"/>
          <w:szCs w:val="24"/>
          <w:lang w:val="ro-RO"/>
        </w:rPr>
        <w:t>450,8 mii lei, din care în anul 2019 – 745,1 mii lei, în anul 2020 – 779,0 mii lei, în anul 2021 – 763,3 mii lei</w:t>
      </w:r>
      <w:r w:rsidR="00BC6425">
        <w:rPr>
          <w:rFonts w:ascii="Times New Roman" w:hAnsi="Times New Roman" w:cs="Times New Roman"/>
          <w:sz w:val="24"/>
          <w:szCs w:val="24"/>
          <w:lang w:val="ro-RO"/>
        </w:rPr>
        <w:t>,</w:t>
      </w:r>
      <w:r w:rsidR="002D35E6" w:rsidRPr="00650D66">
        <w:rPr>
          <w:rFonts w:ascii="Times New Roman" w:hAnsi="Times New Roman" w:cs="Times New Roman"/>
          <w:sz w:val="24"/>
          <w:szCs w:val="24"/>
          <w:lang w:val="ro-RO"/>
        </w:rPr>
        <w:t xml:space="preserve"> și în anul 2022 – 1</w:t>
      </w:r>
      <w:r w:rsidR="00BC6425">
        <w:rPr>
          <w:rFonts w:ascii="Times New Roman" w:hAnsi="Times New Roman" w:cs="Times New Roman"/>
          <w:sz w:val="24"/>
          <w:szCs w:val="24"/>
          <w:lang w:val="ro-RO"/>
        </w:rPr>
        <w:t>.</w:t>
      </w:r>
      <w:r w:rsidR="002D35E6" w:rsidRPr="00650D66">
        <w:rPr>
          <w:rFonts w:ascii="Times New Roman" w:hAnsi="Times New Roman" w:cs="Times New Roman"/>
          <w:sz w:val="24"/>
          <w:szCs w:val="24"/>
          <w:lang w:val="ro-RO"/>
        </w:rPr>
        <w:t>163,4 mii lei.</w:t>
      </w:r>
      <w:r w:rsidRPr="00650D66">
        <w:rPr>
          <w:rFonts w:ascii="Times New Roman" w:hAnsi="Times New Roman" w:cs="Times New Roman"/>
          <w:sz w:val="24"/>
          <w:szCs w:val="24"/>
          <w:lang w:val="ro-RO"/>
        </w:rPr>
        <w:t xml:space="preserve"> În anul 2022 au fost înregistrate cheltuieli pentru remunerarea muncii mai mari cu 400,1 mii lei față de anul precedent</w:t>
      </w:r>
      <w:r w:rsidR="005260A3" w:rsidRPr="00650D66">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deoarece salariile de bază a</w:t>
      </w:r>
      <w:r w:rsidR="00BC6425">
        <w:rPr>
          <w:rFonts w:ascii="Times New Roman" w:hAnsi="Times New Roman" w:cs="Times New Roman"/>
          <w:sz w:val="24"/>
          <w:szCs w:val="24"/>
          <w:lang w:val="ro-RO"/>
        </w:rPr>
        <w:t>le</w:t>
      </w:r>
      <w:r w:rsidRPr="00650D66">
        <w:rPr>
          <w:rFonts w:ascii="Times New Roman" w:hAnsi="Times New Roman" w:cs="Times New Roman"/>
          <w:sz w:val="24"/>
          <w:szCs w:val="24"/>
          <w:lang w:val="ro-RO"/>
        </w:rPr>
        <w:t xml:space="preserve"> angajaților</w:t>
      </w:r>
      <w:r w:rsidR="005260A3" w:rsidRPr="00650D66">
        <w:rPr>
          <w:rFonts w:ascii="Times New Roman" w:hAnsi="Times New Roman" w:cs="Times New Roman"/>
          <w:sz w:val="24"/>
          <w:szCs w:val="24"/>
          <w:lang w:val="ro-RO"/>
        </w:rPr>
        <w:t xml:space="preserve"> cantinei BNM</w:t>
      </w:r>
      <w:r w:rsidRPr="00650D66">
        <w:rPr>
          <w:rFonts w:ascii="Times New Roman" w:hAnsi="Times New Roman" w:cs="Times New Roman"/>
          <w:sz w:val="24"/>
          <w:szCs w:val="24"/>
          <w:lang w:val="ro-RO"/>
        </w:rPr>
        <w:t xml:space="preserve"> au fost majorate cu circa 30,0%.</w:t>
      </w:r>
    </w:p>
    <w:p w14:paraId="06E83727" w14:textId="77777777" w:rsidR="002D35E6" w:rsidRPr="00650D66" w:rsidRDefault="002D35E6" w:rsidP="000C6DE1">
      <w:pPr>
        <w:tabs>
          <w:tab w:val="left" w:pos="426"/>
        </w:tabs>
        <w:spacing w:after="0" w:line="276" w:lineRule="auto"/>
        <w:jc w:val="both"/>
        <w:rPr>
          <w:rFonts w:ascii="Times New Roman" w:hAnsi="Times New Roman" w:cs="Times New Roman"/>
          <w:sz w:val="6"/>
          <w:szCs w:val="6"/>
          <w:lang w:val="ro-RO"/>
        </w:rPr>
      </w:pPr>
    </w:p>
    <w:p w14:paraId="15988C31" w14:textId="77777777" w:rsidR="006F17A8" w:rsidRPr="00650D66" w:rsidRDefault="00805302" w:rsidP="000C6DE1">
      <w:pPr>
        <w:tabs>
          <w:tab w:val="left" w:pos="426"/>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Conform ,,Instrucțiunii privind modul de planificare, organizare și desfășurare a achizițiilor în Banca Națională a Moldovei”</w:t>
      </w:r>
      <w:r w:rsidR="002B3320" w:rsidRPr="00650D66">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BNM anual </w:t>
      </w:r>
      <w:r w:rsidR="00704229" w:rsidRPr="00650D66">
        <w:rPr>
          <w:rFonts w:ascii="Times New Roman" w:hAnsi="Times New Roman" w:cs="Times New Roman"/>
          <w:sz w:val="24"/>
          <w:szCs w:val="24"/>
          <w:lang w:val="ro-RO"/>
        </w:rPr>
        <w:t xml:space="preserve">aprobă Planul de achiziții general al BNM </w:t>
      </w:r>
      <w:r w:rsidR="00BE631B" w:rsidRPr="00650D66">
        <w:rPr>
          <w:rFonts w:ascii="Times New Roman" w:hAnsi="Times New Roman" w:cs="Times New Roman"/>
          <w:sz w:val="24"/>
          <w:szCs w:val="24"/>
          <w:lang w:val="ro-RO"/>
        </w:rPr>
        <w:t>și</w:t>
      </w:r>
      <w:r w:rsidR="00704229" w:rsidRPr="00650D66">
        <w:rPr>
          <w:rFonts w:ascii="Times New Roman" w:hAnsi="Times New Roman" w:cs="Times New Roman"/>
          <w:sz w:val="24"/>
          <w:szCs w:val="24"/>
          <w:lang w:val="ro-RO"/>
        </w:rPr>
        <w:t xml:space="preserve"> </w:t>
      </w:r>
      <w:r w:rsidR="002B3320" w:rsidRPr="00650D66">
        <w:rPr>
          <w:rFonts w:ascii="Times New Roman" w:hAnsi="Times New Roman" w:cs="Times New Roman"/>
          <w:sz w:val="24"/>
          <w:szCs w:val="24"/>
          <w:lang w:val="ro-RO"/>
        </w:rPr>
        <w:t>Planul de achiziții pentru cantina BNM privind achiziționarea produselor alimentare.</w:t>
      </w:r>
      <w:r w:rsidR="00CC19CE" w:rsidRPr="00650D66">
        <w:rPr>
          <w:rFonts w:ascii="Times New Roman" w:hAnsi="Times New Roman" w:cs="Times New Roman"/>
          <w:sz w:val="24"/>
          <w:szCs w:val="24"/>
          <w:lang w:val="ro-RO"/>
        </w:rPr>
        <w:t xml:space="preserve"> </w:t>
      </w:r>
    </w:p>
    <w:p w14:paraId="1846F00C" w14:textId="150824C4" w:rsidR="00A11D51" w:rsidRPr="00650D66" w:rsidRDefault="00BB7571" w:rsidP="000C6DE1">
      <w:pPr>
        <w:tabs>
          <w:tab w:val="left" w:pos="426"/>
        </w:tabs>
        <w:spacing w:after="0" w:line="276" w:lineRule="auto"/>
        <w:jc w:val="both"/>
        <w:rPr>
          <w:rFonts w:ascii="Times New Roman" w:hAnsi="Times New Roman" w:cs="Times New Roman"/>
          <w:i/>
          <w:sz w:val="24"/>
          <w:szCs w:val="24"/>
          <w:lang w:val="ro-RO"/>
        </w:rPr>
      </w:pPr>
      <w:r w:rsidRPr="00650D66">
        <w:rPr>
          <w:rFonts w:ascii="Times New Roman" w:hAnsi="Times New Roman" w:cs="Times New Roman"/>
          <w:sz w:val="24"/>
          <w:szCs w:val="24"/>
          <w:lang w:val="ro-RO"/>
        </w:rPr>
        <w:t>În perioada auditată, au fost planificate și efectuate doar proceduri de achiziții de valoare mică</w:t>
      </w:r>
      <w:r w:rsidR="00F90154" w:rsidRPr="00650D66">
        <w:rPr>
          <w:rFonts w:ascii="Times New Roman" w:hAnsi="Times New Roman" w:cs="Times New Roman"/>
          <w:sz w:val="24"/>
          <w:szCs w:val="24"/>
          <w:lang w:val="ro-RO"/>
        </w:rPr>
        <w:t xml:space="preserve"> la achiziționarea produselor </w:t>
      </w:r>
      <w:r w:rsidR="00F90154" w:rsidRPr="0097551D">
        <w:rPr>
          <w:rFonts w:ascii="Times New Roman" w:hAnsi="Times New Roman" w:cs="Times New Roman"/>
          <w:sz w:val="24"/>
          <w:szCs w:val="24"/>
          <w:lang w:val="ro-RO"/>
        </w:rPr>
        <w:t>alimentare</w:t>
      </w:r>
      <w:r w:rsidRPr="0097551D">
        <w:rPr>
          <w:rFonts w:ascii="Times New Roman" w:hAnsi="Times New Roman" w:cs="Times New Roman"/>
          <w:sz w:val="24"/>
          <w:szCs w:val="24"/>
          <w:lang w:val="ro-RO"/>
        </w:rPr>
        <w:t xml:space="preserve">. </w:t>
      </w:r>
      <w:r w:rsidR="00A2232A" w:rsidRPr="0097551D">
        <w:rPr>
          <w:rFonts w:ascii="Times New Roman" w:hAnsi="Times New Roman" w:cs="Times New Roman"/>
          <w:sz w:val="24"/>
          <w:szCs w:val="24"/>
          <w:lang w:val="ro-RO"/>
        </w:rPr>
        <w:t>Verificările auditului</w:t>
      </w:r>
      <w:r w:rsidR="00557F91" w:rsidRPr="0097551D">
        <w:rPr>
          <w:rFonts w:ascii="Times New Roman" w:hAnsi="Times New Roman" w:cs="Times New Roman"/>
          <w:sz w:val="24"/>
          <w:szCs w:val="24"/>
          <w:lang w:val="ro-RO"/>
        </w:rPr>
        <w:t xml:space="preserve"> a</w:t>
      </w:r>
      <w:r w:rsidR="00A2232A" w:rsidRPr="0097551D">
        <w:rPr>
          <w:rFonts w:ascii="Times New Roman" w:hAnsi="Times New Roman" w:cs="Times New Roman"/>
          <w:sz w:val="24"/>
          <w:szCs w:val="24"/>
          <w:lang w:val="ro-RO"/>
        </w:rPr>
        <w:t>u</w:t>
      </w:r>
      <w:r w:rsidR="00557F91" w:rsidRPr="0097551D">
        <w:rPr>
          <w:rFonts w:ascii="Times New Roman" w:hAnsi="Times New Roman" w:cs="Times New Roman"/>
          <w:sz w:val="24"/>
          <w:szCs w:val="24"/>
          <w:lang w:val="ro-RO"/>
        </w:rPr>
        <w:t xml:space="preserve"> constatat că BNM nu corelează alocațiile aprobate </w:t>
      </w:r>
      <w:r w:rsidR="00305EE4" w:rsidRPr="0097551D">
        <w:rPr>
          <w:rFonts w:ascii="Times New Roman" w:hAnsi="Times New Roman" w:cs="Times New Roman"/>
          <w:sz w:val="24"/>
          <w:szCs w:val="24"/>
          <w:lang w:val="ro-RO"/>
        </w:rPr>
        <w:t xml:space="preserve">anual </w:t>
      </w:r>
      <w:r w:rsidR="00557F91" w:rsidRPr="0097551D">
        <w:rPr>
          <w:rFonts w:ascii="Times New Roman" w:hAnsi="Times New Roman" w:cs="Times New Roman"/>
          <w:sz w:val="24"/>
          <w:szCs w:val="24"/>
          <w:lang w:val="ro-RO"/>
        </w:rPr>
        <w:t>pentru produsele alimentare în Planurile de achiziții și devizele de cheltuieli aprobate.</w:t>
      </w:r>
      <w:r w:rsidR="00A47DCA" w:rsidRPr="0097551D">
        <w:rPr>
          <w:rFonts w:ascii="Times New Roman" w:hAnsi="Times New Roman" w:cs="Times New Roman"/>
          <w:sz w:val="24"/>
          <w:szCs w:val="24"/>
          <w:lang w:val="ro-RO"/>
        </w:rPr>
        <w:t xml:space="preserve"> </w:t>
      </w:r>
      <w:r w:rsidR="00516532">
        <w:rPr>
          <w:rFonts w:ascii="Times New Roman" w:hAnsi="Times New Roman" w:cs="Times New Roman"/>
          <w:sz w:val="24"/>
          <w:szCs w:val="24"/>
          <w:lang w:val="ro-RO"/>
        </w:rPr>
        <w:t>Ca u</w:t>
      </w:r>
      <w:r w:rsidR="00A47DCA" w:rsidRPr="0097551D">
        <w:rPr>
          <w:rFonts w:ascii="Times New Roman" w:hAnsi="Times New Roman" w:cs="Times New Roman"/>
          <w:sz w:val="24"/>
          <w:szCs w:val="24"/>
          <w:lang w:val="ro-RO"/>
        </w:rPr>
        <w:t>rmare nu se asigură</w:t>
      </w:r>
      <w:r w:rsidR="00A47DCA" w:rsidRPr="00650D66">
        <w:rPr>
          <w:rFonts w:ascii="Times New Roman" w:hAnsi="Times New Roman" w:cs="Times New Roman"/>
          <w:sz w:val="24"/>
          <w:szCs w:val="24"/>
          <w:lang w:val="ro-RO"/>
        </w:rPr>
        <w:t xml:space="preserve"> un proces eficient de monitorizare în acest aspect.</w:t>
      </w:r>
      <w:r w:rsidR="00557F91" w:rsidRPr="00650D66">
        <w:rPr>
          <w:rFonts w:ascii="Times New Roman" w:hAnsi="Times New Roman" w:cs="Times New Roman"/>
          <w:sz w:val="24"/>
          <w:szCs w:val="24"/>
          <w:lang w:val="ro-RO"/>
        </w:rPr>
        <w:t xml:space="preserve"> </w:t>
      </w:r>
      <w:r w:rsidR="00557F91" w:rsidRPr="00650D66">
        <w:rPr>
          <w:rFonts w:ascii="Times New Roman" w:hAnsi="Times New Roman" w:cs="Times New Roman"/>
          <w:i/>
          <w:sz w:val="24"/>
          <w:szCs w:val="24"/>
          <w:lang w:val="ro-RO"/>
        </w:rPr>
        <w:lastRenderedPageBreak/>
        <w:t>Informați</w:t>
      </w:r>
      <w:r w:rsidR="00516532">
        <w:rPr>
          <w:rFonts w:ascii="Times New Roman" w:hAnsi="Times New Roman" w:cs="Times New Roman"/>
          <w:i/>
          <w:sz w:val="24"/>
          <w:szCs w:val="24"/>
          <w:lang w:val="ro-RO"/>
        </w:rPr>
        <w:t>ile</w:t>
      </w:r>
      <w:r w:rsidR="00557F91" w:rsidRPr="00650D66">
        <w:rPr>
          <w:rFonts w:ascii="Times New Roman" w:hAnsi="Times New Roman" w:cs="Times New Roman"/>
          <w:i/>
          <w:sz w:val="24"/>
          <w:szCs w:val="24"/>
          <w:lang w:val="ro-RO"/>
        </w:rPr>
        <w:t xml:space="preserve"> sintetizat</w:t>
      </w:r>
      <w:r w:rsidR="00516532">
        <w:rPr>
          <w:rFonts w:ascii="Times New Roman" w:hAnsi="Times New Roman" w:cs="Times New Roman"/>
          <w:i/>
          <w:sz w:val="24"/>
          <w:szCs w:val="24"/>
          <w:lang w:val="ro-RO"/>
        </w:rPr>
        <w:t>e</w:t>
      </w:r>
      <w:r w:rsidR="00162652" w:rsidRPr="00650D66">
        <w:rPr>
          <w:rFonts w:ascii="Times New Roman" w:hAnsi="Times New Roman" w:cs="Times New Roman"/>
          <w:i/>
          <w:sz w:val="24"/>
          <w:szCs w:val="24"/>
          <w:lang w:val="ro-RO"/>
        </w:rPr>
        <w:t xml:space="preserve"> privind alocațiile aprobate</w:t>
      </w:r>
      <w:r w:rsidR="00C51716" w:rsidRPr="00650D66">
        <w:rPr>
          <w:rFonts w:ascii="Times New Roman" w:hAnsi="Times New Roman" w:cs="Times New Roman"/>
          <w:i/>
          <w:sz w:val="24"/>
          <w:szCs w:val="24"/>
          <w:lang w:val="ro-RO"/>
        </w:rPr>
        <w:t>/executate</w:t>
      </w:r>
      <w:r w:rsidR="00162652" w:rsidRPr="00650D66">
        <w:rPr>
          <w:rFonts w:ascii="Times New Roman" w:hAnsi="Times New Roman" w:cs="Times New Roman"/>
          <w:i/>
          <w:sz w:val="24"/>
          <w:szCs w:val="24"/>
          <w:lang w:val="ro-RO"/>
        </w:rPr>
        <w:t xml:space="preserve"> pentru procurarea produselor alimentare,</w:t>
      </w:r>
      <w:r w:rsidR="00557F91" w:rsidRPr="00650D66">
        <w:rPr>
          <w:rFonts w:ascii="Times New Roman" w:hAnsi="Times New Roman" w:cs="Times New Roman"/>
          <w:i/>
          <w:sz w:val="24"/>
          <w:szCs w:val="24"/>
          <w:lang w:val="ro-RO"/>
        </w:rPr>
        <w:t xml:space="preserve"> se prezintă în Tabelul nr.</w:t>
      </w:r>
      <w:r w:rsidR="0071357E" w:rsidRPr="00650D66">
        <w:rPr>
          <w:rFonts w:ascii="Times New Roman" w:hAnsi="Times New Roman" w:cs="Times New Roman"/>
          <w:i/>
          <w:sz w:val="24"/>
          <w:szCs w:val="24"/>
          <w:lang w:val="ro-RO"/>
        </w:rPr>
        <w:t>3</w:t>
      </w:r>
      <w:r w:rsidR="00516532">
        <w:rPr>
          <w:rFonts w:ascii="Times New Roman" w:hAnsi="Times New Roman" w:cs="Times New Roman"/>
          <w:i/>
          <w:sz w:val="24"/>
          <w:szCs w:val="24"/>
          <w:lang w:val="ro-RO"/>
        </w:rPr>
        <w:t>.</w:t>
      </w:r>
    </w:p>
    <w:p w14:paraId="7473B155" w14:textId="77777777" w:rsidR="00557F91" w:rsidRPr="00650D66" w:rsidRDefault="00557F91" w:rsidP="00557F91">
      <w:pPr>
        <w:tabs>
          <w:tab w:val="left" w:pos="426"/>
        </w:tabs>
        <w:spacing w:after="0" w:line="276" w:lineRule="auto"/>
        <w:jc w:val="right"/>
        <w:rPr>
          <w:rFonts w:ascii="Times New Roman" w:hAnsi="Times New Roman" w:cs="Times New Roman"/>
          <w:i/>
          <w:sz w:val="24"/>
          <w:szCs w:val="24"/>
          <w:lang w:val="ro-RO"/>
        </w:rPr>
      </w:pPr>
      <w:r w:rsidRPr="00650D66">
        <w:rPr>
          <w:rFonts w:ascii="Times New Roman" w:hAnsi="Times New Roman" w:cs="Times New Roman"/>
          <w:i/>
          <w:sz w:val="24"/>
          <w:szCs w:val="24"/>
          <w:lang w:val="ro-RO"/>
        </w:rPr>
        <w:t>Tabelul nr.</w:t>
      </w:r>
      <w:r w:rsidR="0071357E" w:rsidRPr="00650D66">
        <w:rPr>
          <w:rFonts w:ascii="Times New Roman" w:hAnsi="Times New Roman" w:cs="Times New Roman"/>
          <w:i/>
          <w:sz w:val="24"/>
          <w:szCs w:val="24"/>
          <w:lang w:val="ro-RO"/>
        </w:rPr>
        <w:t>3</w:t>
      </w:r>
    </w:p>
    <w:p w14:paraId="1566F3D5" w14:textId="77777777" w:rsidR="00162652" w:rsidRPr="00650D66" w:rsidRDefault="00862D03" w:rsidP="00FB4F8D">
      <w:pPr>
        <w:tabs>
          <w:tab w:val="left" w:pos="426"/>
        </w:tabs>
        <w:spacing w:after="0" w:line="276" w:lineRule="auto"/>
        <w:jc w:val="center"/>
        <w:rPr>
          <w:rFonts w:ascii="Times New Roman" w:hAnsi="Times New Roman" w:cs="Times New Roman"/>
          <w:b/>
          <w:sz w:val="24"/>
          <w:szCs w:val="24"/>
          <w:lang w:val="ro-RO"/>
        </w:rPr>
      </w:pPr>
      <w:r w:rsidRPr="00650D66">
        <w:rPr>
          <w:rFonts w:ascii="Times New Roman" w:hAnsi="Times New Roman" w:cs="Times New Roman"/>
          <w:b/>
          <w:sz w:val="24"/>
          <w:szCs w:val="24"/>
          <w:lang w:val="ro-RO"/>
        </w:rPr>
        <w:t>Alocațiile</w:t>
      </w:r>
      <w:r w:rsidR="006178B9" w:rsidRPr="00650D66">
        <w:rPr>
          <w:rFonts w:ascii="Times New Roman" w:hAnsi="Times New Roman" w:cs="Times New Roman"/>
          <w:b/>
          <w:sz w:val="24"/>
          <w:szCs w:val="24"/>
          <w:lang w:val="ro-RO"/>
        </w:rPr>
        <w:t xml:space="preserve"> aprobate/</w:t>
      </w:r>
      <w:r w:rsidR="00C51716" w:rsidRPr="00650D66">
        <w:rPr>
          <w:rFonts w:ascii="Times New Roman" w:hAnsi="Times New Roman" w:cs="Times New Roman"/>
          <w:b/>
          <w:sz w:val="24"/>
          <w:szCs w:val="24"/>
          <w:lang w:val="ro-RO"/>
        </w:rPr>
        <w:t xml:space="preserve">executate </w:t>
      </w:r>
      <w:r w:rsidR="00162652" w:rsidRPr="00650D66">
        <w:rPr>
          <w:rFonts w:ascii="Times New Roman" w:hAnsi="Times New Roman" w:cs="Times New Roman"/>
          <w:b/>
          <w:sz w:val="24"/>
          <w:szCs w:val="24"/>
          <w:lang w:val="ro-RO"/>
        </w:rPr>
        <w:t>pentru p</w:t>
      </w:r>
      <w:r w:rsidR="00C51716" w:rsidRPr="00650D66">
        <w:rPr>
          <w:rFonts w:ascii="Times New Roman" w:hAnsi="Times New Roman" w:cs="Times New Roman"/>
          <w:b/>
          <w:sz w:val="24"/>
          <w:szCs w:val="24"/>
          <w:lang w:val="ro-RO"/>
        </w:rPr>
        <w:t>rocurarea produselor alimentare la Cantina BNM</w:t>
      </w:r>
      <w:r w:rsidR="006178B9" w:rsidRPr="00650D66">
        <w:rPr>
          <w:rFonts w:ascii="Times New Roman" w:hAnsi="Times New Roman" w:cs="Times New Roman"/>
          <w:b/>
          <w:sz w:val="24"/>
          <w:szCs w:val="24"/>
          <w:lang w:val="ro-RO"/>
        </w:rPr>
        <w:t xml:space="preserve"> în perioada 2019-2022</w:t>
      </w:r>
    </w:p>
    <w:p w14:paraId="29A4DFDD" w14:textId="77777777" w:rsidR="006702FD" w:rsidRPr="00650D66" w:rsidRDefault="006702FD" w:rsidP="00DA1024">
      <w:pPr>
        <w:tabs>
          <w:tab w:val="left" w:pos="426"/>
        </w:tabs>
        <w:spacing w:after="0" w:line="276" w:lineRule="auto"/>
        <w:ind w:right="567"/>
        <w:jc w:val="right"/>
        <w:rPr>
          <w:rFonts w:ascii="Times New Roman" w:hAnsi="Times New Roman" w:cs="Times New Roman"/>
          <w:b/>
          <w:sz w:val="24"/>
          <w:szCs w:val="24"/>
          <w:lang w:val="ro-RO"/>
        </w:rPr>
      </w:pPr>
      <w:r w:rsidRPr="00650D66">
        <w:rPr>
          <w:rFonts w:ascii="Times New Roman" w:hAnsi="Times New Roman" w:cs="Times New Roman"/>
          <w:b/>
          <w:sz w:val="24"/>
          <w:szCs w:val="24"/>
          <w:lang w:val="ro-RO"/>
        </w:rPr>
        <w:t xml:space="preserve"> (mii lei)</w:t>
      </w:r>
    </w:p>
    <w:tbl>
      <w:tblPr>
        <w:tblStyle w:val="GridTable1Light"/>
        <w:tblW w:w="8520" w:type="dxa"/>
        <w:jc w:val="center"/>
        <w:tblLook w:val="04A0" w:firstRow="1" w:lastRow="0" w:firstColumn="1" w:lastColumn="0" w:noHBand="0" w:noVBand="1"/>
      </w:tblPr>
      <w:tblGrid>
        <w:gridCol w:w="846"/>
        <w:gridCol w:w="1417"/>
        <w:gridCol w:w="1985"/>
        <w:gridCol w:w="1843"/>
        <w:gridCol w:w="1417"/>
        <w:gridCol w:w="1016"/>
      </w:tblGrid>
      <w:tr w:rsidR="00AA60A0" w:rsidRPr="00650D66" w14:paraId="11CB4B55" w14:textId="77777777" w:rsidTr="00796AC7">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846" w:type="dxa"/>
            <w:noWrap/>
            <w:vAlign w:val="center"/>
            <w:hideMark/>
          </w:tcPr>
          <w:p w14:paraId="352CDE94" w14:textId="77777777" w:rsidR="00AA60A0" w:rsidRPr="00650D66" w:rsidRDefault="00AA60A0" w:rsidP="00796AC7">
            <w:pP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Anul</w:t>
            </w:r>
          </w:p>
        </w:tc>
        <w:tc>
          <w:tcPr>
            <w:tcW w:w="1417" w:type="dxa"/>
            <w:vAlign w:val="center"/>
            <w:hideMark/>
          </w:tcPr>
          <w:p w14:paraId="15639D93" w14:textId="77777777" w:rsidR="00AA60A0" w:rsidRPr="00650D66" w:rsidRDefault="00AA60A0" w:rsidP="00796A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Planul general de achiziții</w:t>
            </w:r>
          </w:p>
        </w:tc>
        <w:tc>
          <w:tcPr>
            <w:tcW w:w="1985" w:type="dxa"/>
            <w:vAlign w:val="center"/>
            <w:hideMark/>
          </w:tcPr>
          <w:p w14:paraId="29A0C0A8" w14:textId="77777777" w:rsidR="00AA60A0" w:rsidRPr="00650D66" w:rsidRDefault="00AA60A0" w:rsidP="00796A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hAnsi="Times New Roman" w:cs="Times New Roman"/>
                <w:sz w:val="20"/>
                <w:szCs w:val="20"/>
                <w:lang w:val="ro-RO"/>
              </w:rPr>
              <w:t>Planul de achiziții pentru cantina BNM</w:t>
            </w:r>
          </w:p>
        </w:tc>
        <w:tc>
          <w:tcPr>
            <w:tcW w:w="1843" w:type="dxa"/>
            <w:vAlign w:val="center"/>
            <w:hideMark/>
          </w:tcPr>
          <w:p w14:paraId="170BC5F9" w14:textId="77777777" w:rsidR="00AA60A0" w:rsidRPr="00650D66" w:rsidRDefault="00AA60A0" w:rsidP="00796A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Alocații aprobate în Devizul de cheltuieli</w:t>
            </w:r>
          </w:p>
        </w:tc>
        <w:tc>
          <w:tcPr>
            <w:tcW w:w="1417" w:type="dxa"/>
            <w:noWrap/>
            <w:vAlign w:val="center"/>
            <w:hideMark/>
          </w:tcPr>
          <w:p w14:paraId="39B6AC3C" w14:textId="77777777" w:rsidR="00B52AC4" w:rsidRPr="00650D66" w:rsidRDefault="00B52AC4" w:rsidP="00796A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Diferențe</w:t>
            </w:r>
          </w:p>
          <w:p w14:paraId="2FFA5E47" w14:textId="77777777" w:rsidR="00AA60A0" w:rsidRPr="00650D66" w:rsidRDefault="00AA60A0" w:rsidP="00796A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 (+/-)</w:t>
            </w:r>
          </w:p>
        </w:tc>
        <w:tc>
          <w:tcPr>
            <w:tcW w:w="1012" w:type="dxa"/>
            <w:vAlign w:val="center"/>
          </w:tcPr>
          <w:p w14:paraId="32FF9386" w14:textId="77777777" w:rsidR="00AA60A0" w:rsidRPr="00650D66" w:rsidRDefault="00AA60A0" w:rsidP="00796A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Alocații executate</w:t>
            </w:r>
          </w:p>
        </w:tc>
      </w:tr>
      <w:tr w:rsidR="00AA60A0" w:rsidRPr="00650D66" w14:paraId="41A0D712" w14:textId="77777777" w:rsidTr="00796AC7">
        <w:trPr>
          <w:trHeight w:val="204"/>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3F15B294" w14:textId="77777777" w:rsidR="00AA60A0" w:rsidRPr="00650D66" w:rsidRDefault="00AA60A0" w:rsidP="00796AC7">
            <w:pPr>
              <w:jc w:val="center"/>
              <w:rPr>
                <w:rFonts w:ascii="Times New Roman" w:eastAsia="Times New Roman" w:hAnsi="Times New Roman" w:cs="Times New Roman"/>
                <w:b w:val="0"/>
                <w:i/>
                <w:iCs/>
                <w:color w:val="000000"/>
                <w:sz w:val="16"/>
                <w:szCs w:val="16"/>
                <w:lang w:val="ro-RO"/>
              </w:rPr>
            </w:pPr>
            <w:r w:rsidRPr="00650D66">
              <w:rPr>
                <w:rFonts w:ascii="Times New Roman" w:eastAsia="Times New Roman" w:hAnsi="Times New Roman" w:cs="Times New Roman"/>
                <w:b w:val="0"/>
                <w:i/>
                <w:iCs/>
                <w:color w:val="000000"/>
                <w:sz w:val="16"/>
                <w:szCs w:val="16"/>
                <w:lang w:val="ro-RO"/>
              </w:rPr>
              <w:t>1</w:t>
            </w:r>
          </w:p>
        </w:tc>
        <w:tc>
          <w:tcPr>
            <w:tcW w:w="1417" w:type="dxa"/>
            <w:hideMark/>
          </w:tcPr>
          <w:p w14:paraId="3E70A22B"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o-RO"/>
              </w:rPr>
            </w:pPr>
            <w:r w:rsidRPr="00650D66">
              <w:rPr>
                <w:rFonts w:ascii="Times New Roman" w:eastAsia="Times New Roman" w:hAnsi="Times New Roman" w:cs="Times New Roman"/>
                <w:i/>
                <w:iCs/>
                <w:color w:val="000000"/>
                <w:sz w:val="16"/>
                <w:szCs w:val="16"/>
                <w:lang w:val="ro-RO"/>
              </w:rPr>
              <w:t>2</w:t>
            </w:r>
          </w:p>
        </w:tc>
        <w:tc>
          <w:tcPr>
            <w:tcW w:w="1985" w:type="dxa"/>
            <w:hideMark/>
          </w:tcPr>
          <w:p w14:paraId="020A33A0"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o-RO"/>
              </w:rPr>
            </w:pPr>
            <w:r w:rsidRPr="00650D66">
              <w:rPr>
                <w:rFonts w:ascii="Times New Roman" w:eastAsia="Times New Roman" w:hAnsi="Times New Roman" w:cs="Times New Roman"/>
                <w:i/>
                <w:iCs/>
                <w:color w:val="000000"/>
                <w:sz w:val="16"/>
                <w:szCs w:val="16"/>
                <w:lang w:val="ro-RO"/>
              </w:rPr>
              <w:t>3</w:t>
            </w:r>
          </w:p>
        </w:tc>
        <w:tc>
          <w:tcPr>
            <w:tcW w:w="1843" w:type="dxa"/>
            <w:hideMark/>
          </w:tcPr>
          <w:p w14:paraId="5C6B3918"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o-RO"/>
              </w:rPr>
            </w:pPr>
            <w:r w:rsidRPr="00650D66">
              <w:rPr>
                <w:rFonts w:ascii="Times New Roman" w:eastAsia="Times New Roman" w:hAnsi="Times New Roman" w:cs="Times New Roman"/>
                <w:i/>
                <w:iCs/>
                <w:color w:val="000000"/>
                <w:sz w:val="16"/>
                <w:szCs w:val="16"/>
                <w:lang w:val="ro-RO"/>
              </w:rPr>
              <w:t>4</w:t>
            </w:r>
          </w:p>
        </w:tc>
        <w:tc>
          <w:tcPr>
            <w:tcW w:w="1417" w:type="dxa"/>
            <w:noWrap/>
            <w:hideMark/>
          </w:tcPr>
          <w:p w14:paraId="187A41DD"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o-RO"/>
              </w:rPr>
            </w:pPr>
            <w:r w:rsidRPr="00650D66">
              <w:rPr>
                <w:rFonts w:ascii="Times New Roman" w:eastAsia="Times New Roman" w:hAnsi="Times New Roman" w:cs="Times New Roman"/>
                <w:i/>
                <w:iCs/>
                <w:color w:val="000000"/>
                <w:sz w:val="16"/>
                <w:szCs w:val="16"/>
                <w:lang w:val="ro-RO"/>
              </w:rPr>
              <w:t>5=4-3</w:t>
            </w:r>
          </w:p>
        </w:tc>
        <w:tc>
          <w:tcPr>
            <w:tcW w:w="1012" w:type="dxa"/>
          </w:tcPr>
          <w:p w14:paraId="253D743C"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16"/>
                <w:szCs w:val="16"/>
                <w:lang w:val="ro-RO"/>
              </w:rPr>
            </w:pPr>
            <w:r w:rsidRPr="00650D66">
              <w:rPr>
                <w:rFonts w:ascii="Times New Roman" w:eastAsia="Times New Roman" w:hAnsi="Times New Roman" w:cs="Times New Roman"/>
                <w:i/>
                <w:iCs/>
                <w:color w:val="000000"/>
                <w:sz w:val="16"/>
                <w:szCs w:val="16"/>
                <w:lang w:val="ro-RO"/>
              </w:rPr>
              <w:t>6</w:t>
            </w:r>
          </w:p>
        </w:tc>
      </w:tr>
      <w:tr w:rsidR="00AA60A0" w:rsidRPr="00650D66" w14:paraId="406A7C4E" w14:textId="77777777" w:rsidTr="00796AC7">
        <w:trPr>
          <w:trHeight w:val="189"/>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5267ACFF" w14:textId="77777777" w:rsidR="00AA60A0" w:rsidRPr="00650D66" w:rsidRDefault="00AA60A0" w:rsidP="00796AC7">
            <w:pPr>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w:t>
            </w:r>
          </w:p>
        </w:tc>
        <w:tc>
          <w:tcPr>
            <w:tcW w:w="1417" w:type="dxa"/>
            <w:hideMark/>
          </w:tcPr>
          <w:p w14:paraId="6E649C35"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900,0</w:t>
            </w:r>
          </w:p>
        </w:tc>
        <w:tc>
          <w:tcPr>
            <w:tcW w:w="1985" w:type="dxa"/>
            <w:hideMark/>
          </w:tcPr>
          <w:p w14:paraId="24C99AD6"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1.096,4</w:t>
            </w:r>
          </w:p>
        </w:tc>
        <w:tc>
          <w:tcPr>
            <w:tcW w:w="1843" w:type="dxa"/>
            <w:hideMark/>
          </w:tcPr>
          <w:p w14:paraId="6545C7B3"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900,0</w:t>
            </w:r>
          </w:p>
        </w:tc>
        <w:tc>
          <w:tcPr>
            <w:tcW w:w="1417" w:type="dxa"/>
            <w:noWrap/>
            <w:hideMark/>
          </w:tcPr>
          <w:p w14:paraId="410B1490"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-196,4</w:t>
            </w:r>
          </w:p>
        </w:tc>
        <w:tc>
          <w:tcPr>
            <w:tcW w:w="1012" w:type="dxa"/>
          </w:tcPr>
          <w:p w14:paraId="6120BFC9"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815,7</w:t>
            </w:r>
          </w:p>
        </w:tc>
      </w:tr>
      <w:tr w:rsidR="00AA60A0" w:rsidRPr="00650D66" w14:paraId="14861629" w14:textId="77777777" w:rsidTr="00240703">
        <w:trPr>
          <w:trHeight w:val="206"/>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502F8098" w14:textId="77777777" w:rsidR="00AA60A0" w:rsidRPr="00650D66" w:rsidRDefault="00AA60A0" w:rsidP="00796AC7">
            <w:pPr>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w:t>
            </w:r>
          </w:p>
        </w:tc>
        <w:tc>
          <w:tcPr>
            <w:tcW w:w="1417" w:type="dxa"/>
            <w:noWrap/>
            <w:hideMark/>
          </w:tcPr>
          <w:p w14:paraId="49653344"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706,4</w:t>
            </w:r>
          </w:p>
        </w:tc>
        <w:tc>
          <w:tcPr>
            <w:tcW w:w="1985" w:type="dxa"/>
            <w:noWrap/>
            <w:hideMark/>
          </w:tcPr>
          <w:p w14:paraId="4A6C8EB2"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979,5</w:t>
            </w:r>
          </w:p>
        </w:tc>
        <w:tc>
          <w:tcPr>
            <w:tcW w:w="1843" w:type="dxa"/>
            <w:noWrap/>
            <w:hideMark/>
          </w:tcPr>
          <w:p w14:paraId="41AB1815"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884,0</w:t>
            </w:r>
          </w:p>
        </w:tc>
        <w:tc>
          <w:tcPr>
            <w:tcW w:w="1417" w:type="dxa"/>
            <w:noWrap/>
            <w:hideMark/>
          </w:tcPr>
          <w:p w14:paraId="5BC7BA2A"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-95,5</w:t>
            </w:r>
          </w:p>
        </w:tc>
        <w:tc>
          <w:tcPr>
            <w:tcW w:w="1012" w:type="dxa"/>
          </w:tcPr>
          <w:p w14:paraId="183DC39D"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471,4</w:t>
            </w:r>
          </w:p>
        </w:tc>
      </w:tr>
      <w:tr w:rsidR="00AA60A0" w:rsidRPr="00650D66" w14:paraId="5943C2C1" w14:textId="77777777" w:rsidTr="00240703">
        <w:trPr>
          <w:trHeight w:val="109"/>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770CD83E" w14:textId="77777777" w:rsidR="00AA60A0" w:rsidRPr="00650D66" w:rsidRDefault="00AA60A0" w:rsidP="00796AC7">
            <w:pPr>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w:t>
            </w:r>
          </w:p>
        </w:tc>
        <w:tc>
          <w:tcPr>
            <w:tcW w:w="1417" w:type="dxa"/>
            <w:noWrap/>
            <w:hideMark/>
          </w:tcPr>
          <w:p w14:paraId="42D0A8F3"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555,0</w:t>
            </w:r>
          </w:p>
        </w:tc>
        <w:tc>
          <w:tcPr>
            <w:tcW w:w="1985" w:type="dxa"/>
            <w:noWrap/>
            <w:hideMark/>
          </w:tcPr>
          <w:p w14:paraId="59EE57CE"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700,0</w:t>
            </w:r>
          </w:p>
        </w:tc>
        <w:tc>
          <w:tcPr>
            <w:tcW w:w="1843" w:type="dxa"/>
            <w:noWrap/>
            <w:hideMark/>
          </w:tcPr>
          <w:p w14:paraId="27AB5866"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771,0</w:t>
            </w:r>
          </w:p>
        </w:tc>
        <w:tc>
          <w:tcPr>
            <w:tcW w:w="1417" w:type="dxa"/>
            <w:noWrap/>
            <w:hideMark/>
          </w:tcPr>
          <w:p w14:paraId="736AFD5F"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+71,0</w:t>
            </w:r>
          </w:p>
        </w:tc>
        <w:tc>
          <w:tcPr>
            <w:tcW w:w="1012" w:type="dxa"/>
          </w:tcPr>
          <w:p w14:paraId="6A8707D1"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546,9</w:t>
            </w:r>
          </w:p>
        </w:tc>
      </w:tr>
      <w:tr w:rsidR="00AA60A0" w:rsidRPr="00650D66" w14:paraId="41B67AFF" w14:textId="77777777" w:rsidTr="00240703">
        <w:trPr>
          <w:trHeight w:val="155"/>
          <w:jc w:val="center"/>
        </w:trPr>
        <w:tc>
          <w:tcPr>
            <w:cnfStyle w:val="001000000000" w:firstRow="0" w:lastRow="0" w:firstColumn="1" w:lastColumn="0" w:oddVBand="0" w:evenVBand="0" w:oddHBand="0" w:evenHBand="0" w:firstRowFirstColumn="0" w:firstRowLastColumn="0" w:lastRowFirstColumn="0" w:lastRowLastColumn="0"/>
            <w:tcW w:w="846" w:type="dxa"/>
            <w:noWrap/>
            <w:hideMark/>
          </w:tcPr>
          <w:p w14:paraId="17933A30" w14:textId="77777777" w:rsidR="00AA60A0" w:rsidRPr="00650D66" w:rsidRDefault="00AA60A0" w:rsidP="00796AC7">
            <w:pPr>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2022</w:t>
            </w:r>
          </w:p>
        </w:tc>
        <w:tc>
          <w:tcPr>
            <w:tcW w:w="1417" w:type="dxa"/>
            <w:noWrap/>
            <w:hideMark/>
          </w:tcPr>
          <w:p w14:paraId="062BEF46"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1.025,0</w:t>
            </w:r>
          </w:p>
        </w:tc>
        <w:tc>
          <w:tcPr>
            <w:tcW w:w="1985" w:type="dxa"/>
            <w:noWrap/>
            <w:hideMark/>
          </w:tcPr>
          <w:p w14:paraId="5E870DDF"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1.025,0</w:t>
            </w:r>
          </w:p>
        </w:tc>
        <w:tc>
          <w:tcPr>
            <w:tcW w:w="1843" w:type="dxa"/>
            <w:noWrap/>
            <w:hideMark/>
          </w:tcPr>
          <w:p w14:paraId="7E2BFBC0"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1.120,0</w:t>
            </w:r>
          </w:p>
        </w:tc>
        <w:tc>
          <w:tcPr>
            <w:tcW w:w="1417" w:type="dxa"/>
            <w:noWrap/>
            <w:hideMark/>
          </w:tcPr>
          <w:p w14:paraId="7865E97C"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+95,0</w:t>
            </w:r>
          </w:p>
        </w:tc>
        <w:tc>
          <w:tcPr>
            <w:tcW w:w="1012" w:type="dxa"/>
          </w:tcPr>
          <w:p w14:paraId="78BB3A3F"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939,1</w:t>
            </w:r>
          </w:p>
        </w:tc>
      </w:tr>
      <w:tr w:rsidR="00AA60A0" w:rsidRPr="00650D66" w14:paraId="1B54EAC2" w14:textId="77777777" w:rsidTr="002E3BEB">
        <w:trPr>
          <w:trHeight w:val="59"/>
          <w:jc w:val="center"/>
        </w:trPr>
        <w:tc>
          <w:tcPr>
            <w:cnfStyle w:val="001000000000" w:firstRow="0" w:lastRow="0" w:firstColumn="1" w:lastColumn="0" w:oddVBand="0" w:evenVBand="0" w:oddHBand="0" w:evenHBand="0" w:firstRowFirstColumn="0" w:firstRowLastColumn="0" w:lastRowFirstColumn="0" w:lastRowLastColumn="0"/>
            <w:tcW w:w="846" w:type="dxa"/>
            <w:noWrap/>
          </w:tcPr>
          <w:p w14:paraId="10996913" w14:textId="77777777" w:rsidR="00AA60A0" w:rsidRPr="00650D66" w:rsidRDefault="00AA60A0" w:rsidP="00796AC7">
            <w:pPr>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Total</w:t>
            </w:r>
          </w:p>
        </w:tc>
        <w:tc>
          <w:tcPr>
            <w:tcW w:w="1417" w:type="dxa"/>
            <w:noWrap/>
          </w:tcPr>
          <w:p w14:paraId="6860A89C"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3.186,4</w:t>
            </w:r>
          </w:p>
        </w:tc>
        <w:tc>
          <w:tcPr>
            <w:tcW w:w="1985" w:type="dxa"/>
            <w:noWrap/>
          </w:tcPr>
          <w:p w14:paraId="5F31570A"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3.800,9</w:t>
            </w:r>
          </w:p>
        </w:tc>
        <w:tc>
          <w:tcPr>
            <w:tcW w:w="1843" w:type="dxa"/>
            <w:noWrap/>
          </w:tcPr>
          <w:p w14:paraId="02E509D5"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3.675,0</w:t>
            </w:r>
          </w:p>
        </w:tc>
        <w:tc>
          <w:tcPr>
            <w:tcW w:w="1417" w:type="dxa"/>
            <w:noWrap/>
          </w:tcPr>
          <w:p w14:paraId="27B6D2C6"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-125,9</w:t>
            </w:r>
          </w:p>
        </w:tc>
        <w:tc>
          <w:tcPr>
            <w:tcW w:w="1012" w:type="dxa"/>
          </w:tcPr>
          <w:p w14:paraId="2BC0B7B8" w14:textId="77777777" w:rsidR="00AA60A0" w:rsidRPr="00650D66" w:rsidRDefault="00AA60A0" w:rsidP="00796AC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2.773,1</w:t>
            </w:r>
          </w:p>
        </w:tc>
      </w:tr>
    </w:tbl>
    <w:p w14:paraId="23BED0F2" w14:textId="77777777" w:rsidR="00A42617" w:rsidRPr="00650D66" w:rsidRDefault="006702FD" w:rsidP="00A42617">
      <w:pPr>
        <w:tabs>
          <w:tab w:val="left" w:pos="426"/>
        </w:tabs>
        <w:spacing w:after="0" w:line="276" w:lineRule="auto"/>
        <w:ind w:left="709"/>
        <w:jc w:val="both"/>
        <w:rPr>
          <w:rFonts w:ascii="Times New Roman" w:hAnsi="Times New Roman" w:cs="Times New Roman"/>
          <w:sz w:val="24"/>
          <w:szCs w:val="24"/>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Planurile de achiziții ale BNM, Devizele de cheltuieli aprobate pentru anii 2019-2022</w:t>
      </w:r>
      <w:r w:rsidRPr="00650D66">
        <w:rPr>
          <w:rFonts w:ascii="Times New Roman" w:hAnsi="Times New Roman" w:cs="Times New Roman"/>
          <w:sz w:val="24"/>
          <w:szCs w:val="24"/>
          <w:lang w:val="ro-RO"/>
        </w:rPr>
        <w:t>.</w:t>
      </w:r>
    </w:p>
    <w:p w14:paraId="6A629DCB" w14:textId="77777777" w:rsidR="00A42617" w:rsidRPr="00650D66" w:rsidRDefault="00A42617" w:rsidP="00A42617">
      <w:pPr>
        <w:tabs>
          <w:tab w:val="left" w:pos="426"/>
        </w:tabs>
        <w:spacing w:after="0" w:line="276" w:lineRule="auto"/>
        <w:ind w:left="709"/>
        <w:jc w:val="both"/>
        <w:rPr>
          <w:rFonts w:ascii="Times New Roman" w:hAnsi="Times New Roman" w:cs="Times New Roman"/>
          <w:sz w:val="16"/>
          <w:szCs w:val="16"/>
          <w:lang w:val="ro-RO"/>
        </w:rPr>
      </w:pPr>
    </w:p>
    <w:p w14:paraId="644C5254" w14:textId="4622A031" w:rsidR="006702FD" w:rsidRPr="00650D66" w:rsidRDefault="006702FD" w:rsidP="00A42617">
      <w:pPr>
        <w:tabs>
          <w:tab w:val="left" w:pos="426"/>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Auditul relevă că cheltuielile executate</w:t>
      </w:r>
      <w:r w:rsidR="00C71A0F" w:rsidRPr="00650D66">
        <w:rPr>
          <w:rFonts w:ascii="Times New Roman" w:hAnsi="Times New Roman" w:cs="Times New Roman"/>
          <w:sz w:val="24"/>
          <w:szCs w:val="24"/>
          <w:lang w:val="ro-RO"/>
        </w:rPr>
        <w:t xml:space="preserve"> pentru cantina BNM nu se țin </w:t>
      </w:r>
      <w:r w:rsidR="00935875">
        <w:rPr>
          <w:rFonts w:ascii="Times New Roman" w:hAnsi="Times New Roman" w:cs="Times New Roman"/>
          <w:sz w:val="24"/>
          <w:szCs w:val="24"/>
          <w:lang w:val="ro-RO"/>
        </w:rPr>
        <w:t>în</w:t>
      </w:r>
      <w:r w:rsidRPr="00650D66">
        <w:rPr>
          <w:rFonts w:ascii="Times New Roman" w:hAnsi="Times New Roman" w:cs="Times New Roman"/>
          <w:sz w:val="24"/>
          <w:szCs w:val="24"/>
          <w:lang w:val="ro-RO"/>
        </w:rPr>
        <w:t xml:space="preserve"> evidență contabilă separată, fiind integrate cu cheltuielile totale ale BNM, doar produsele alimentare procurate se dețin </w:t>
      </w:r>
      <w:r w:rsidR="00935875">
        <w:rPr>
          <w:rFonts w:ascii="Times New Roman" w:hAnsi="Times New Roman" w:cs="Times New Roman"/>
          <w:sz w:val="24"/>
          <w:szCs w:val="24"/>
          <w:lang w:val="ro-RO"/>
        </w:rPr>
        <w:t>într-</w:t>
      </w:r>
      <w:r w:rsidRPr="00650D66">
        <w:rPr>
          <w:rFonts w:ascii="Times New Roman" w:hAnsi="Times New Roman" w:cs="Times New Roman"/>
          <w:sz w:val="24"/>
          <w:szCs w:val="24"/>
          <w:lang w:val="ro-RO"/>
        </w:rPr>
        <w:t>un cont analitic separat (923713). Astfel, pe parcursul anilor 2019-2022, au fost planificate alocații în sumă de 3</w:t>
      </w:r>
      <w:r w:rsidR="00021BC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675,0 mii lei pentru procurarea produselor alimentare, din care au fost executate cheltuieli în sumă de </w:t>
      </w:r>
      <w:r w:rsidR="00EE2586" w:rsidRPr="00650D66">
        <w:rPr>
          <w:rFonts w:ascii="Times New Roman" w:hAnsi="Times New Roman" w:cs="Times New Roman"/>
          <w:sz w:val="24"/>
          <w:szCs w:val="24"/>
          <w:lang w:val="ro-RO"/>
        </w:rPr>
        <w:t>2</w:t>
      </w:r>
      <w:r w:rsidR="00021BC5">
        <w:rPr>
          <w:rFonts w:ascii="Times New Roman" w:hAnsi="Times New Roman" w:cs="Times New Roman"/>
          <w:sz w:val="24"/>
          <w:szCs w:val="24"/>
          <w:lang w:val="ro-RO"/>
        </w:rPr>
        <w:t>.</w:t>
      </w:r>
      <w:r w:rsidR="00EE2586" w:rsidRPr="00650D66">
        <w:rPr>
          <w:rFonts w:ascii="Times New Roman" w:hAnsi="Times New Roman" w:cs="Times New Roman"/>
          <w:sz w:val="24"/>
          <w:szCs w:val="24"/>
          <w:lang w:val="ro-RO"/>
        </w:rPr>
        <w:t>773,1</w:t>
      </w:r>
      <w:r w:rsidRPr="00650D66">
        <w:rPr>
          <w:rFonts w:ascii="Times New Roman" w:hAnsi="Times New Roman" w:cs="Times New Roman"/>
          <w:sz w:val="24"/>
          <w:szCs w:val="24"/>
          <w:lang w:val="ro-RO"/>
        </w:rPr>
        <w:t xml:space="preserve"> mii lei</w:t>
      </w:r>
      <w:r w:rsidR="00021BC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sau la nivel de 75,5%, din care: în anul 2019 – 815,7 mii lei, în anul 2020 – 471,4 mii lei, în anul 2021 – 546,9 mii lei</w:t>
      </w:r>
      <w:r w:rsidR="00021BC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în anul 2022 – 939,1 mii lei.</w:t>
      </w:r>
      <w:r w:rsidR="00D810E8" w:rsidRPr="00650D66">
        <w:rPr>
          <w:rFonts w:ascii="Times New Roman" w:hAnsi="Times New Roman" w:cs="Times New Roman"/>
          <w:sz w:val="24"/>
          <w:szCs w:val="24"/>
          <w:lang w:val="ro-RO"/>
        </w:rPr>
        <w:t xml:space="preserve"> </w:t>
      </w:r>
      <w:r w:rsidR="00021BC5">
        <w:rPr>
          <w:rFonts w:ascii="Times New Roman" w:hAnsi="Times New Roman" w:cs="Times New Roman"/>
          <w:sz w:val="24"/>
          <w:szCs w:val="24"/>
          <w:lang w:val="ro-RO"/>
        </w:rPr>
        <w:t>În u</w:t>
      </w:r>
      <w:r w:rsidR="00D810E8" w:rsidRPr="00650D66">
        <w:rPr>
          <w:rFonts w:ascii="Times New Roman" w:hAnsi="Times New Roman" w:cs="Times New Roman"/>
          <w:sz w:val="24"/>
          <w:szCs w:val="24"/>
          <w:lang w:val="ro-RO"/>
        </w:rPr>
        <w:t xml:space="preserve">rma aplicării măsurilor suplimentare de organizare a activității BNM în perioada pandemică COVID-19, organizarea activității angajaților a fost supusă unor regimuri ciclice de lucru. Respectiv, produsele alimentare au fost procurate și consumate în cantități mai mici decât a fost estimat, în </w:t>
      </w:r>
      <w:r w:rsidR="00021BC5">
        <w:rPr>
          <w:rFonts w:ascii="Times New Roman" w:hAnsi="Times New Roman" w:cs="Times New Roman"/>
          <w:sz w:val="24"/>
          <w:szCs w:val="24"/>
          <w:lang w:val="ro-RO"/>
        </w:rPr>
        <w:t>funcție</w:t>
      </w:r>
      <w:r w:rsidR="00021BC5" w:rsidRPr="00650D66">
        <w:rPr>
          <w:rFonts w:ascii="Times New Roman" w:hAnsi="Times New Roman" w:cs="Times New Roman"/>
          <w:sz w:val="24"/>
          <w:szCs w:val="24"/>
          <w:lang w:val="ro-RO"/>
        </w:rPr>
        <w:t xml:space="preserve"> </w:t>
      </w:r>
      <w:r w:rsidR="00D810E8" w:rsidRPr="00650D66">
        <w:rPr>
          <w:rFonts w:ascii="Times New Roman" w:hAnsi="Times New Roman" w:cs="Times New Roman"/>
          <w:sz w:val="24"/>
          <w:szCs w:val="24"/>
          <w:lang w:val="ro-RO"/>
        </w:rPr>
        <w:t>de prezența fizică a angajaților la sediul BNM.</w:t>
      </w:r>
    </w:p>
    <w:p w14:paraId="5EFF5BB2" w14:textId="77777777" w:rsidR="00557F91" w:rsidRPr="00650D66" w:rsidRDefault="00557F91" w:rsidP="00D810E8">
      <w:pPr>
        <w:tabs>
          <w:tab w:val="left" w:pos="426"/>
        </w:tabs>
        <w:spacing w:after="0" w:line="276" w:lineRule="auto"/>
        <w:jc w:val="both"/>
        <w:rPr>
          <w:rFonts w:ascii="Times New Roman" w:hAnsi="Times New Roman" w:cs="Times New Roman"/>
          <w:sz w:val="6"/>
          <w:szCs w:val="6"/>
          <w:lang w:val="ro-RO"/>
        </w:rPr>
      </w:pPr>
    </w:p>
    <w:p w14:paraId="056DAD2F" w14:textId="503B6F59" w:rsidR="00D810E8" w:rsidRPr="00650D66" w:rsidRDefault="006A5AE5" w:rsidP="00D810E8">
      <w:pPr>
        <w:tabs>
          <w:tab w:val="left" w:pos="426"/>
        </w:tabs>
        <w:spacing w:after="0" w:line="276" w:lineRule="auto"/>
        <w:jc w:val="both"/>
        <w:rPr>
          <w:rFonts w:ascii="Times New Roman" w:hAnsi="Times New Roman" w:cs="Times New Roman"/>
          <w:sz w:val="6"/>
          <w:szCs w:val="6"/>
          <w:lang w:val="ro-RO"/>
        </w:rPr>
      </w:pPr>
      <w:r w:rsidRPr="00650D66">
        <w:rPr>
          <w:rFonts w:ascii="Times New Roman" w:hAnsi="Times New Roman" w:cs="Times New Roman"/>
          <w:sz w:val="24"/>
          <w:szCs w:val="24"/>
          <w:lang w:val="ro-RO"/>
        </w:rPr>
        <w:t>Achiziția produselor și serviciilor de ali</w:t>
      </w:r>
      <w:r w:rsidR="00234166" w:rsidRPr="00650D66">
        <w:rPr>
          <w:rFonts w:ascii="Times New Roman" w:hAnsi="Times New Roman" w:cs="Times New Roman"/>
          <w:sz w:val="24"/>
          <w:szCs w:val="24"/>
          <w:lang w:val="ro-RO"/>
        </w:rPr>
        <w:t>menta</w:t>
      </w:r>
      <w:r w:rsidR="00021BC5">
        <w:rPr>
          <w:rFonts w:ascii="Times New Roman" w:hAnsi="Times New Roman" w:cs="Times New Roman"/>
          <w:sz w:val="24"/>
          <w:szCs w:val="24"/>
          <w:lang w:val="ro-RO"/>
        </w:rPr>
        <w:t>ție</w:t>
      </w:r>
      <w:r w:rsidR="00234166" w:rsidRPr="00650D66">
        <w:rPr>
          <w:rFonts w:ascii="Times New Roman" w:hAnsi="Times New Roman" w:cs="Times New Roman"/>
          <w:sz w:val="24"/>
          <w:szCs w:val="24"/>
          <w:lang w:val="ro-RO"/>
        </w:rPr>
        <w:t xml:space="preserve"> se face și prin factură. </w:t>
      </w:r>
      <w:r w:rsidR="00EE099B" w:rsidRPr="00650D66">
        <w:rPr>
          <w:rFonts w:ascii="Times New Roman" w:hAnsi="Times New Roman" w:cs="Times New Roman"/>
          <w:sz w:val="24"/>
          <w:szCs w:val="24"/>
          <w:lang w:val="ro-RO"/>
        </w:rPr>
        <w:t>Verificările auditului a</w:t>
      </w:r>
      <w:r w:rsidR="00021BC5">
        <w:rPr>
          <w:rFonts w:ascii="Times New Roman" w:hAnsi="Times New Roman" w:cs="Times New Roman"/>
          <w:sz w:val="24"/>
          <w:szCs w:val="24"/>
          <w:lang w:val="ro-RO"/>
        </w:rPr>
        <w:t>u stabilit</w:t>
      </w:r>
      <w:r w:rsidR="00EE099B" w:rsidRPr="00650D66">
        <w:rPr>
          <w:rFonts w:ascii="Times New Roman" w:hAnsi="Times New Roman" w:cs="Times New Roman"/>
          <w:sz w:val="24"/>
          <w:szCs w:val="24"/>
          <w:lang w:val="ro-RO"/>
        </w:rPr>
        <w:t xml:space="preserve"> că, în anul 2022</w:t>
      </w:r>
      <w:r w:rsidR="00021BC5">
        <w:rPr>
          <w:rFonts w:ascii="Times New Roman" w:hAnsi="Times New Roman" w:cs="Times New Roman"/>
          <w:sz w:val="24"/>
          <w:szCs w:val="24"/>
          <w:lang w:val="ro-RO"/>
        </w:rPr>
        <w:t>,</w:t>
      </w:r>
      <w:r w:rsidR="00EE099B" w:rsidRPr="00650D66">
        <w:rPr>
          <w:rFonts w:ascii="Times New Roman" w:hAnsi="Times New Roman" w:cs="Times New Roman"/>
          <w:sz w:val="24"/>
          <w:szCs w:val="24"/>
          <w:lang w:val="ro-RO"/>
        </w:rPr>
        <w:t xml:space="preserve"> deși în Planul de achiziții a fost planificată achiziționarea cărnii și produselor din carne prin contract de valoare mică în sumă de 420,0 mii lei, </w:t>
      </w:r>
      <w:r w:rsidR="00021BC5">
        <w:rPr>
          <w:rFonts w:ascii="Times New Roman" w:hAnsi="Times New Roman" w:cs="Times New Roman"/>
          <w:sz w:val="24"/>
          <w:szCs w:val="24"/>
          <w:lang w:val="ro-RO"/>
        </w:rPr>
        <w:t xml:space="preserve">aceste produse </w:t>
      </w:r>
      <w:r w:rsidR="00EE099B" w:rsidRPr="00650D66">
        <w:rPr>
          <w:rFonts w:ascii="Times New Roman" w:hAnsi="Times New Roman" w:cs="Times New Roman"/>
          <w:sz w:val="24"/>
          <w:szCs w:val="24"/>
          <w:lang w:val="ro-RO"/>
        </w:rPr>
        <w:t xml:space="preserve">au fost procurate prin factură în sumă de </w:t>
      </w:r>
      <w:r w:rsidR="00BC011C" w:rsidRPr="00650D66">
        <w:rPr>
          <w:rFonts w:ascii="Times New Roman" w:hAnsi="Times New Roman" w:cs="Times New Roman"/>
          <w:sz w:val="24"/>
          <w:szCs w:val="24"/>
          <w:lang w:val="ro-RO"/>
        </w:rPr>
        <w:t>228,9 mii lei.</w:t>
      </w:r>
      <w:r w:rsidR="00B535ED" w:rsidRPr="00650D66">
        <w:rPr>
          <w:rFonts w:ascii="Times New Roman" w:hAnsi="Times New Roman" w:cs="Times New Roman"/>
          <w:sz w:val="24"/>
          <w:szCs w:val="24"/>
          <w:lang w:val="ro-RO"/>
        </w:rPr>
        <w:t xml:space="preserve"> Potrivit motivației BNM, </w:t>
      </w:r>
      <w:r w:rsidR="001B4061" w:rsidRPr="00650D66">
        <w:rPr>
          <w:rFonts w:ascii="Times New Roman" w:hAnsi="Times New Roman" w:cs="Times New Roman"/>
          <w:sz w:val="24"/>
          <w:szCs w:val="24"/>
          <w:lang w:val="ro-RO"/>
        </w:rPr>
        <w:t xml:space="preserve">ținând cont de instabilitatea prețurilor la carne și la produsele din carne, existentă pe piață </w:t>
      </w:r>
      <w:r w:rsidR="00021BC5">
        <w:rPr>
          <w:rFonts w:ascii="Times New Roman" w:hAnsi="Times New Roman" w:cs="Times New Roman"/>
          <w:sz w:val="24"/>
          <w:szCs w:val="24"/>
          <w:lang w:val="ro-RO"/>
        </w:rPr>
        <w:t>ca</w:t>
      </w:r>
      <w:r w:rsidR="001B4061" w:rsidRPr="00650D66">
        <w:rPr>
          <w:rFonts w:ascii="Times New Roman" w:hAnsi="Times New Roman" w:cs="Times New Roman"/>
          <w:sz w:val="24"/>
          <w:szCs w:val="24"/>
          <w:lang w:val="ro-RO"/>
        </w:rPr>
        <w:t xml:space="preserve"> rezultat</w:t>
      </w:r>
      <w:r w:rsidR="00021BC5">
        <w:rPr>
          <w:rFonts w:ascii="Times New Roman" w:hAnsi="Times New Roman" w:cs="Times New Roman"/>
          <w:sz w:val="24"/>
          <w:szCs w:val="24"/>
          <w:lang w:val="ro-RO"/>
        </w:rPr>
        <w:t xml:space="preserve"> a</w:t>
      </w:r>
      <w:r w:rsidR="001B4061" w:rsidRPr="00650D66">
        <w:rPr>
          <w:rFonts w:ascii="Times New Roman" w:hAnsi="Times New Roman" w:cs="Times New Roman"/>
          <w:sz w:val="24"/>
          <w:szCs w:val="24"/>
          <w:lang w:val="ro-RO"/>
        </w:rPr>
        <w:t xml:space="preserve">l conflictului dintre Federația Rusă și Ucraina, în trimestrul II 2022 s-a decis revizuirea periodicității </w:t>
      </w:r>
      <w:r w:rsidR="00021BC5">
        <w:rPr>
          <w:rFonts w:ascii="Times New Roman" w:hAnsi="Times New Roman" w:cs="Times New Roman"/>
          <w:sz w:val="24"/>
          <w:szCs w:val="24"/>
          <w:lang w:val="ro-RO"/>
        </w:rPr>
        <w:t xml:space="preserve">de </w:t>
      </w:r>
      <w:r w:rsidR="001B4061" w:rsidRPr="00650D66">
        <w:rPr>
          <w:rFonts w:ascii="Times New Roman" w:hAnsi="Times New Roman" w:cs="Times New Roman"/>
          <w:sz w:val="24"/>
          <w:szCs w:val="24"/>
          <w:lang w:val="ro-RO"/>
        </w:rPr>
        <w:t>achiziție</w:t>
      </w:r>
      <w:r w:rsidR="00021BC5">
        <w:rPr>
          <w:rFonts w:ascii="Times New Roman" w:hAnsi="Times New Roman" w:cs="Times New Roman"/>
          <w:sz w:val="24"/>
          <w:szCs w:val="24"/>
          <w:lang w:val="ro-RO"/>
        </w:rPr>
        <w:t xml:space="preserve"> a</w:t>
      </w:r>
      <w:r w:rsidR="001B4061" w:rsidRPr="00650D66">
        <w:rPr>
          <w:rFonts w:ascii="Times New Roman" w:hAnsi="Times New Roman" w:cs="Times New Roman"/>
          <w:sz w:val="24"/>
          <w:szCs w:val="24"/>
          <w:lang w:val="ro-RO"/>
        </w:rPr>
        <w:t xml:space="preserve"> cărnii, fiind modificat Planul de achiziție a produselor alimentare pentru Cantină. Măsura a fost luată în </w:t>
      </w:r>
      <w:r w:rsidR="00021BC5">
        <w:rPr>
          <w:rFonts w:ascii="Times New Roman" w:hAnsi="Times New Roman" w:cs="Times New Roman"/>
          <w:sz w:val="24"/>
          <w:szCs w:val="24"/>
          <w:lang w:val="ro-RO"/>
        </w:rPr>
        <w:t>urma</w:t>
      </w:r>
      <w:r w:rsidR="001B4061" w:rsidRPr="00650D66">
        <w:rPr>
          <w:rFonts w:ascii="Times New Roman" w:hAnsi="Times New Roman" w:cs="Times New Roman"/>
          <w:sz w:val="24"/>
          <w:szCs w:val="24"/>
          <w:lang w:val="ro-RO"/>
        </w:rPr>
        <w:t xml:space="preserve"> anulării procedurii de achiziție de valoare mică, precum și </w:t>
      </w:r>
      <w:r w:rsidR="00021BC5">
        <w:rPr>
          <w:rFonts w:ascii="Times New Roman" w:hAnsi="Times New Roman" w:cs="Times New Roman"/>
          <w:sz w:val="24"/>
          <w:szCs w:val="24"/>
          <w:lang w:val="ro-RO"/>
        </w:rPr>
        <w:t xml:space="preserve">ca urmare a </w:t>
      </w:r>
      <w:r w:rsidR="001B4061" w:rsidRPr="00650D66">
        <w:rPr>
          <w:rFonts w:ascii="Times New Roman" w:hAnsi="Times New Roman" w:cs="Times New Roman"/>
          <w:sz w:val="24"/>
          <w:szCs w:val="24"/>
          <w:lang w:val="ro-RO"/>
        </w:rPr>
        <w:t>altor impedimente.</w:t>
      </w:r>
    </w:p>
    <w:p w14:paraId="5B999EAB" w14:textId="132B9229" w:rsidR="00647955" w:rsidRPr="00650D66" w:rsidRDefault="00647955" w:rsidP="00D810E8">
      <w:pPr>
        <w:tabs>
          <w:tab w:val="left" w:pos="426"/>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Auditul a </w:t>
      </w:r>
      <w:r w:rsidRPr="006D361B">
        <w:rPr>
          <w:rFonts w:ascii="Times New Roman" w:hAnsi="Times New Roman" w:cs="Times New Roman"/>
          <w:sz w:val="24"/>
          <w:szCs w:val="24"/>
          <w:lang w:val="ro-RO"/>
        </w:rPr>
        <w:t>constatat că au fost întocmite ,,Rapoarte de sinteză privind executare</w:t>
      </w:r>
      <w:r w:rsidR="0046467D" w:rsidRPr="006D361B">
        <w:rPr>
          <w:rFonts w:ascii="Times New Roman" w:hAnsi="Times New Roman" w:cs="Times New Roman"/>
          <w:sz w:val="24"/>
          <w:szCs w:val="24"/>
          <w:lang w:val="ro-RO"/>
        </w:rPr>
        <w:t>a Planului de achiziții al BNM”</w:t>
      </w:r>
      <w:r w:rsidR="006C1529">
        <w:rPr>
          <w:rFonts w:ascii="Times New Roman" w:hAnsi="Times New Roman" w:cs="Times New Roman"/>
          <w:sz w:val="24"/>
          <w:szCs w:val="24"/>
          <w:lang w:val="ro-RO"/>
        </w:rPr>
        <w:t>,</w:t>
      </w:r>
      <w:r w:rsidR="0046467D" w:rsidRPr="006D361B">
        <w:rPr>
          <w:rFonts w:ascii="Times New Roman" w:hAnsi="Times New Roman" w:cs="Times New Roman"/>
          <w:sz w:val="24"/>
          <w:szCs w:val="24"/>
          <w:lang w:val="ro-RO"/>
        </w:rPr>
        <w:t xml:space="preserve"> dar</w:t>
      </w:r>
      <w:r w:rsidRPr="006D361B">
        <w:rPr>
          <w:rFonts w:ascii="Times New Roman" w:hAnsi="Times New Roman" w:cs="Times New Roman"/>
          <w:sz w:val="24"/>
          <w:szCs w:val="24"/>
          <w:lang w:val="ro-RO"/>
        </w:rPr>
        <w:t xml:space="preserve"> </w:t>
      </w:r>
      <w:r w:rsidR="004330F9" w:rsidRPr="006D361B">
        <w:rPr>
          <w:rFonts w:ascii="Times New Roman" w:hAnsi="Times New Roman" w:cs="Times New Roman"/>
          <w:sz w:val="24"/>
          <w:szCs w:val="24"/>
          <w:lang w:val="ro-RO"/>
        </w:rPr>
        <w:t xml:space="preserve">în lipsa </w:t>
      </w:r>
      <w:r w:rsidR="0097551D" w:rsidRPr="006D361B">
        <w:rPr>
          <w:rFonts w:ascii="Times New Roman" w:hAnsi="Times New Roman" w:cs="Times New Roman"/>
          <w:sz w:val="24"/>
          <w:szCs w:val="24"/>
          <w:lang w:val="ro-RO"/>
        </w:rPr>
        <w:t>unei structuri</w:t>
      </w:r>
      <w:r w:rsidR="004330F9" w:rsidRPr="006D361B">
        <w:rPr>
          <w:rFonts w:ascii="Times New Roman" w:hAnsi="Times New Roman" w:cs="Times New Roman"/>
          <w:sz w:val="24"/>
          <w:szCs w:val="24"/>
          <w:lang w:val="ro-RO"/>
        </w:rPr>
        <w:t xml:space="preserve"> </w:t>
      </w:r>
      <w:r w:rsidR="00A97E86" w:rsidRPr="006D361B">
        <w:rPr>
          <w:rFonts w:ascii="Times New Roman" w:hAnsi="Times New Roman" w:cs="Times New Roman"/>
          <w:sz w:val="24"/>
          <w:szCs w:val="24"/>
          <w:lang w:val="ro-RO"/>
        </w:rPr>
        <w:t xml:space="preserve">definite și </w:t>
      </w:r>
      <w:r w:rsidR="004330F9" w:rsidRPr="006D361B">
        <w:rPr>
          <w:rFonts w:ascii="Times New Roman" w:hAnsi="Times New Roman" w:cs="Times New Roman"/>
          <w:sz w:val="24"/>
          <w:szCs w:val="24"/>
          <w:lang w:val="ro-RO"/>
        </w:rPr>
        <w:t>aprobat</w:t>
      </w:r>
      <w:r w:rsidR="0097551D" w:rsidRPr="006D361B">
        <w:rPr>
          <w:rFonts w:ascii="Times New Roman" w:hAnsi="Times New Roman" w:cs="Times New Roman"/>
          <w:sz w:val="24"/>
          <w:szCs w:val="24"/>
          <w:lang w:val="ro-RO"/>
        </w:rPr>
        <w:t>e</w:t>
      </w:r>
      <w:r w:rsidR="004330F9" w:rsidRPr="006D361B">
        <w:rPr>
          <w:rFonts w:ascii="Times New Roman" w:hAnsi="Times New Roman" w:cs="Times New Roman"/>
          <w:sz w:val="24"/>
          <w:szCs w:val="24"/>
          <w:lang w:val="ro-RO"/>
        </w:rPr>
        <w:t xml:space="preserve">, </w:t>
      </w:r>
      <w:r w:rsidRPr="006D361B">
        <w:rPr>
          <w:rFonts w:ascii="Times New Roman" w:hAnsi="Times New Roman" w:cs="Times New Roman"/>
          <w:sz w:val="24"/>
          <w:szCs w:val="24"/>
          <w:lang w:val="ro-RO"/>
        </w:rPr>
        <w:t>în Rapoartele de sinteză privind executarea Planului de achiziții al BNM pentru anii 2019-2022 nu se regăsește clar divizat</w:t>
      </w:r>
      <w:r w:rsidR="00A450E8">
        <w:rPr>
          <w:rFonts w:ascii="Times New Roman" w:hAnsi="Times New Roman" w:cs="Times New Roman"/>
          <w:sz w:val="24"/>
          <w:szCs w:val="24"/>
          <w:lang w:val="ro-RO"/>
        </w:rPr>
        <w:t>ă</w:t>
      </w:r>
      <w:r w:rsidRPr="00650D66">
        <w:rPr>
          <w:rFonts w:ascii="Times New Roman" w:hAnsi="Times New Roman" w:cs="Times New Roman"/>
          <w:sz w:val="24"/>
          <w:szCs w:val="24"/>
          <w:lang w:val="ro-RO"/>
        </w:rPr>
        <w:t xml:space="preserve"> executarea procedurilor de achiziții pentru cantină.</w:t>
      </w:r>
    </w:p>
    <w:p w14:paraId="2F68E19C" w14:textId="74C4FA19" w:rsidR="00660D0A" w:rsidRPr="00650D66" w:rsidRDefault="005B0E5E" w:rsidP="00B872B8">
      <w:pPr>
        <w:tabs>
          <w:tab w:val="left" w:pos="426"/>
        </w:tabs>
        <w:spacing w:after="12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Verificările auditului </w:t>
      </w:r>
      <w:r w:rsidR="00A450E8">
        <w:rPr>
          <w:rFonts w:ascii="Times New Roman" w:hAnsi="Times New Roman" w:cs="Times New Roman"/>
          <w:sz w:val="24"/>
          <w:szCs w:val="24"/>
          <w:lang w:val="ro-RO"/>
        </w:rPr>
        <w:t>relevă</w:t>
      </w:r>
      <w:r w:rsidRPr="00650D66">
        <w:rPr>
          <w:rFonts w:ascii="Times New Roman" w:hAnsi="Times New Roman" w:cs="Times New Roman"/>
          <w:sz w:val="24"/>
          <w:szCs w:val="24"/>
          <w:lang w:val="ro-RO"/>
        </w:rPr>
        <w:t xml:space="preserve"> că, </w:t>
      </w:r>
      <w:r w:rsidR="00A2252B" w:rsidRPr="00650D66">
        <w:rPr>
          <w:rFonts w:ascii="Times New Roman" w:hAnsi="Times New Roman" w:cs="Times New Roman"/>
          <w:sz w:val="24"/>
          <w:szCs w:val="24"/>
          <w:lang w:val="ro-RO"/>
        </w:rPr>
        <w:t xml:space="preserve">pentru cantina BNM au fost executate și alte cheltuieli </w:t>
      </w:r>
      <w:r w:rsidR="00BA684F" w:rsidRPr="00650D66">
        <w:rPr>
          <w:rFonts w:ascii="Times New Roman" w:hAnsi="Times New Roman" w:cs="Times New Roman"/>
          <w:sz w:val="24"/>
          <w:szCs w:val="24"/>
          <w:lang w:val="ro-RO"/>
        </w:rPr>
        <w:t>pentru procurarea m</w:t>
      </w:r>
      <w:r w:rsidR="00A2252B" w:rsidRPr="00650D66">
        <w:rPr>
          <w:rFonts w:ascii="Times New Roman" w:hAnsi="Times New Roman" w:cs="Times New Roman"/>
          <w:sz w:val="24"/>
          <w:szCs w:val="24"/>
          <w:lang w:val="ro-RO"/>
        </w:rPr>
        <w:t>ateriale</w:t>
      </w:r>
      <w:r w:rsidR="00BA684F" w:rsidRPr="00650D66">
        <w:rPr>
          <w:rFonts w:ascii="Times New Roman" w:hAnsi="Times New Roman" w:cs="Times New Roman"/>
          <w:sz w:val="24"/>
          <w:szCs w:val="24"/>
          <w:lang w:val="ro-RO"/>
        </w:rPr>
        <w:t>lor de uz casnic, bunuri</w:t>
      </w:r>
      <w:r w:rsidR="00A450E8">
        <w:rPr>
          <w:rFonts w:ascii="Times New Roman" w:hAnsi="Times New Roman" w:cs="Times New Roman"/>
          <w:sz w:val="24"/>
          <w:szCs w:val="24"/>
          <w:lang w:val="ro-RO"/>
        </w:rPr>
        <w:t>lor</w:t>
      </w:r>
      <w:r w:rsidR="00BA684F" w:rsidRPr="00650D66">
        <w:rPr>
          <w:rFonts w:ascii="Times New Roman" w:hAnsi="Times New Roman" w:cs="Times New Roman"/>
          <w:sz w:val="24"/>
          <w:szCs w:val="24"/>
          <w:lang w:val="ro-RO"/>
        </w:rPr>
        <w:t>, reparația utilajului cantinei, întreținerea cantinei (control medical, plata pentru autorizații, servicii</w:t>
      </w:r>
      <w:r w:rsidR="00FC4F0B" w:rsidRPr="00650D66">
        <w:rPr>
          <w:rFonts w:ascii="Times New Roman" w:hAnsi="Times New Roman" w:cs="Times New Roman"/>
          <w:sz w:val="24"/>
          <w:szCs w:val="24"/>
          <w:lang w:val="ro-RO"/>
        </w:rPr>
        <w:t xml:space="preserve"> de laborator, </w:t>
      </w:r>
      <w:r w:rsidR="00A450E8">
        <w:rPr>
          <w:rFonts w:ascii="Times New Roman" w:hAnsi="Times New Roman" w:cs="Times New Roman"/>
          <w:sz w:val="24"/>
          <w:szCs w:val="24"/>
          <w:lang w:val="ro-RO"/>
        </w:rPr>
        <w:t xml:space="preserve">măsuri de </w:t>
      </w:r>
      <w:r w:rsidR="00FC4F0B" w:rsidRPr="00650D66">
        <w:rPr>
          <w:rFonts w:ascii="Times New Roman" w:hAnsi="Times New Roman" w:cs="Times New Roman"/>
          <w:sz w:val="24"/>
          <w:szCs w:val="24"/>
          <w:lang w:val="ro-RO"/>
        </w:rPr>
        <w:t>dezinsecți</w:t>
      </w:r>
      <w:r w:rsidR="00A450E8">
        <w:rPr>
          <w:rFonts w:ascii="Times New Roman" w:hAnsi="Times New Roman" w:cs="Times New Roman"/>
          <w:sz w:val="24"/>
          <w:szCs w:val="24"/>
          <w:lang w:val="ro-RO"/>
        </w:rPr>
        <w:t>e</w:t>
      </w:r>
      <w:r w:rsidR="00BA684F" w:rsidRPr="00650D66">
        <w:rPr>
          <w:rFonts w:ascii="Times New Roman" w:hAnsi="Times New Roman" w:cs="Times New Roman"/>
          <w:sz w:val="24"/>
          <w:szCs w:val="24"/>
          <w:lang w:val="ro-RO"/>
        </w:rPr>
        <w:t xml:space="preserve"> etc.</w:t>
      </w:r>
      <w:r w:rsidR="00A450E8">
        <w:rPr>
          <w:rFonts w:ascii="Times New Roman" w:hAnsi="Times New Roman" w:cs="Times New Roman"/>
          <w:sz w:val="24"/>
          <w:szCs w:val="24"/>
          <w:lang w:val="ro-RO"/>
        </w:rPr>
        <w:t>),</w:t>
      </w:r>
      <w:r w:rsidR="00937989" w:rsidRPr="00650D66">
        <w:rPr>
          <w:rFonts w:ascii="Times New Roman" w:hAnsi="Times New Roman" w:cs="Times New Roman"/>
          <w:sz w:val="24"/>
          <w:szCs w:val="24"/>
          <w:lang w:val="ro-RO"/>
        </w:rPr>
        <w:t xml:space="preserve"> dar </w:t>
      </w:r>
      <w:r w:rsidR="00A450E8">
        <w:rPr>
          <w:rFonts w:ascii="Times New Roman" w:hAnsi="Times New Roman" w:cs="Times New Roman"/>
          <w:sz w:val="24"/>
          <w:szCs w:val="24"/>
          <w:lang w:val="ro-RO"/>
        </w:rPr>
        <w:t xml:space="preserve">acestea </w:t>
      </w:r>
      <w:r w:rsidR="00937989" w:rsidRPr="00650D66">
        <w:rPr>
          <w:rFonts w:ascii="Times New Roman" w:hAnsi="Times New Roman" w:cs="Times New Roman"/>
          <w:sz w:val="24"/>
          <w:szCs w:val="24"/>
          <w:lang w:val="ro-RO"/>
        </w:rPr>
        <w:t xml:space="preserve">nu pot fi delimitate. </w:t>
      </w:r>
      <w:r w:rsidR="00D17C09" w:rsidRPr="00650D66">
        <w:rPr>
          <w:rFonts w:ascii="Times New Roman" w:hAnsi="Times New Roman" w:cs="Times New Roman"/>
          <w:sz w:val="24"/>
          <w:szCs w:val="24"/>
          <w:lang w:val="ro-RO"/>
        </w:rPr>
        <w:t>Totodată, î</w:t>
      </w:r>
      <w:r w:rsidR="00A16845" w:rsidRPr="00650D66">
        <w:rPr>
          <w:rFonts w:ascii="Times New Roman" w:hAnsi="Times New Roman" w:cs="Times New Roman"/>
          <w:sz w:val="24"/>
          <w:szCs w:val="24"/>
          <w:lang w:val="ro-RO"/>
        </w:rPr>
        <w:t>n perioada 2019-2022 au fost executate alocații pentru investiții în sumă de 176,3 mii lei pentru:</w:t>
      </w:r>
      <w:r w:rsidR="00A16845" w:rsidRPr="00650D66">
        <w:rPr>
          <w:rFonts w:ascii="Times New Roman" w:hAnsi="Times New Roman" w:cs="Times New Roman"/>
          <w:lang w:val="ro-RO"/>
        </w:rPr>
        <w:t xml:space="preserve"> </w:t>
      </w:r>
      <w:r w:rsidR="00A16845" w:rsidRPr="00650D66">
        <w:rPr>
          <w:rFonts w:ascii="Times New Roman" w:hAnsi="Times New Roman" w:cs="Times New Roman"/>
          <w:sz w:val="24"/>
          <w:szCs w:val="24"/>
          <w:lang w:val="ro-RO"/>
        </w:rPr>
        <w:t xml:space="preserve">construcția cantinei – 116,9 mii lei, </w:t>
      </w:r>
      <w:r w:rsidR="001340B0" w:rsidRPr="00650D66">
        <w:rPr>
          <w:rFonts w:ascii="Times New Roman" w:hAnsi="Times New Roman" w:cs="Times New Roman"/>
          <w:sz w:val="24"/>
          <w:szCs w:val="24"/>
          <w:lang w:val="ro-RO"/>
        </w:rPr>
        <w:t xml:space="preserve">procurarea </w:t>
      </w:r>
      <w:r w:rsidR="00A16845" w:rsidRPr="00650D66">
        <w:rPr>
          <w:rFonts w:ascii="Times New Roman" w:hAnsi="Times New Roman" w:cs="Times New Roman"/>
          <w:sz w:val="24"/>
          <w:szCs w:val="24"/>
          <w:lang w:val="ro-RO"/>
        </w:rPr>
        <w:t>meselor din inox – 39,</w:t>
      </w:r>
      <w:r w:rsidR="001340B0" w:rsidRPr="00650D66">
        <w:rPr>
          <w:rFonts w:ascii="Times New Roman" w:hAnsi="Times New Roman" w:cs="Times New Roman"/>
          <w:sz w:val="24"/>
          <w:szCs w:val="24"/>
          <w:lang w:val="ro-RO"/>
        </w:rPr>
        <w:t>2 mii lei</w:t>
      </w:r>
      <w:r w:rsidR="00A450E8">
        <w:rPr>
          <w:rFonts w:ascii="Times New Roman" w:hAnsi="Times New Roman" w:cs="Times New Roman"/>
          <w:sz w:val="24"/>
          <w:szCs w:val="24"/>
          <w:lang w:val="ro-RO"/>
        </w:rPr>
        <w:t>,</w:t>
      </w:r>
      <w:r w:rsidR="001340B0" w:rsidRPr="00650D66">
        <w:rPr>
          <w:rFonts w:ascii="Times New Roman" w:hAnsi="Times New Roman" w:cs="Times New Roman"/>
          <w:sz w:val="24"/>
          <w:szCs w:val="24"/>
          <w:lang w:val="ro-RO"/>
        </w:rPr>
        <w:t xml:space="preserve"> și </w:t>
      </w:r>
      <w:r w:rsidR="00A16845" w:rsidRPr="00650D66">
        <w:rPr>
          <w:rFonts w:ascii="Times New Roman" w:hAnsi="Times New Roman" w:cs="Times New Roman"/>
          <w:sz w:val="24"/>
          <w:szCs w:val="24"/>
          <w:lang w:val="ro-RO"/>
        </w:rPr>
        <w:t>procurarea roboților de bucătărie – 20,2 mii lei.</w:t>
      </w:r>
    </w:p>
    <w:p w14:paraId="65A3EF31" w14:textId="2D46FA9C" w:rsidR="002D35E6" w:rsidRPr="00650D66" w:rsidRDefault="007F1F02" w:rsidP="00B4197D">
      <w:pPr>
        <w:tabs>
          <w:tab w:val="left" w:pos="426"/>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lastRenderedPageBreak/>
        <w:t>Conform prevederilor art.39 din HG nr.1209 din 08.11.2007</w:t>
      </w:r>
      <w:r w:rsidRPr="00650D66">
        <w:rPr>
          <w:rStyle w:val="FootnoteReference"/>
          <w:rFonts w:ascii="Times New Roman" w:hAnsi="Times New Roman" w:cs="Times New Roman"/>
          <w:sz w:val="24"/>
          <w:szCs w:val="24"/>
          <w:lang w:val="ro-RO"/>
        </w:rPr>
        <w:footnoteReference w:id="61"/>
      </w:r>
      <w:r w:rsidRPr="00650D66">
        <w:rPr>
          <w:rFonts w:ascii="Times New Roman" w:hAnsi="Times New Roman" w:cs="Times New Roman"/>
          <w:sz w:val="24"/>
          <w:szCs w:val="24"/>
          <w:lang w:val="ro-RO"/>
        </w:rPr>
        <w:t>, unitățile de alimentație publică formează pre</w:t>
      </w:r>
      <w:r w:rsidR="00A450E8">
        <w:rPr>
          <w:rFonts w:ascii="Times New Roman" w:hAnsi="Times New Roman" w:cs="Times New Roman"/>
          <w:sz w:val="24"/>
          <w:szCs w:val="24"/>
          <w:lang w:val="ro-RO"/>
        </w:rPr>
        <w:t>ț</w:t>
      </w:r>
      <w:r w:rsidRPr="00650D66">
        <w:rPr>
          <w:rFonts w:ascii="Times New Roman" w:hAnsi="Times New Roman" w:cs="Times New Roman"/>
          <w:sz w:val="24"/>
          <w:szCs w:val="24"/>
          <w:lang w:val="ro-RO"/>
        </w:rPr>
        <w:t xml:space="preserve">urile la produsele fabricate și comercializate în baza prețurilor de achiziție a produselor, inclusiv a materiei prime, cu aplicarea adaosului comercial la totalul cheltuielilor activității operaționale a unității de alimentație publică. Cheltuielile de servire a produselor se acoperă din contul adaosului comercial. </w:t>
      </w:r>
      <w:r w:rsidR="00B4197D" w:rsidRPr="00650D66">
        <w:rPr>
          <w:rFonts w:ascii="Times New Roman" w:hAnsi="Times New Roman" w:cs="Times New Roman"/>
          <w:sz w:val="24"/>
          <w:szCs w:val="24"/>
          <w:lang w:val="ro-RO"/>
        </w:rPr>
        <w:t>Auditul a constatat că, conform reglementărilor interne</w:t>
      </w:r>
      <w:r w:rsidR="00A450E8">
        <w:rPr>
          <w:rFonts w:ascii="Times New Roman" w:hAnsi="Times New Roman" w:cs="Times New Roman"/>
          <w:sz w:val="24"/>
          <w:szCs w:val="24"/>
          <w:lang w:val="ro-RO"/>
        </w:rPr>
        <w:t>,</w:t>
      </w:r>
      <w:r w:rsidR="00B4197D" w:rsidRPr="00650D66">
        <w:rPr>
          <w:rFonts w:ascii="Times New Roman" w:hAnsi="Times New Roman" w:cs="Times New Roman"/>
          <w:sz w:val="24"/>
          <w:szCs w:val="24"/>
          <w:lang w:val="ro-RO"/>
        </w:rPr>
        <w:t xml:space="preserve"> </w:t>
      </w:r>
      <w:r w:rsidR="002B70E6" w:rsidRPr="00650D66">
        <w:rPr>
          <w:rFonts w:ascii="Times New Roman" w:hAnsi="Times New Roman" w:cs="Times New Roman"/>
          <w:sz w:val="24"/>
          <w:szCs w:val="24"/>
          <w:lang w:val="ro-RO"/>
        </w:rPr>
        <w:t>cheltuielile indirecte se aplică ca un adaos procentual la cheltuielile directe (pentru produse</w:t>
      </w:r>
      <w:r w:rsidR="00A450E8">
        <w:rPr>
          <w:rFonts w:ascii="Times New Roman" w:hAnsi="Times New Roman" w:cs="Times New Roman"/>
          <w:sz w:val="24"/>
          <w:szCs w:val="24"/>
          <w:lang w:val="ro-RO"/>
        </w:rPr>
        <w:t>le</w:t>
      </w:r>
      <w:r w:rsidR="002B70E6" w:rsidRPr="00650D66">
        <w:rPr>
          <w:rFonts w:ascii="Times New Roman" w:hAnsi="Times New Roman" w:cs="Times New Roman"/>
          <w:sz w:val="24"/>
          <w:szCs w:val="24"/>
          <w:lang w:val="ro-RO"/>
        </w:rPr>
        <w:t xml:space="preserve"> alimentare) și se a</w:t>
      </w:r>
      <w:r w:rsidR="007A7BDC" w:rsidRPr="00650D66">
        <w:rPr>
          <w:rFonts w:ascii="Times New Roman" w:hAnsi="Times New Roman" w:cs="Times New Roman"/>
          <w:sz w:val="24"/>
          <w:szCs w:val="24"/>
          <w:lang w:val="ro-RO"/>
        </w:rPr>
        <w:t xml:space="preserve">ctualizează la necesitate anual, </w:t>
      </w:r>
      <w:r w:rsidR="00201519" w:rsidRPr="00650D66">
        <w:rPr>
          <w:rFonts w:ascii="Times New Roman" w:hAnsi="Times New Roman" w:cs="Times New Roman"/>
          <w:sz w:val="24"/>
          <w:szCs w:val="24"/>
          <w:lang w:val="ro-RO"/>
        </w:rPr>
        <w:t>fără a fi specificat ce adaos comercial și</w:t>
      </w:r>
      <w:r w:rsidR="00B4197D" w:rsidRPr="00650D66">
        <w:rPr>
          <w:rFonts w:ascii="Times New Roman" w:hAnsi="Times New Roman" w:cs="Times New Roman"/>
          <w:sz w:val="24"/>
          <w:szCs w:val="24"/>
          <w:lang w:val="ro-RO"/>
        </w:rPr>
        <w:t xml:space="preserve"> fără a cunoaște</w:t>
      </w:r>
      <w:r w:rsidR="00A450E8">
        <w:rPr>
          <w:rFonts w:ascii="Times New Roman" w:hAnsi="Times New Roman" w:cs="Times New Roman"/>
          <w:sz w:val="24"/>
          <w:szCs w:val="24"/>
          <w:lang w:val="ro-RO"/>
        </w:rPr>
        <w:t xml:space="preserve"> exact</w:t>
      </w:r>
      <w:r w:rsidR="00B4197D" w:rsidRPr="00650D66">
        <w:rPr>
          <w:rFonts w:ascii="Times New Roman" w:hAnsi="Times New Roman" w:cs="Times New Roman"/>
          <w:sz w:val="24"/>
          <w:szCs w:val="24"/>
          <w:lang w:val="ro-RO"/>
        </w:rPr>
        <w:t xml:space="preserve"> cheltuielile </w:t>
      </w:r>
      <w:r w:rsidR="000B499E" w:rsidRPr="00650D66">
        <w:rPr>
          <w:rFonts w:ascii="Times New Roman" w:hAnsi="Times New Roman" w:cs="Times New Roman"/>
          <w:sz w:val="24"/>
          <w:szCs w:val="24"/>
          <w:lang w:val="ro-RO"/>
        </w:rPr>
        <w:t xml:space="preserve">executate </w:t>
      </w:r>
      <w:r w:rsidR="00B4197D" w:rsidRPr="00650D66">
        <w:rPr>
          <w:rFonts w:ascii="Times New Roman" w:hAnsi="Times New Roman" w:cs="Times New Roman"/>
          <w:sz w:val="24"/>
          <w:szCs w:val="24"/>
          <w:lang w:val="ro-RO"/>
        </w:rPr>
        <w:t>pentru cantină.</w:t>
      </w:r>
      <w:r w:rsidR="00AA76E7" w:rsidRPr="00650D66">
        <w:rPr>
          <w:rFonts w:ascii="Times New Roman" w:hAnsi="Times New Roman" w:cs="Times New Roman"/>
          <w:sz w:val="24"/>
          <w:szCs w:val="24"/>
          <w:lang w:val="ro-RO"/>
        </w:rPr>
        <w:t xml:space="preserve"> La solicitarea auditului</w:t>
      </w:r>
      <w:r w:rsidR="00A450E8">
        <w:rPr>
          <w:rFonts w:ascii="Times New Roman" w:hAnsi="Times New Roman" w:cs="Times New Roman"/>
          <w:sz w:val="24"/>
          <w:szCs w:val="24"/>
          <w:lang w:val="ro-RO"/>
        </w:rPr>
        <w:t>,</w:t>
      </w:r>
      <w:r w:rsidR="00B972D5" w:rsidRPr="00650D66">
        <w:rPr>
          <w:rFonts w:ascii="Times New Roman" w:hAnsi="Times New Roman" w:cs="Times New Roman"/>
          <w:sz w:val="24"/>
          <w:szCs w:val="24"/>
          <w:lang w:val="ro-RO"/>
        </w:rPr>
        <w:t xml:space="preserve"> pe parcursul misiunii de audit</w:t>
      </w:r>
      <w:r w:rsidR="00AA76E7" w:rsidRPr="00650D66">
        <w:rPr>
          <w:rFonts w:ascii="Times New Roman" w:hAnsi="Times New Roman" w:cs="Times New Roman"/>
          <w:sz w:val="24"/>
          <w:szCs w:val="24"/>
          <w:lang w:val="ro-RO"/>
        </w:rPr>
        <w:t xml:space="preserve"> nu au fost prezentate documentele prin c</w:t>
      </w:r>
      <w:r w:rsidR="00B972D5" w:rsidRPr="00650D66">
        <w:rPr>
          <w:rFonts w:ascii="Times New Roman" w:hAnsi="Times New Roman" w:cs="Times New Roman"/>
          <w:sz w:val="24"/>
          <w:szCs w:val="24"/>
          <w:lang w:val="ro-RO"/>
        </w:rPr>
        <w:t>are se aprobă adaosul comercial</w:t>
      </w:r>
      <w:r w:rsidR="00A450E8">
        <w:rPr>
          <w:rFonts w:ascii="Times New Roman" w:hAnsi="Times New Roman" w:cs="Times New Roman"/>
          <w:sz w:val="24"/>
          <w:szCs w:val="24"/>
          <w:lang w:val="ro-RO"/>
        </w:rPr>
        <w:t>,</w:t>
      </w:r>
      <w:r w:rsidR="00B972D5" w:rsidRPr="00650D66">
        <w:rPr>
          <w:rFonts w:ascii="Times New Roman" w:hAnsi="Times New Roman" w:cs="Times New Roman"/>
          <w:sz w:val="24"/>
          <w:szCs w:val="24"/>
          <w:lang w:val="ro-RO"/>
        </w:rPr>
        <w:t xml:space="preserve"> dar </w:t>
      </w:r>
      <w:r w:rsidR="00A450E8">
        <w:rPr>
          <w:rFonts w:ascii="Times New Roman" w:hAnsi="Times New Roman" w:cs="Times New Roman"/>
          <w:sz w:val="24"/>
          <w:szCs w:val="24"/>
          <w:lang w:val="ro-RO"/>
        </w:rPr>
        <w:t xml:space="preserve">abia </w:t>
      </w:r>
      <w:r w:rsidR="00B972D5" w:rsidRPr="00650D66">
        <w:rPr>
          <w:rFonts w:ascii="Times New Roman" w:hAnsi="Times New Roman" w:cs="Times New Roman"/>
          <w:sz w:val="24"/>
          <w:szCs w:val="24"/>
          <w:lang w:val="ro-RO"/>
        </w:rPr>
        <w:t>la etapa de comunicare a auditului</w:t>
      </w:r>
      <w:r w:rsidR="00CF314C" w:rsidRPr="00650D66">
        <w:rPr>
          <w:rFonts w:ascii="Times New Roman" w:hAnsi="Times New Roman" w:cs="Times New Roman"/>
          <w:sz w:val="24"/>
          <w:szCs w:val="24"/>
          <w:lang w:val="ro-RO"/>
        </w:rPr>
        <w:t xml:space="preserve">, </w:t>
      </w:r>
      <w:r w:rsidR="00B972D5" w:rsidRPr="00650D66">
        <w:rPr>
          <w:rFonts w:ascii="Times New Roman" w:hAnsi="Times New Roman" w:cs="Times New Roman"/>
          <w:sz w:val="24"/>
          <w:szCs w:val="24"/>
          <w:lang w:val="ro-RO"/>
        </w:rPr>
        <w:t>la data de 19.01.20</w:t>
      </w:r>
      <w:r w:rsidR="005201DB" w:rsidRPr="00650D66">
        <w:rPr>
          <w:rFonts w:ascii="Times New Roman" w:hAnsi="Times New Roman" w:cs="Times New Roman"/>
          <w:sz w:val="24"/>
          <w:szCs w:val="24"/>
          <w:lang w:val="ro-RO"/>
        </w:rPr>
        <w:t>24</w:t>
      </w:r>
      <w:r w:rsidR="00A450E8">
        <w:rPr>
          <w:rFonts w:ascii="Times New Roman" w:hAnsi="Times New Roman" w:cs="Times New Roman"/>
          <w:sz w:val="24"/>
          <w:szCs w:val="24"/>
          <w:lang w:val="ro-RO"/>
        </w:rPr>
        <w:t>,</w:t>
      </w:r>
      <w:r w:rsidR="005201DB" w:rsidRPr="00650D66">
        <w:rPr>
          <w:rFonts w:ascii="Times New Roman" w:hAnsi="Times New Roman" w:cs="Times New Roman"/>
          <w:sz w:val="24"/>
          <w:szCs w:val="24"/>
          <w:lang w:val="ro-RO"/>
        </w:rPr>
        <w:t xml:space="preserve"> a fost prezentat Ordinul BNM nr.</w:t>
      </w:r>
      <w:r w:rsidR="00B972D5" w:rsidRPr="00650D66">
        <w:rPr>
          <w:rFonts w:ascii="Times New Roman" w:hAnsi="Times New Roman" w:cs="Times New Roman"/>
          <w:sz w:val="24"/>
          <w:szCs w:val="24"/>
          <w:lang w:val="ro-RO"/>
        </w:rPr>
        <w:t xml:space="preserve">306 </w:t>
      </w:r>
      <w:r w:rsidR="005201DB" w:rsidRPr="00650D66">
        <w:rPr>
          <w:rFonts w:ascii="Times New Roman" w:hAnsi="Times New Roman" w:cs="Times New Roman"/>
          <w:sz w:val="24"/>
          <w:szCs w:val="24"/>
          <w:lang w:val="ro-RO"/>
        </w:rPr>
        <w:t xml:space="preserve">din 31.12.2010, prin care este </w:t>
      </w:r>
      <w:r w:rsidR="00B972D5" w:rsidRPr="00650D66">
        <w:rPr>
          <w:rFonts w:ascii="Times New Roman" w:hAnsi="Times New Roman" w:cs="Times New Roman"/>
          <w:sz w:val="24"/>
          <w:szCs w:val="24"/>
          <w:lang w:val="ro-RO"/>
        </w:rPr>
        <w:t xml:space="preserve">stabilită mărimea adaosului </w:t>
      </w:r>
      <w:r w:rsidR="005201DB" w:rsidRPr="00650D66">
        <w:rPr>
          <w:rFonts w:ascii="Times New Roman" w:hAnsi="Times New Roman" w:cs="Times New Roman"/>
          <w:sz w:val="24"/>
          <w:szCs w:val="24"/>
          <w:lang w:val="ro-RO"/>
        </w:rPr>
        <w:t>comercial</w:t>
      </w:r>
      <w:r w:rsidR="00A5488E">
        <w:rPr>
          <w:rFonts w:ascii="Times New Roman" w:hAnsi="Times New Roman" w:cs="Times New Roman"/>
          <w:sz w:val="24"/>
          <w:szCs w:val="24"/>
          <w:lang w:val="ro-RO"/>
        </w:rPr>
        <w:t xml:space="preserve"> (30,0%)</w:t>
      </w:r>
      <w:r w:rsidR="005201DB" w:rsidRPr="00650D66">
        <w:rPr>
          <w:rFonts w:ascii="Times New Roman" w:hAnsi="Times New Roman" w:cs="Times New Roman"/>
          <w:sz w:val="24"/>
          <w:szCs w:val="24"/>
          <w:lang w:val="ro-RO"/>
        </w:rPr>
        <w:t xml:space="preserve"> </w:t>
      </w:r>
      <w:r w:rsidR="00B972D5" w:rsidRPr="00650D66">
        <w:rPr>
          <w:rFonts w:ascii="Times New Roman" w:hAnsi="Times New Roman" w:cs="Times New Roman"/>
          <w:sz w:val="24"/>
          <w:szCs w:val="24"/>
          <w:lang w:val="ro-RO"/>
        </w:rPr>
        <w:t>față de prețul liber cu amănuntul și față de costul setului de materie primă la calcularea bucatelor și produselor realizate în cantina BNM.</w:t>
      </w:r>
    </w:p>
    <w:p w14:paraId="5D1C1C9E" w14:textId="77777777" w:rsidR="007F1F02" w:rsidRPr="00650D66" w:rsidRDefault="007F1F02" w:rsidP="00B4197D">
      <w:pPr>
        <w:tabs>
          <w:tab w:val="left" w:pos="426"/>
        </w:tabs>
        <w:spacing w:after="0" w:line="276" w:lineRule="auto"/>
        <w:jc w:val="both"/>
        <w:rPr>
          <w:rFonts w:ascii="Times New Roman" w:hAnsi="Times New Roman" w:cs="Times New Roman"/>
          <w:sz w:val="24"/>
          <w:szCs w:val="24"/>
          <w:lang w:val="ro-RO"/>
        </w:rPr>
      </w:pPr>
    </w:p>
    <w:p w14:paraId="1A82AFDE" w14:textId="1708EB65" w:rsidR="00034490" w:rsidRPr="00650D66" w:rsidRDefault="007C2113" w:rsidP="00314AE2">
      <w:pPr>
        <w:pStyle w:val="ListParagraph"/>
        <w:numPr>
          <w:ilvl w:val="1"/>
          <w:numId w:val="7"/>
        </w:numPr>
        <w:tabs>
          <w:tab w:val="left" w:pos="142"/>
          <w:tab w:val="left" w:pos="426"/>
        </w:tabs>
        <w:spacing w:after="0" w:line="276" w:lineRule="auto"/>
        <w:ind w:left="0" w:firstLine="0"/>
        <w:jc w:val="both"/>
        <w:outlineLvl w:val="1"/>
        <w:rPr>
          <w:rFonts w:ascii="Times New Roman" w:hAnsi="Times New Roman" w:cs="Times New Roman"/>
          <w:b/>
          <w:sz w:val="24"/>
          <w:szCs w:val="24"/>
          <w:lang w:val="ro-RO"/>
        </w:rPr>
      </w:pPr>
      <w:bookmarkStart w:id="19" w:name="_Toc159413644"/>
      <w:r w:rsidRPr="00650D66">
        <w:rPr>
          <w:rFonts w:ascii="Times New Roman" w:hAnsi="Times New Roman" w:cs="Times New Roman"/>
          <w:b/>
          <w:sz w:val="24"/>
          <w:szCs w:val="24"/>
          <w:lang w:val="ro-RO"/>
        </w:rPr>
        <w:t xml:space="preserve">Obiectivul nr.3: </w:t>
      </w:r>
      <w:r w:rsidR="00034490" w:rsidRPr="00650D66">
        <w:rPr>
          <w:rFonts w:ascii="Times New Roman" w:hAnsi="Times New Roman" w:cs="Times New Roman"/>
          <w:b/>
          <w:sz w:val="24"/>
          <w:szCs w:val="24"/>
          <w:lang w:val="ro-RO"/>
        </w:rPr>
        <w:t xml:space="preserve">Procedurile de achiziții publice de </w:t>
      </w:r>
      <w:r w:rsidR="004524E9" w:rsidRPr="00650D66">
        <w:rPr>
          <w:rFonts w:ascii="Times New Roman" w:hAnsi="Times New Roman" w:cs="Times New Roman"/>
          <w:b/>
          <w:sz w:val="24"/>
          <w:szCs w:val="24"/>
          <w:lang w:val="ro-RO"/>
        </w:rPr>
        <w:t>bunuri</w:t>
      </w:r>
      <w:r w:rsidR="00034490" w:rsidRPr="00650D66">
        <w:rPr>
          <w:rFonts w:ascii="Times New Roman" w:hAnsi="Times New Roman" w:cs="Times New Roman"/>
          <w:b/>
          <w:sz w:val="24"/>
          <w:szCs w:val="24"/>
          <w:lang w:val="ro-RO"/>
        </w:rPr>
        <w:t xml:space="preserve">, lucrări și servicii </w:t>
      </w:r>
      <w:r w:rsidR="00F542C9" w:rsidRPr="00650D66">
        <w:rPr>
          <w:rFonts w:ascii="Times New Roman" w:hAnsi="Times New Roman" w:cs="Times New Roman"/>
          <w:b/>
          <w:sz w:val="24"/>
          <w:szCs w:val="24"/>
          <w:lang w:val="ro-RO"/>
        </w:rPr>
        <w:t xml:space="preserve">au fost </w:t>
      </w:r>
      <w:r w:rsidR="00034490" w:rsidRPr="00650D66">
        <w:rPr>
          <w:rFonts w:ascii="Times New Roman" w:hAnsi="Times New Roman" w:cs="Times New Roman"/>
          <w:b/>
          <w:sz w:val="24"/>
          <w:szCs w:val="24"/>
          <w:lang w:val="ro-RO"/>
        </w:rPr>
        <w:t xml:space="preserve">efectuate de către BNM </w:t>
      </w:r>
      <w:r w:rsidR="00F542C9" w:rsidRPr="00650D66">
        <w:rPr>
          <w:rFonts w:ascii="Times New Roman" w:hAnsi="Times New Roman" w:cs="Times New Roman"/>
          <w:b/>
          <w:sz w:val="24"/>
          <w:szCs w:val="24"/>
          <w:lang w:val="ro-RO"/>
        </w:rPr>
        <w:t>în conformitate cu prevederile</w:t>
      </w:r>
      <w:r w:rsidR="00034490" w:rsidRPr="00650D66">
        <w:rPr>
          <w:rFonts w:ascii="Times New Roman" w:hAnsi="Times New Roman" w:cs="Times New Roman"/>
          <w:b/>
          <w:sz w:val="24"/>
          <w:szCs w:val="24"/>
          <w:lang w:val="ro-RO"/>
        </w:rPr>
        <w:t xml:space="preserve"> cadrului normativ aplicat?</w:t>
      </w:r>
      <w:bookmarkEnd w:id="19"/>
    </w:p>
    <w:p w14:paraId="22A1A2A7" w14:textId="3075C772" w:rsidR="00EA15DE" w:rsidRPr="00650D66" w:rsidRDefault="00EA37C1" w:rsidP="00EA37C1">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Deși la planificarea contractelor de achiziții publice, una din condițiile de planificare a contractului de achiziții publice este cunoașterea exactă a necesităților de bunuri, lucrări sau servicii, </w:t>
      </w:r>
      <w:r w:rsidR="009B0F8D" w:rsidRPr="00650D66">
        <w:rPr>
          <w:rFonts w:ascii="Times New Roman" w:hAnsi="Times New Roman" w:cs="Times New Roman"/>
          <w:sz w:val="24"/>
          <w:szCs w:val="24"/>
          <w:lang w:val="ro-RO"/>
        </w:rPr>
        <w:t>BNM</w:t>
      </w:r>
      <w:r w:rsidR="00283BE8">
        <w:rPr>
          <w:rFonts w:ascii="Times New Roman" w:hAnsi="Times New Roman" w:cs="Times New Roman"/>
          <w:sz w:val="24"/>
          <w:szCs w:val="24"/>
          <w:lang w:val="ro-RO"/>
        </w:rPr>
        <w:t>,</w:t>
      </w:r>
      <w:r w:rsidR="009B0F8D" w:rsidRPr="00650D66">
        <w:rPr>
          <w:rFonts w:ascii="Times New Roman" w:hAnsi="Times New Roman" w:cs="Times New Roman"/>
          <w:sz w:val="24"/>
          <w:szCs w:val="24"/>
          <w:lang w:val="ro-RO"/>
        </w:rPr>
        <w:t xml:space="preserve"> în perioada auditată 2019-2022</w:t>
      </w:r>
      <w:r w:rsidR="00283BE8">
        <w:rPr>
          <w:rFonts w:ascii="Times New Roman" w:hAnsi="Times New Roman" w:cs="Times New Roman"/>
          <w:sz w:val="24"/>
          <w:szCs w:val="24"/>
          <w:lang w:val="ro-RO"/>
        </w:rPr>
        <w:t>,</w:t>
      </w:r>
      <w:r w:rsidR="009B0F8D" w:rsidRPr="00650D66">
        <w:rPr>
          <w:rFonts w:ascii="Times New Roman" w:hAnsi="Times New Roman" w:cs="Times New Roman"/>
          <w:sz w:val="24"/>
          <w:szCs w:val="24"/>
          <w:lang w:val="ro-RO"/>
        </w:rPr>
        <w:t xml:space="preserve"> nu a valorificat</w:t>
      </w:r>
      <w:r w:rsidR="009B0F8D" w:rsidRPr="00650D66">
        <w:rPr>
          <w:rFonts w:ascii="Times New Roman" w:hAnsi="Times New Roman" w:cs="Times New Roman"/>
          <w:bCs/>
          <w:sz w:val="24"/>
          <w:szCs w:val="24"/>
          <w:lang w:val="ro-RO"/>
        </w:rPr>
        <w:t xml:space="preserve"> </w:t>
      </w:r>
      <w:r w:rsidR="009B0F8D" w:rsidRPr="00650D66">
        <w:rPr>
          <w:rFonts w:ascii="Times New Roman" w:hAnsi="Times New Roman" w:cs="Times New Roman"/>
          <w:sz w:val="24"/>
          <w:szCs w:val="24"/>
          <w:lang w:val="ro-RO"/>
        </w:rPr>
        <w:t xml:space="preserve">mijloacele financiare destinate </w:t>
      </w:r>
      <w:r w:rsidR="009B0F8D" w:rsidRPr="00650D66">
        <w:rPr>
          <w:rFonts w:ascii="Times New Roman" w:hAnsi="Times New Roman" w:cs="Times New Roman"/>
          <w:bCs/>
          <w:sz w:val="24"/>
          <w:szCs w:val="24"/>
          <w:lang w:val="ro-RO"/>
        </w:rPr>
        <w:t>achizițiilor publice în sumă de 655,7 mil. lei</w:t>
      </w:r>
      <w:r w:rsidR="009B0F8D"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 xml:space="preserve">Totodată, auditul a constatat </w:t>
      </w:r>
      <w:r w:rsidR="00171FCC" w:rsidRPr="00650D66">
        <w:rPr>
          <w:rFonts w:ascii="Times New Roman" w:hAnsi="Times New Roman" w:cs="Times New Roman"/>
          <w:sz w:val="24"/>
          <w:szCs w:val="24"/>
          <w:lang w:val="ro-RO"/>
        </w:rPr>
        <w:t xml:space="preserve">unele </w:t>
      </w:r>
      <w:r w:rsidRPr="00650D66">
        <w:rPr>
          <w:rFonts w:ascii="Times New Roman" w:hAnsi="Times New Roman" w:cs="Times New Roman"/>
          <w:sz w:val="24"/>
          <w:szCs w:val="24"/>
          <w:lang w:val="ro-RO"/>
        </w:rPr>
        <w:t>problematici la planificarea și organizarea procedurilor de a</w:t>
      </w:r>
      <w:r w:rsidR="00171FCC" w:rsidRPr="00650D66">
        <w:rPr>
          <w:rFonts w:ascii="Times New Roman" w:hAnsi="Times New Roman" w:cs="Times New Roman"/>
          <w:sz w:val="24"/>
          <w:szCs w:val="24"/>
          <w:lang w:val="ro-RO"/>
        </w:rPr>
        <w:t>chiziții publice în cadrul BNM.</w:t>
      </w:r>
    </w:p>
    <w:p w14:paraId="2DE9B3B1" w14:textId="77777777" w:rsidR="00171FCC" w:rsidRPr="00650D66" w:rsidRDefault="00171FCC" w:rsidP="00EA37C1">
      <w:pPr>
        <w:spacing w:after="0" w:line="276" w:lineRule="auto"/>
        <w:jc w:val="both"/>
        <w:rPr>
          <w:rFonts w:ascii="Times New Roman" w:hAnsi="Times New Roman" w:cs="Times New Roman"/>
          <w:sz w:val="24"/>
          <w:szCs w:val="24"/>
          <w:lang w:val="ro-RO"/>
        </w:rPr>
      </w:pPr>
    </w:p>
    <w:p w14:paraId="799F4AAA" w14:textId="0FB89198" w:rsidR="003A2166" w:rsidRPr="00C85424" w:rsidRDefault="003A2166" w:rsidP="00C85424">
      <w:pPr>
        <w:spacing w:after="0"/>
        <w:jc w:val="both"/>
        <w:rPr>
          <w:rFonts w:ascii="Times New Roman" w:hAnsi="Times New Roman" w:cs="Times New Roman"/>
          <w:b/>
          <w:sz w:val="24"/>
          <w:szCs w:val="24"/>
          <w:lang w:val="ro-RO"/>
        </w:rPr>
      </w:pPr>
      <w:r w:rsidRPr="00C85424">
        <w:rPr>
          <w:rFonts w:ascii="Times New Roman" w:hAnsi="Times New Roman" w:cs="Times New Roman"/>
          <w:b/>
          <w:sz w:val="24"/>
          <w:szCs w:val="24"/>
          <w:lang w:val="ro-RO"/>
        </w:rPr>
        <w:t xml:space="preserve">4.3.1 </w:t>
      </w:r>
      <w:r w:rsidR="002A7E3B" w:rsidRPr="00C85424">
        <w:rPr>
          <w:rFonts w:ascii="Times New Roman" w:hAnsi="Times New Roman" w:cs="Times New Roman"/>
          <w:b/>
          <w:sz w:val="24"/>
          <w:szCs w:val="24"/>
          <w:lang w:val="ro-RO"/>
        </w:rPr>
        <w:t xml:space="preserve">Nevalorificarea mijloacelor financiare </w:t>
      </w:r>
      <w:r w:rsidR="00CF1891" w:rsidRPr="00C85424">
        <w:rPr>
          <w:rFonts w:ascii="Times New Roman" w:hAnsi="Times New Roman" w:cs="Times New Roman"/>
          <w:b/>
          <w:sz w:val="24"/>
          <w:szCs w:val="24"/>
          <w:lang w:val="ro-RO"/>
        </w:rPr>
        <w:t xml:space="preserve">planificate </w:t>
      </w:r>
      <w:r w:rsidR="002A7E3B" w:rsidRPr="00C85424">
        <w:rPr>
          <w:rFonts w:ascii="Times New Roman" w:hAnsi="Times New Roman" w:cs="Times New Roman"/>
          <w:b/>
          <w:sz w:val="24"/>
          <w:szCs w:val="24"/>
          <w:lang w:val="ro-RO"/>
        </w:rPr>
        <w:t>pentru achiziționarea bunurilor, lucrărilor și serviciilor</w:t>
      </w:r>
      <w:r w:rsidR="00CF1891" w:rsidRPr="00C85424">
        <w:rPr>
          <w:rFonts w:ascii="Times New Roman" w:hAnsi="Times New Roman" w:cs="Times New Roman"/>
          <w:b/>
          <w:bCs/>
          <w:sz w:val="24"/>
          <w:szCs w:val="24"/>
          <w:lang w:val="ro-RO"/>
        </w:rPr>
        <w:t xml:space="preserve"> în perioada auditată și organizarea procedurilor de achiziții cu unele </w:t>
      </w:r>
      <w:r w:rsidR="00B51A5D" w:rsidRPr="00C85424">
        <w:rPr>
          <w:rFonts w:ascii="Times New Roman" w:hAnsi="Times New Roman" w:cs="Times New Roman"/>
          <w:b/>
          <w:bCs/>
          <w:sz w:val="24"/>
          <w:szCs w:val="24"/>
          <w:lang w:val="ro-RO"/>
        </w:rPr>
        <w:t>problematici</w:t>
      </w:r>
    </w:p>
    <w:p w14:paraId="6F0052E4" w14:textId="24E29E76" w:rsidR="001C1F8A" w:rsidRPr="00650D66" w:rsidRDefault="00FD7FA8" w:rsidP="00C85424">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Con</w:t>
      </w:r>
      <w:r w:rsidR="009E2294">
        <w:rPr>
          <w:rFonts w:ascii="Times New Roman" w:hAnsi="Times New Roman" w:cs="Times New Roman"/>
          <w:sz w:val="24"/>
          <w:szCs w:val="24"/>
          <w:lang w:val="ro-RO"/>
        </w:rPr>
        <w:t>form art.3 din Legea nr.548</w:t>
      </w:r>
      <w:r w:rsidRPr="00650D66">
        <w:rPr>
          <w:rFonts w:ascii="Times New Roman" w:hAnsi="Times New Roman" w:cs="Times New Roman"/>
          <w:sz w:val="24"/>
          <w:szCs w:val="24"/>
          <w:lang w:val="ro-RO"/>
        </w:rPr>
        <w:t xml:space="preserve"> din 21.07.1995, de competența BNM ține achiziționarea și dispunerea de bunuri mobile și imobile în scopul exercitării atribuțiilor sale și pentru necesitățile sale de funcționare.</w:t>
      </w:r>
      <w:r w:rsidR="00E16258" w:rsidRPr="00650D66">
        <w:rPr>
          <w:rFonts w:ascii="Times New Roman" w:hAnsi="Times New Roman" w:cs="Times New Roman"/>
          <w:sz w:val="24"/>
          <w:szCs w:val="24"/>
          <w:lang w:val="ro-RO"/>
        </w:rPr>
        <w:t xml:space="preserve"> </w:t>
      </w:r>
      <w:r w:rsidR="00943F76" w:rsidRPr="00650D66">
        <w:rPr>
          <w:rFonts w:ascii="Times New Roman" w:hAnsi="Times New Roman" w:cs="Times New Roman"/>
          <w:sz w:val="24"/>
          <w:szCs w:val="24"/>
          <w:lang w:val="ro-RO"/>
        </w:rPr>
        <w:t>Procedurile de achiziții publice se realizează în conformitate cu Legea privind achizițiile publice nr.131/2015</w:t>
      </w:r>
      <w:r w:rsidR="00943F76" w:rsidRPr="00650D66">
        <w:rPr>
          <w:rFonts w:ascii="Times New Roman" w:hAnsi="Times New Roman" w:cs="Times New Roman"/>
          <w:sz w:val="24"/>
          <w:szCs w:val="24"/>
          <w:vertAlign w:val="superscript"/>
          <w:lang w:val="ro-RO"/>
        </w:rPr>
        <w:footnoteReference w:id="62"/>
      </w:r>
      <w:r w:rsidR="00B067B7" w:rsidRPr="00650D66">
        <w:rPr>
          <w:rFonts w:ascii="Times New Roman" w:hAnsi="Times New Roman" w:cs="Times New Roman"/>
          <w:sz w:val="24"/>
          <w:szCs w:val="24"/>
          <w:lang w:val="ro-RO"/>
        </w:rPr>
        <w:t xml:space="preserve">, </w:t>
      </w:r>
      <w:r w:rsidR="00943F76" w:rsidRPr="00650D66">
        <w:rPr>
          <w:rFonts w:ascii="Times New Roman" w:hAnsi="Times New Roman" w:cs="Times New Roman"/>
          <w:sz w:val="24"/>
          <w:szCs w:val="24"/>
          <w:lang w:val="ro-RO"/>
        </w:rPr>
        <w:t>regulamentele aprobate prin HG, documentația standard aprobată de MF, Instrucțiunea aprobată de către BNM</w:t>
      </w:r>
      <w:r w:rsidR="00943F76" w:rsidRPr="00650D66">
        <w:rPr>
          <w:rStyle w:val="FootnoteReference"/>
          <w:rFonts w:ascii="Times New Roman" w:hAnsi="Times New Roman" w:cs="Times New Roman"/>
          <w:sz w:val="24"/>
          <w:szCs w:val="24"/>
          <w:lang w:val="ro-RO"/>
        </w:rPr>
        <w:footnoteReference w:id="63"/>
      </w:r>
      <w:r w:rsidR="00943F76" w:rsidRPr="00650D66">
        <w:rPr>
          <w:rFonts w:ascii="Times New Roman" w:hAnsi="Times New Roman" w:cs="Times New Roman"/>
          <w:sz w:val="24"/>
          <w:szCs w:val="24"/>
          <w:lang w:val="ro-RO"/>
        </w:rPr>
        <w:t xml:space="preserve"> și alte acte normative în domeniul achizițiilor publice. </w:t>
      </w:r>
      <w:r w:rsidR="00943F76" w:rsidRPr="00650D66">
        <w:rPr>
          <w:rFonts w:ascii="Times New Roman" w:eastAsia="Times New Roman" w:hAnsi="Times New Roman" w:cs="Times New Roman"/>
          <w:sz w:val="24"/>
          <w:szCs w:val="24"/>
          <w:lang w:val="ro-RO"/>
        </w:rPr>
        <w:t>Prin Ordinul guvernatorului BNM</w:t>
      </w:r>
      <w:r w:rsidR="00943F76" w:rsidRPr="00650D66">
        <w:rPr>
          <w:rStyle w:val="FootnoteReference"/>
          <w:rFonts w:ascii="Times New Roman" w:eastAsia="Times New Roman" w:hAnsi="Times New Roman" w:cs="Times New Roman"/>
          <w:sz w:val="24"/>
          <w:szCs w:val="24"/>
          <w:lang w:val="ro-RO"/>
        </w:rPr>
        <w:footnoteReference w:id="64"/>
      </w:r>
      <w:r w:rsidR="00943F76" w:rsidRPr="00650D66">
        <w:rPr>
          <w:rFonts w:ascii="Times New Roman" w:eastAsia="Times New Roman" w:hAnsi="Times New Roman" w:cs="Times New Roman"/>
          <w:sz w:val="24"/>
          <w:szCs w:val="24"/>
          <w:lang w:val="ro-RO"/>
        </w:rPr>
        <w:t>, au fost instituite grupurile de lucru pentru achiziții de bunuri, lucrări și servicii pentru necesitățile de funcționare ale BNM.</w:t>
      </w:r>
      <w:r w:rsidR="00EA6EAE" w:rsidRPr="00650D66">
        <w:rPr>
          <w:rFonts w:ascii="Times New Roman" w:eastAsia="Times New Roman" w:hAnsi="Times New Roman" w:cs="Times New Roman"/>
          <w:sz w:val="24"/>
          <w:szCs w:val="24"/>
          <w:lang w:val="ro-RO"/>
        </w:rPr>
        <w:t xml:space="preserve"> </w:t>
      </w:r>
    </w:p>
    <w:p w14:paraId="7A78EDD6" w14:textId="77777777" w:rsidR="00FA762A" w:rsidRPr="00650D66" w:rsidRDefault="00FA762A" w:rsidP="00943F76">
      <w:pPr>
        <w:spacing w:after="0" w:line="276" w:lineRule="auto"/>
        <w:jc w:val="both"/>
        <w:rPr>
          <w:rFonts w:ascii="Times New Roman" w:eastAsia="Times New Roman" w:hAnsi="Times New Roman" w:cs="Times New Roman"/>
          <w:sz w:val="6"/>
          <w:szCs w:val="6"/>
          <w:lang w:val="ro-RO"/>
        </w:rPr>
      </w:pPr>
    </w:p>
    <w:p w14:paraId="0C491212" w14:textId="742F25C1" w:rsidR="00C7386F" w:rsidRPr="00650D66" w:rsidRDefault="008B47B5" w:rsidP="00247180">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Conform cadrului normativ</w:t>
      </w:r>
      <w:r w:rsidRPr="00650D66">
        <w:rPr>
          <w:rFonts w:ascii="Times New Roman" w:hAnsi="Times New Roman" w:cs="Times New Roman"/>
          <w:sz w:val="24"/>
          <w:szCs w:val="24"/>
          <w:vertAlign w:val="superscript"/>
          <w:lang w:val="ro-RO"/>
        </w:rPr>
        <w:footnoteReference w:id="65"/>
      </w:r>
      <w:r w:rsidRPr="00650D66">
        <w:rPr>
          <w:rFonts w:ascii="Times New Roman" w:hAnsi="Times New Roman" w:cs="Times New Roman"/>
          <w:sz w:val="24"/>
          <w:szCs w:val="24"/>
          <w:lang w:val="ro-RO"/>
        </w:rPr>
        <w:t>, Planul de achiziții publice se coordonează cu bugetul entității</w:t>
      </w:r>
      <w:r w:rsidR="00283BE8">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în corespundere cu strat</w:t>
      </w:r>
      <w:r w:rsidR="00C7386F" w:rsidRPr="00650D66">
        <w:rPr>
          <w:rFonts w:ascii="Times New Roman" w:hAnsi="Times New Roman" w:cs="Times New Roman"/>
          <w:sz w:val="24"/>
          <w:szCs w:val="24"/>
          <w:lang w:val="ro-RO"/>
        </w:rPr>
        <w:t>egia de dezvoltare a entității, iar eficacitatea procesului de planificare strategică în BNM se efectuează de către DAI.</w:t>
      </w:r>
    </w:p>
    <w:p w14:paraId="6A470298" w14:textId="1F0CE097" w:rsidR="00247180" w:rsidRPr="00650D66" w:rsidRDefault="00247180" w:rsidP="00247180">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noProof/>
          <w:sz w:val="24"/>
          <w:szCs w:val="24"/>
          <w:lang w:val="ro-RO"/>
        </w:rPr>
        <w:t>Auditul relevă că, din totalul cheltuielilor administrative și alocațiilor pentru investiții executate anual, prin proceduri de achiziții BNM a achiziționat: în anul 2019</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din total</w:t>
      </w:r>
      <w:r w:rsidR="000673F0">
        <w:rPr>
          <w:rFonts w:ascii="Times New Roman" w:hAnsi="Times New Roman" w:cs="Times New Roman"/>
          <w:noProof/>
          <w:sz w:val="24"/>
          <w:szCs w:val="24"/>
          <w:lang w:val="ro-RO"/>
        </w:rPr>
        <w:t>ul de</w:t>
      </w:r>
      <w:r w:rsidRPr="00650D66">
        <w:rPr>
          <w:rFonts w:ascii="Times New Roman" w:hAnsi="Times New Roman" w:cs="Times New Roman"/>
          <w:noProof/>
          <w:sz w:val="24"/>
          <w:szCs w:val="24"/>
          <w:lang w:val="ro-RO"/>
        </w:rPr>
        <w:t xml:space="preserve"> 233,2 mil.lei – 29,7 mil. lei</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12,7%</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în anul 2020</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din total</w:t>
      </w:r>
      <w:r w:rsidR="000673F0">
        <w:rPr>
          <w:rFonts w:ascii="Times New Roman" w:hAnsi="Times New Roman" w:cs="Times New Roman"/>
          <w:noProof/>
          <w:sz w:val="24"/>
          <w:szCs w:val="24"/>
          <w:lang w:val="ro-RO"/>
        </w:rPr>
        <w:t>ul de</w:t>
      </w:r>
      <w:r w:rsidRPr="00650D66">
        <w:rPr>
          <w:rFonts w:ascii="Times New Roman" w:hAnsi="Times New Roman" w:cs="Times New Roman"/>
          <w:noProof/>
          <w:sz w:val="24"/>
          <w:szCs w:val="24"/>
          <w:lang w:val="ro-RO"/>
        </w:rPr>
        <w:t xml:space="preserve"> 224,1 mil. lei – 18,6 mil. lei</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8,3%</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în anul 2021</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din total</w:t>
      </w:r>
      <w:r w:rsidR="000673F0">
        <w:rPr>
          <w:rFonts w:ascii="Times New Roman" w:hAnsi="Times New Roman" w:cs="Times New Roman"/>
          <w:noProof/>
          <w:sz w:val="24"/>
          <w:szCs w:val="24"/>
          <w:lang w:val="ro-RO"/>
        </w:rPr>
        <w:t>ul de</w:t>
      </w:r>
      <w:r w:rsidRPr="00650D66">
        <w:rPr>
          <w:rFonts w:ascii="Times New Roman" w:hAnsi="Times New Roman" w:cs="Times New Roman"/>
          <w:noProof/>
          <w:sz w:val="24"/>
          <w:szCs w:val="24"/>
          <w:lang w:val="ro-RO"/>
        </w:rPr>
        <w:t xml:space="preserve"> 240,6 mil. lei – 45,4 mil. lei</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18,9%</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și în anul 2022</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din total</w:t>
      </w:r>
      <w:r w:rsidR="000673F0">
        <w:rPr>
          <w:rFonts w:ascii="Times New Roman" w:hAnsi="Times New Roman" w:cs="Times New Roman"/>
          <w:noProof/>
          <w:sz w:val="24"/>
          <w:szCs w:val="24"/>
          <w:lang w:val="ro-RO"/>
        </w:rPr>
        <w:t>ul de</w:t>
      </w:r>
      <w:r w:rsidRPr="00650D66">
        <w:rPr>
          <w:rFonts w:ascii="Times New Roman" w:hAnsi="Times New Roman" w:cs="Times New Roman"/>
          <w:noProof/>
          <w:sz w:val="24"/>
          <w:szCs w:val="24"/>
          <w:lang w:val="ro-RO"/>
        </w:rPr>
        <w:t xml:space="preserve"> 325,7 mil. lei – 41,7 mil. lei</w:t>
      </w:r>
      <w:r w:rsidR="000673F0">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12,8%.</w:t>
      </w:r>
    </w:p>
    <w:p w14:paraId="413B7B0D" w14:textId="77777777" w:rsidR="00247180" w:rsidRPr="00650D66" w:rsidRDefault="00247180" w:rsidP="001C1F8A">
      <w:pPr>
        <w:spacing w:after="0" w:line="276" w:lineRule="auto"/>
        <w:jc w:val="both"/>
        <w:rPr>
          <w:rFonts w:ascii="Times New Roman" w:hAnsi="Times New Roman" w:cs="Times New Roman"/>
          <w:sz w:val="6"/>
          <w:szCs w:val="6"/>
          <w:lang w:val="ro-RO"/>
        </w:rPr>
      </w:pPr>
    </w:p>
    <w:p w14:paraId="21EC88E7" w14:textId="47CF8C47" w:rsidR="000E472F" w:rsidRPr="00650D66" w:rsidRDefault="001C1F8A" w:rsidP="001C1F8A">
      <w:pPr>
        <w:spacing w:after="0" w:line="276" w:lineRule="auto"/>
        <w:jc w:val="both"/>
        <w:rPr>
          <w:rFonts w:ascii="Times New Roman" w:eastAsia="Times New Roman" w:hAnsi="Times New Roman" w:cs="Times New Roman"/>
          <w:bCs/>
          <w:sz w:val="24"/>
          <w:szCs w:val="24"/>
          <w:lang w:val="ro-RO"/>
        </w:rPr>
      </w:pPr>
      <w:r w:rsidRPr="00650D66">
        <w:rPr>
          <w:rFonts w:ascii="Times New Roman" w:hAnsi="Times New Roman" w:cs="Times New Roman"/>
          <w:sz w:val="24"/>
          <w:szCs w:val="24"/>
          <w:lang w:val="ro-RO"/>
        </w:rPr>
        <w:lastRenderedPageBreak/>
        <w:t>În baza informații</w:t>
      </w:r>
      <w:r w:rsidR="000673F0">
        <w:rPr>
          <w:rFonts w:ascii="Times New Roman" w:hAnsi="Times New Roman" w:cs="Times New Roman"/>
          <w:sz w:val="24"/>
          <w:szCs w:val="24"/>
          <w:lang w:val="ro-RO"/>
        </w:rPr>
        <w:t>lor</w:t>
      </w:r>
      <w:r w:rsidRPr="00650D66">
        <w:rPr>
          <w:rFonts w:ascii="Times New Roman" w:hAnsi="Times New Roman" w:cs="Times New Roman"/>
          <w:sz w:val="24"/>
          <w:szCs w:val="24"/>
          <w:lang w:val="ro-RO"/>
        </w:rPr>
        <w:t xml:space="preserve"> sintetizate de audit privind executarea Planului de achiziții al BNM pentru perioada 2019-2022, se relevă că BNM a realizat procedurile de achiziții planificate în anul 2019 la nivel de 69,1%, în anul 2020 – </w:t>
      </w:r>
      <w:r w:rsidR="000B7A51">
        <w:rPr>
          <w:rFonts w:ascii="Times New Roman" w:hAnsi="Times New Roman" w:cs="Times New Roman"/>
          <w:sz w:val="24"/>
          <w:szCs w:val="24"/>
          <w:lang w:val="ro-RO"/>
        </w:rPr>
        <w:t xml:space="preserve">de </w:t>
      </w:r>
      <w:r w:rsidRPr="00650D66">
        <w:rPr>
          <w:rFonts w:ascii="Times New Roman" w:hAnsi="Times New Roman" w:cs="Times New Roman"/>
          <w:sz w:val="24"/>
          <w:szCs w:val="24"/>
          <w:lang w:val="ro-RO"/>
        </w:rPr>
        <w:t xml:space="preserve">77,3%, în anul 2021 – </w:t>
      </w:r>
      <w:r w:rsidR="000B7A51">
        <w:rPr>
          <w:rFonts w:ascii="Times New Roman" w:hAnsi="Times New Roman" w:cs="Times New Roman"/>
          <w:sz w:val="24"/>
          <w:szCs w:val="24"/>
          <w:lang w:val="ro-RO"/>
        </w:rPr>
        <w:t xml:space="preserve">de </w:t>
      </w:r>
      <w:r w:rsidRPr="00650D66">
        <w:rPr>
          <w:rFonts w:ascii="Times New Roman" w:hAnsi="Times New Roman" w:cs="Times New Roman"/>
          <w:sz w:val="24"/>
          <w:szCs w:val="24"/>
          <w:lang w:val="ro-RO"/>
        </w:rPr>
        <w:t>77,8%</w:t>
      </w:r>
      <w:r w:rsidR="000B7A51">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și în anul 2022 – </w:t>
      </w:r>
      <w:r w:rsidR="000B7A51">
        <w:rPr>
          <w:rFonts w:ascii="Times New Roman" w:hAnsi="Times New Roman" w:cs="Times New Roman"/>
          <w:sz w:val="24"/>
          <w:szCs w:val="24"/>
          <w:lang w:val="ro-RO"/>
        </w:rPr>
        <w:t xml:space="preserve">de </w:t>
      </w:r>
      <w:r w:rsidRPr="00650D66">
        <w:rPr>
          <w:rFonts w:ascii="Times New Roman" w:hAnsi="Times New Roman" w:cs="Times New Roman"/>
          <w:sz w:val="24"/>
          <w:szCs w:val="24"/>
          <w:lang w:val="ro-RO"/>
        </w:rPr>
        <w:t xml:space="preserve">78,6%. </w:t>
      </w:r>
      <w:r w:rsidRPr="00650D66">
        <w:rPr>
          <w:rFonts w:ascii="Times New Roman" w:eastAsia="Times New Roman" w:hAnsi="Times New Roman" w:cs="Times New Roman"/>
          <w:bCs/>
          <w:sz w:val="24"/>
          <w:szCs w:val="24"/>
          <w:lang w:val="ro-RO"/>
        </w:rPr>
        <w:t xml:space="preserve">Astfel, mai multe proceduri au fost anulate din diverse motive: în anul 2019 </w:t>
      </w:r>
      <w:r w:rsidR="000B7A51">
        <w:rPr>
          <w:rFonts w:ascii="Times New Roman" w:eastAsia="Times New Roman" w:hAnsi="Times New Roman" w:cs="Times New Roman"/>
          <w:bCs/>
          <w:sz w:val="24"/>
          <w:szCs w:val="24"/>
          <w:lang w:val="ro-RO"/>
        </w:rPr>
        <w:t>au fost</w:t>
      </w:r>
      <w:r w:rsidRPr="00650D66">
        <w:rPr>
          <w:rFonts w:ascii="Times New Roman" w:eastAsia="Times New Roman" w:hAnsi="Times New Roman" w:cs="Times New Roman"/>
          <w:bCs/>
          <w:sz w:val="24"/>
          <w:szCs w:val="24"/>
          <w:lang w:val="ro-RO"/>
        </w:rPr>
        <w:t xml:space="preserve"> anulate 20 de proceduri, în an</w:t>
      </w:r>
      <w:r w:rsidR="000B7A51">
        <w:rPr>
          <w:rFonts w:ascii="Times New Roman" w:eastAsia="Times New Roman" w:hAnsi="Times New Roman" w:cs="Times New Roman"/>
          <w:bCs/>
          <w:sz w:val="24"/>
          <w:szCs w:val="24"/>
          <w:lang w:val="ro-RO"/>
        </w:rPr>
        <w:t>ii</w:t>
      </w:r>
      <w:r w:rsidRPr="00650D66">
        <w:rPr>
          <w:rFonts w:ascii="Times New Roman" w:eastAsia="Times New Roman" w:hAnsi="Times New Roman" w:cs="Times New Roman"/>
          <w:bCs/>
          <w:sz w:val="24"/>
          <w:szCs w:val="24"/>
          <w:lang w:val="ro-RO"/>
        </w:rPr>
        <w:t xml:space="preserve"> 2020 </w:t>
      </w:r>
      <w:r w:rsidR="000B7A51">
        <w:rPr>
          <w:rFonts w:ascii="Times New Roman" w:eastAsia="Times New Roman" w:hAnsi="Times New Roman" w:cs="Times New Roman"/>
          <w:bCs/>
          <w:sz w:val="24"/>
          <w:szCs w:val="24"/>
          <w:lang w:val="ro-RO"/>
        </w:rPr>
        <w:t xml:space="preserve">și 2021 </w:t>
      </w:r>
      <w:r w:rsidRPr="00650D66">
        <w:rPr>
          <w:rFonts w:ascii="Times New Roman" w:eastAsia="Times New Roman" w:hAnsi="Times New Roman" w:cs="Times New Roman"/>
          <w:bCs/>
          <w:sz w:val="24"/>
          <w:szCs w:val="24"/>
          <w:lang w:val="ro-RO"/>
        </w:rPr>
        <w:t xml:space="preserve">– </w:t>
      </w:r>
      <w:r w:rsidR="000B7A51">
        <w:rPr>
          <w:rFonts w:ascii="Times New Roman" w:eastAsia="Times New Roman" w:hAnsi="Times New Roman" w:cs="Times New Roman"/>
          <w:bCs/>
          <w:sz w:val="24"/>
          <w:szCs w:val="24"/>
          <w:lang w:val="ro-RO"/>
        </w:rPr>
        <w:t xml:space="preserve">câte </w:t>
      </w:r>
      <w:r w:rsidRPr="00650D66">
        <w:rPr>
          <w:rFonts w:ascii="Times New Roman" w:eastAsia="Times New Roman" w:hAnsi="Times New Roman" w:cs="Times New Roman"/>
          <w:bCs/>
          <w:sz w:val="24"/>
          <w:szCs w:val="24"/>
          <w:lang w:val="ro-RO"/>
        </w:rPr>
        <w:t xml:space="preserve">7 proceduri, și în anul 2022 – 80 </w:t>
      </w:r>
      <w:r w:rsidR="000B7A51">
        <w:rPr>
          <w:rFonts w:ascii="Times New Roman" w:eastAsia="Times New Roman" w:hAnsi="Times New Roman" w:cs="Times New Roman"/>
          <w:bCs/>
          <w:sz w:val="24"/>
          <w:szCs w:val="24"/>
          <w:lang w:val="ro-RO"/>
        </w:rPr>
        <w:t xml:space="preserve">de </w:t>
      </w:r>
      <w:r w:rsidRPr="00650D66">
        <w:rPr>
          <w:rFonts w:ascii="Times New Roman" w:eastAsia="Times New Roman" w:hAnsi="Times New Roman" w:cs="Times New Roman"/>
          <w:bCs/>
          <w:sz w:val="24"/>
          <w:szCs w:val="24"/>
          <w:lang w:val="ro-RO"/>
        </w:rPr>
        <w:t xml:space="preserve">proceduri. În anul 2022 au fost anulate 30 </w:t>
      </w:r>
      <w:r w:rsidR="000B7A51">
        <w:rPr>
          <w:rFonts w:ascii="Times New Roman" w:eastAsia="Times New Roman" w:hAnsi="Times New Roman" w:cs="Times New Roman"/>
          <w:bCs/>
          <w:sz w:val="24"/>
          <w:szCs w:val="24"/>
          <w:lang w:val="ro-RO"/>
        </w:rPr>
        <w:t xml:space="preserve">de </w:t>
      </w:r>
      <w:r w:rsidRPr="00650D66">
        <w:rPr>
          <w:rFonts w:ascii="Times New Roman" w:eastAsia="Times New Roman" w:hAnsi="Times New Roman" w:cs="Times New Roman"/>
          <w:bCs/>
          <w:sz w:val="24"/>
          <w:szCs w:val="24"/>
          <w:lang w:val="ro-RO"/>
        </w:rPr>
        <w:t xml:space="preserve">proceduri </w:t>
      </w:r>
      <w:r w:rsidR="000B7A51">
        <w:rPr>
          <w:rFonts w:ascii="Times New Roman" w:eastAsia="Times New Roman" w:hAnsi="Times New Roman" w:cs="Times New Roman"/>
          <w:bCs/>
          <w:sz w:val="24"/>
          <w:szCs w:val="24"/>
          <w:lang w:val="ro-RO"/>
        </w:rPr>
        <w:t>din cauza</w:t>
      </w:r>
      <w:r w:rsidRPr="00650D66">
        <w:rPr>
          <w:rFonts w:ascii="Times New Roman" w:eastAsia="Times New Roman" w:hAnsi="Times New Roman" w:cs="Times New Roman"/>
          <w:bCs/>
          <w:sz w:val="24"/>
          <w:szCs w:val="24"/>
          <w:lang w:val="ro-RO"/>
        </w:rPr>
        <w:t xml:space="preserve"> că nu a fost depusă nicio ofertă, 31 </w:t>
      </w:r>
      <w:r w:rsidR="000B7A51">
        <w:rPr>
          <w:rFonts w:ascii="Times New Roman" w:eastAsia="Times New Roman" w:hAnsi="Times New Roman" w:cs="Times New Roman"/>
          <w:bCs/>
          <w:sz w:val="24"/>
          <w:szCs w:val="24"/>
          <w:lang w:val="ro-RO"/>
        </w:rPr>
        <w:t xml:space="preserve">de </w:t>
      </w:r>
      <w:r w:rsidRPr="00650D66">
        <w:rPr>
          <w:rFonts w:ascii="Times New Roman" w:eastAsia="Times New Roman" w:hAnsi="Times New Roman" w:cs="Times New Roman"/>
          <w:bCs/>
          <w:sz w:val="24"/>
          <w:szCs w:val="24"/>
          <w:lang w:val="ro-RO"/>
        </w:rPr>
        <w:t xml:space="preserve">proceduri </w:t>
      </w:r>
      <w:r w:rsidR="00682FD7">
        <w:rPr>
          <w:rFonts w:ascii="Times New Roman" w:eastAsia="Times New Roman" w:hAnsi="Times New Roman" w:cs="Times New Roman"/>
          <w:bCs/>
          <w:sz w:val="24"/>
          <w:szCs w:val="24"/>
          <w:lang w:val="ro-RO"/>
        </w:rPr>
        <w:t xml:space="preserve">– </w:t>
      </w:r>
      <w:r w:rsidR="000B7A51">
        <w:rPr>
          <w:rFonts w:ascii="Times New Roman" w:eastAsia="Times New Roman" w:hAnsi="Times New Roman" w:cs="Times New Roman"/>
          <w:bCs/>
          <w:sz w:val="24"/>
          <w:szCs w:val="24"/>
          <w:lang w:val="ro-RO"/>
        </w:rPr>
        <w:t>din cauza</w:t>
      </w:r>
      <w:r w:rsidRPr="00650D66">
        <w:rPr>
          <w:rFonts w:ascii="Times New Roman" w:eastAsia="Times New Roman" w:hAnsi="Times New Roman" w:cs="Times New Roman"/>
          <w:bCs/>
          <w:sz w:val="24"/>
          <w:szCs w:val="24"/>
          <w:lang w:val="ro-RO"/>
        </w:rPr>
        <w:t xml:space="preserve"> de necorespundere/necalificare</w:t>
      </w:r>
      <w:r w:rsidR="00682FD7">
        <w:rPr>
          <w:rFonts w:ascii="Times New Roman" w:eastAsia="Times New Roman" w:hAnsi="Times New Roman" w:cs="Times New Roman"/>
          <w:bCs/>
          <w:sz w:val="24"/>
          <w:szCs w:val="24"/>
          <w:lang w:val="ro-RO"/>
        </w:rPr>
        <w:t xml:space="preserve"> a ofertanților,</w:t>
      </w:r>
      <w:r w:rsidRPr="00650D66">
        <w:rPr>
          <w:rFonts w:ascii="Times New Roman" w:eastAsia="Times New Roman" w:hAnsi="Times New Roman" w:cs="Times New Roman"/>
          <w:bCs/>
          <w:sz w:val="24"/>
          <w:szCs w:val="24"/>
          <w:lang w:val="ro-RO"/>
        </w:rPr>
        <w:t xml:space="preserve"> și 19 proceduri au fost anulate parțial pe unele loturi.</w:t>
      </w:r>
    </w:p>
    <w:p w14:paraId="0A4CBDF8" w14:textId="77777777" w:rsidR="00297384" w:rsidRPr="00650D66" w:rsidRDefault="00297384" w:rsidP="001C1F8A">
      <w:pPr>
        <w:spacing w:after="0" w:line="276" w:lineRule="auto"/>
        <w:jc w:val="both"/>
        <w:rPr>
          <w:rFonts w:ascii="Times New Roman" w:hAnsi="Times New Roman" w:cs="Times New Roman"/>
          <w:sz w:val="6"/>
          <w:szCs w:val="6"/>
          <w:lang w:val="ro-RO"/>
        </w:rPr>
      </w:pPr>
    </w:p>
    <w:p w14:paraId="3D20817A" w14:textId="0045622E" w:rsidR="001C1F8A" w:rsidRPr="00650D66" w:rsidRDefault="001C1F8A" w:rsidP="001C1F8A">
      <w:pPr>
        <w:spacing w:after="0" w:line="276" w:lineRule="auto"/>
        <w:jc w:val="both"/>
        <w:rPr>
          <w:rFonts w:ascii="Times New Roman" w:hAnsi="Times New Roman" w:cs="Times New Roman"/>
          <w:sz w:val="24"/>
          <w:szCs w:val="24"/>
          <w:lang w:val="ro-RO"/>
        </w:rPr>
      </w:pPr>
      <w:r w:rsidRPr="00650D66">
        <w:rPr>
          <w:rFonts w:ascii="Times New Roman" w:eastAsia="Times New Roman" w:hAnsi="Times New Roman" w:cs="Times New Roman"/>
          <w:bCs/>
          <w:sz w:val="24"/>
          <w:szCs w:val="24"/>
          <w:lang w:val="ro-RO"/>
        </w:rPr>
        <w:t>Deși l</w:t>
      </w:r>
      <w:r w:rsidRPr="00650D66">
        <w:rPr>
          <w:rFonts w:ascii="Times New Roman" w:eastAsia="Times New Roman" w:hAnsi="Times New Roman" w:cs="Times New Roman"/>
          <w:sz w:val="24"/>
          <w:szCs w:val="24"/>
          <w:lang w:val="ro-RO"/>
        </w:rPr>
        <w:t>a planificarea contractelor de achiziții publice</w:t>
      </w:r>
      <w:r w:rsidRPr="00650D66">
        <w:rPr>
          <w:rFonts w:ascii="Times New Roman" w:eastAsia="Times New Roman" w:hAnsi="Times New Roman" w:cs="Times New Roman"/>
          <w:sz w:val="24"/>
          <w:szCs w:val="24"/>
          <w:vertAlign w:val="superscript"/>
          <w:lang w:val="ro-RO"/>
        </w:rPr>
        <w:footnoteReference w:id="66"/>
      </w:r>
      <w:r w:rsidRPr="00650D66">
        <w:rPr>
          <w:rFonts w:ascii="Times New Roman" w:eastAsia="Times New Roman" w:hAnsi="Times New Roman" w:cs="Times New Roman"/>
          <w:sz w:val="24"/>
          <w:szCs w:val="24"/>
          <w:lang w:val="ro-RO"/>
        </w:rPr>
        <w:t xml:space="preserve">, una din condițiile de planificare a contractului de achiziții publice este cunoașterea exactă a necesităților de bunuri, lucrări sau servicii, </w:t>
      </w:r>
      <w:r w:rsidRPr="00650D66">
        <w:rPr>
          <w:rFonts w:ascii="Times New Roman" w:eastAsia="Times New Roman" w:hAnsi="Times New Roman" w:cs="Times New Roman"/>
          <w:bCs/>
          <w:sz w:val="24"/>
          <w:szCs w:val="24"/>
          <w:lang w:val="ro-RO"/>
        </w:rPr>
        <w:t xml:space="preserve">iar </w:t>
      </w:r>
      <w:r w:rsidRPr="00650D66">
        <w:rPr>
          <w:rFonts w:ascii="Times New Roman" w:hAnsi="Times New Roman" w:cs="Times New Roman"/>
          <w:sz w:val="24"/>
          <w:szCs w:val="24"/>
          <w:lang w:val="ro-RO"/>
        </w:rPr>
        <w:t>Planul se modifică ori se completează dacă apar modificări în buget și, respectiv, s</w:t>
      </w:r>
      <w:r w:rsidR="00682FD7">
        <w:rPr>
          <w:rFonts w:ascii="Times New Roman" w:hAnsi="Times New Roman" w:cs="Times New Roman"/>
          <w:sz w:val="24"/>
          <w:szCs w:val="24"/>
          <w:lang w:val="ro-RO"/>
        </w:rPr>
        <w:t>u</w:t>
      </w:r>
      <w:r w:rsidRPr="00650D66">
        <w:rPr>
          <w:rFonts w:ascii="Times New Roman" w:hAnsi="Times New Roman" w:cs="Times New Roman"/>
          <w:sz w:val="24"/>
          <w:szCs w:val="24"/>
          <w:lang w:val="ro-RO"/>
        </w:rPr>
        <w:t>nt identificate noi resurse financiare</w:t>
      </w:r>
      <w:r w:rsidRPr="00650D66">
        <w:rPr>
          <w:rFonts w:ascii="Times New Roman" w:hAnsi="Times New Roman" w:cs="Times New Roman"/>
          <w:sz w:val="24"/>
          <w:szCs w:val="24"/>
          <w:vertAlign w:val="superscript"/>
          <w:lang w:val="ro-RO"/>
        </w:rPr>
        <w:footnoteReference w:id="67"/>
      </w:r>
      <w:r w:rsidRPr="00650D66">
        <w:rPr>
          <w:rFonts w:ascii="Times New Roman" w:hAnsi="Times New Roman" w:cs="Times New Roman"/>
          <w:sz w:val="24"/>
          <w:szCs w:val="24"/>
          <w:lang w:val="ro-RO"/>
        </w:rPr>
        <w:t>, v</w:t>
      </w:r>
      <w:r w:rsidRPr="00650D66">
        <w:rPr>
          <w:rFonts w:ascii="Times New Roman" w:eastAsia="Times New Roman" w:hAnsi="Times New Roman" w:cs="Times New Roman"/>
          <w:bCs/>
          <w:sz w:val="24"/>
          <w:szCs w:val="24"/>
          <w:lang w:val="ro-RO"/>
        </w:rPr>
        <w:t xml:space="preserve">erificările de audit atestă că, în perioada supusă auditului, BNM a modificat de </w:t>
      </w:r>
      <w:r w:rsidR="00491305">
        <w:rPr>
          <w:rFonts w:ascii="Times New Roman" w:eastAsia="Times New Roman" w:hAnsi="Times New Roman" w:cs="Times New Roman"/>
          <w:bCs/>
          <w:sz w:val="24"/>
          <w:szCs w:val="24"/>
          <w:lang w:val="ro-RO"/>
        </w:rPr>
        <w:t xml:space="preserve">mai </w:t>
      </w:r>
      <w:r w:rsidRPr="00650D66">
        <w:rPr>
          <w:rFonts w:ascii="Times New Roman" w:eastAsia="Times New Roman" w:hAnsi="Times New Roman" w:cs="Times New Roman"/>
          <w:bCs/>
          <w:sz w:val="24"/>
          <w:szCs w:val="24"/>
          <w:lang w:val="ro-RO"/>
        </w:rPr>
        <w:t>multe ori Planurile de achiziții aprobate, atât la valorile planificate</w:t>
      </w:r>
      <w:r w:rsidR="00682FD7">
        <w:rPr>
          <w:rFonts w:ascii="Times New Roman" w:eastAsia="Times New Roman" w:hAnsi="Times New Roman" w:cs="Times New Roman"/>
          <w:bCs/>
          <w:sz w:val="24"/>
          <w:szCs w:val="24"/>
          <w:lang w:val="ro-RO"/>
        </w:rPr>
        <w:t>,</w:t>
      </w:r>
      <w:r w:rsidRPr="00650D66">
        <w:rPr>
          <w:rFonts w:ascii="Times New Roman" w:eastAsia="Times New Roman" w:hAnsi="Times New Roman" w:cs="Times New Roman"/>
          <w:bCs/>
          <w:sz w:val="24"/>
          <w:szCs w:val="24"/>
          <w:lang w:val="ro-RO"/>
        </w:rPr>
        <w:t xml:space="preserve"> cât și la procedurile de achiziții </w:t>
      </w:r>
      <w:r w:rsidR="008E50AF" w:rsidRPr="00650D66">
        <w:rPr>
          <w:rFonts w:ascii="Times New Roman" w:eastAsia="Times New Roman" w:hAnsi="Times New Roman" w:cs="Times New Roman"/>
          <w:bCs/>
          <w:sz w:val="24"/>
          <w:szCs w:val="24"/>
          <w:lang w:val="ro-RO"/>
        </w:rPr>
        <w:t xml:space="preserve">inițial </w:t>
      </w:r>
      <w:r w:rsidRPr="00650D66">
        <w:rPr>
          <w:rFonts w:ascii="Times New Roman" w:eastAsia="Times New Roman" w:hAnsi="Times New Roman" w:cs="Times New Roman"/>
          <w:bCs/>
          <w:sz w:val="24"/>
          <w:szCs w:val="24"/>
          <w:lang w:val="ro-RO"/>
        </w:rPr>
        <w:t>planificate</w:t>
      </w:r>
      <w:r w:rsidR="008E50AF" w:rsidRPr="00650D66">
        <w:rPr>
          <w:rFonts w:ascii="Times New Roman" w:eastAsia="Times New Roman" w:hAnsi="Times New Roman" w:cs="Times New Roman"/>
          <w:bCs/>
          <w:sz w:val="24"/>
          <w:szCs w:val="24"/>
          <w:lang w:val="ro-RO"/>
        </w:rPr>
        <w:t>,</w:t>
      </w:r>
      <w:r w:rsidRPr="00650D66">
        <w:rPr>
          <w:rFonts w:ascii="Times New Roman" w:eastAsia="Times New Roman" w:hAnsi="Times New Roman" w:cs="Times New Roman"/>
          <w:bCs/>
          <w:sz w:val="24"/>
          <w:szCs w:val="24"/>
          <w:lang w:val="ro-RO"/>
        </w:rPr>
        <w:t xml:space="preserve"> prin excludere și adăugare.</w:t>
      </w:r>
    </w:p>
    <w:p w14:paraId="2313E982" w14:textId="77777777" w:rsidR="007D519A" w:rsidRPr="00650D66" w:rsidRDefault="007D519A" w:rsidP="001C1F8A">
      <w:pPr>
        <w:spacing w:after="0" w:line="276" w:lineRule="auto"/>
        <w:jc w:val="both"/>
        <w:rPr>
          <w:rFonts w:ascii="Times New Roman" w:eastAsia="Times New Roman" w:hAnsi="Times New Roman" w:cs="Times New Roman"/>
          <w:bCs/>
          <w:sz w:val="6"/>
          <w:szCs w:val="6"/>
          <w:lang w:val="ro-RO"/>
        </w:rPr>
      </w:pPr>
    </w:p>
    <w:p w14:paraId="4DF1DEF1" w14:textId="00D41EC9" w:rsidR="00E87422" w:rsidRPr="00650D66" w:rsidRDefault="00E87422" w:rsidP="001C1F8A">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Autoritatea contractată este obligată să publice pe pagina sa web planul provizoriu/anual de achiziții, în termen de 15 zile de la aprobarea acestuia sau în 5 zile de la modificarea acestuia</w:t>
      </w:r>
      <w:r w:rsidRPr="00650D66">
        <w:rPr>
          <w:rFonts w:ascii="Times New Roman" w:eastAsia="Times New Roman" w:hAnsi="Times New Roman" w:cs="Times New Roman"/>
          <w:sz w:val="24"/>
          <w:szCs w:val="24"/>
          <w:vertAlign w:val="superscript"/>
          <w:lang w:val="ro-RO"/>
        </w:rPr>
        <w:footnoteReference w:id="68"/>
      </w:r>
      <w:r w:rsidRPr="00650D66">
        <w:rPr>
          <w:rFonts w:ascii="Times New Roman" w:eastAsia="Times New Roman" w:hAnsi="Times New Roman" w:cs="Times New Roman"/>
          <w:sz w:val="24"/>
          <w:szCs w:val="24"/>
          <w:lang w:val="ro-RO"/>
        </w:rPr>
        <w:t xml:space="preserve">,  auditul neavând </w:t>
      </w:r>
      <w:r w:rsidR="00491305">
        <w:rPr>
          <w:rFonts w:ascii="Times New Roman" w:eastAsia="Times New Roman" w:hAnsi="Times New Roman" w:cs="Times New Roman"/>
          <w:sz w:val="24"/>
          <w:szCs w:val="24"/>
          <w:lang w:val="ro-RO"/>
        </w:rPr>
        <w:t xml:space="preserve">însă </w:t>
      </w:r>
      <w:r w:rsidRPr="00650D66">
        <w:rPr>
          <w:rFonts w:ascii="Times New Roman" w:eastAsia="Times New Roman" w:hAnsi="Times New Roman" w:cs="Times New Roman"/>
          <w:sz w:val="24"/>
          <w:szCs w:val="24"/>
          <w:lang w:val="ro-RO"/>
        </w:rPr>
        <w:t>posibilitatea verificării plasării acestora, deoarece Planurile pentru anii precedenți nu se regăsesc pe pagină</w:t>
      </w:r>
      <w:r w:rsidR="000939A5" w:rsidRPr="00650D66">
        <w:rPr>
          <w:rFonts w:ascii="Times New Roman" w:eastAsia="Times New Roman" w:hAnsi="Times New Roman" w:cs="Times New Roman"/>
          <w:sz w:val="24"/>
          <w:szCs w:val="24"/>
          <w:lang w:val="ro-RO"/>
        </w:rPr>
        <w:t xml:space="preserve">, iar </w:t>
      </w:r>
      <w:r w:rsidR="00FD26F8">
        <w:rPr>
          <w:rFonts w:ascii="Times New Roman" w:eastAsia="Times New Roman" w:hAnsi="Times New Roman" w:cs="Times New Roman"/>
          <w:sz w:val="24"/>
          <w:szCs w:val="24"/>
          <w:lang w:val="ro-RO"/>
        </w:rPr>
        <w:t>pentru anii</w:t>
      </w:r>
      <w:r w:rsidR="00201EC8" w:rsidRPr="00650D66">
        <w:rPr>
          <w:rFonts w:ascii="Times New Roman" w:eastAsia="Times New Roman" w:hAnsi="Times New Roman" w:cs="Times New Roman"/>
          <w:sz w:val="24"/>
          <w:szCs w:val="24"/>
          <w:lang w:val="ro-RO"/>
        </w:rPr>
        <w:t xml:space="preserve"> </w:t>
      </w:r>
      <w:r w:rsidR="00FD26F8">
        <w:rPr>
          <w:rFonts w:ascii="Times New Roman" w:eastAsia="Times New Roman" w:hAnsi="Times New Roman" w:cs="Times New Roman"/>
          <w:sz w:val="24"/>
          <w:szCs w:val="24"/>
          <w:lang w:val="ro-RO"/>
        </w:rPr>
        <w:t>2023/</w:t>
      </w:r>
      <w:r w:rsidR="00201EC8" w:rsidRPr="00650D66">
        <w:rPr>
          <w:rFonts w:ascii="Times New Roman" w:eastAsia="Times New Roman" w:hAnsi="Times New Roman" w:cs="Times New Roman"/>
          <w:sz w:val="24"/>
          <w:szCs w:val="24"/>
          <w:lang w:val="ro-RO"/>
        </w:rPr>
        <w:t xml:space="preserve">2024 </w:t>
      </w:r>
      <w:r w:rsidR="009F6AF9" w:rsidRPr="00650D66">
        <w:rPr>
          <w:rFonts w:ascii="Times New Roman" w:eastAsia="Times New Roman" w:hAnsi="Times New Roman" w:cs="Times New Roman"/>
          <w:sz w:val="24"/>
          <w:szCs w:val="24"/>
          <w:lang w:val="ro-RO"/>
        </w:rPr>
        <w:t>a</w:t>
      </w:r>
      <w:r w:rsidR="00491305">
        <w:rPr>
          <w:rFonts w:ascii="Times New Roman" w:eastAsia="Times New Roman" w:hAnsi="Times New Roman" w:cs="Times New Roman"/>
          <w:sz w:val="24"/>
          <w:szCs w:val="24"/>
          <w:lang w:val="ro-RO"/>
        </w:rPr>
        <w:t>u</w:t>
      </w:r>
      <w:r w:rsidR="009F6AF9" w:rsidRPr="00650D66">
        <w:rPr>
          <w:rFonts w:ascii="Times New Roman" w:eastAsia="Times New Roman" w:hAnsi="Times New Roman" w:cs="Times New Roman"/>
          <w:sz w:val="24"/>
          <w:szCs w:val="24"/>
          <w:lang w:val="ro-RO"/>
        </w:rPr>
        <w:t xml:space="preserve"> fost</w:t>
      </w:r>
      <w:r w:rsidR="00201EC8" w:rsidRPr="00650D66">
        <w:rPr>
          <w:rFonts w:ascii="Times New Roman" w:eastAsia="Times New Roman" w:hAnsi="Times New Roman" w:cs="Times New Roman"/>
          <w:sz w:val="24"/>
          <w:szCs w:val="24"/>
          <w:lang w:val="ro-RO"/>
        </w:rPr>
        <w:t xml:space="preserve"> plasat</w:t>
      </w:r>
      <w:r w:rsidR="00491305">
        <w:rPr>
          <w:rFonts w:ascii="Times New Roman" w:eastAsia="Times New Roman" w:hAnsi="Times New Roman" w:cs="Times New Roman"/>
          <w:sz w:val="24"/>
          <w:szCs w:val="24"/>
          <w:lang w:val="ro-RO"/>
        </w:rPr>
        <w:t>e</w:t>
      </w:r>
      <w:r w:rsidRPr="00650D66">
        <w:rPr>
          <w:rFonts w:ascii="Times New Roman" w:eastAsia="Times New Roman" w:hAnsi="Times New Roman" w:cs="Times New Roman"/>
          <w:sz w:val="24"/>
          <w:szCs w:val="24"/>
          <w:lang w:val="ro-RO"/>
        </w:rPr>
        <w:t xml:space="preserve">. </w:t>
      </w:r>
    </w:p>
    <w:p w14:paraId="53029EAA" w14:textId="77777777" w:rsidR="001C1F8A" w:rsidRPr="00650D66" w:rsidRDefault="001C1F8A" w:rsidP="001C1F8A">
      <w:pPr>
        <w:spacing w:after="0" w:line="276" w:lineRule="auto"/>
        <w:jc w:val="both"/>
        <w:rPr>
          <w:rFonts w:ascii="Times New Roman" w:eastAsia="Times New Roman" w:hAnsi="Times New Roman" w:cs="Times New Roman"/>
          <w:sz w:val="6"/>
          <w:szCs w:val="6"/>
          <w:lang w:val="ro-RO"/>
        </w:rPr>
      </w:pPr>
    </w:p>
    <w:p w14:paraId="268DB4CE" w14:textId="77777777" w:rsidR="0065383F" w:rsidRPr="00650D66" w:rsidRDefault="0065383F" w:rsidP="001C1F8A">
      <w:pPr>
        <w:spacing w:after="0" w:line="276" w:lineRule="auto"/>
        <w:jc w:val="both"/>
        <w:rPr>
          <w:rFonts w:ascii="Times New Roman" w:eastAsia="Calibri" w:hAnsi="Times New Roman" w:cs="Times New Roman"/>
          <w:i/>
          <w:sz w:val="6"/>
          <w:szCs w:val="6"/>
          <w:lang w:val="ro-RO"/>
        </w:rPr>
      </w:pPr>
    </w:p>
    <w:p w14:paraId="255DFC88" w14:textId="64ADAE9B" w:rsidR="00BA7E27" w:rsidRPr="00650D66" w:rsidRDefault="00307B64" w:rsidP="00814655">
      <w:pPr>
        <w:spacing w:after="0" w:line="276" w:lineRule="auto"/>
        <w:jc w:val="both"/>
        <w:rPr>
          <w:rFonts w:ascii="Times New Roman" w:hAnsi="Times New Roman" w:cs="Times New Roman"/>
          <w:bCs/>
          <w:i/>
          <w:noProof/>
          <w:sz w:val="24"/>
          <w:szCs w:val="24"/>
          <w:lang w:val="ro-RO"/>
        </w:rPr>
      </w:pPr>
      <w:r w:rsidRPr="00650D66">
        <w:rPr>
          <w:rFonts w:ascii="Times New Roman" w:hAnsi="Times New Roman" w:cs="Times New Roman"/>
          <w:sz w:val="24"/>
          <w:szCs w:val="24"/>
          <w:lang w:val="ro-RO"/>
        </w:rPr>
        <w:t>Conform datelor raportate, în perioada 2019-2022 au fost planificate alocații pentru achiziționarea bunurilor, lucrărilor și serviciilor în sumă totală de 791,0 mil. lei</w:t>
      </w:r>
      <w:r w:rsidR="0049130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fiind contractate în sumă de 188,0 mil. lei</w:t>
      </w:r>
      <w:r w:rsidR="0049130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din care au fost executate cheltuieli în sumă de 135,3 mil. lei</w:t>
      </w:r>
      <w:r w:rsidR="0049130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sau 17,1%. </w:t>
      </w:r>
      <w:r w:rsidRPr="00650D66">
        <w:rPr>
          <w:rFonts w:ascii="Times New Roman" w:hAnsi="Times New Roman" w:cs="Times New Roman"/>
          <w:noProof/>
          <w:sz w:val="24"/>
          <w:szCs w:val="24"/>
          <w:lang w:val="ro-RO"/>
        </w:rPr>
        <w:t>Auditul a constatat că BNM</w:t>
      </w:r>
      <w:r w:rsidR="00491305">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în perioada auditată 2019-2022</w:t>
      </w:r>
      <w:r w:rsidR="00491305">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w:t>
      </w:r>
      <w:r w:rsidR="004C12E8" w:rsidRPr="00650D66">
        <w:rPr>
          <w:rFonts w:ascii="Times New Roman" w:hAnsi="Times New Roman" w:cs="Times New Roman"/>
          <w:noProof/>
          <w:sz w:val="24"/>
          <w:szCs w:val="24"/>
          <w:lang w:val="ro-RO"/>
        </w:rPr>
        <w:t>nu a</w:t>
      </w:r>
      <w:r w:rsidRPr="00650D66">
        <w:rPr>
          <w:rFonts w:ascii="Times New Roman" w:hAnsi="Times New Roman" w:cs="Times New Roman"/>
          <w:noProof/>
          <w:sz w:val="24"/>
          <w:szCs w:val="24"/>
          <w:lang w:val="ro-RO"/>
        </w:rPr>
        <w:t xml:space="preserve"> valorificat</w:t>
      </w:r>
      <w:r w:rsidRPr="00650D66">
        <w:rPr>
          <w:rFonts w:ascii="Times New Roman" w:hAnsi="Times New Roman" w:cs="Times New Roman"/>
          <w:bCs/>
          <w:noProof/>
          <w:sz w:val="24"/>
          <w:szCs w:val="24"/>
          <w:lang w:val="ro-RO"/>
        </w:rPr>
        <w:t xml:space="preserve"> </w:t>
      </w:r>
      <w:r w:rsidRPr="00650D66">
        <w:rPr>
          <w:rFonts w:ascii="Times New Roman" w:hAnsi="Times New Roman" w:cs="Times New Roman"/>
          <w:noProof/>
          <w:sz w:val="24"/>
          <w:szCs w:val="24"/>
          <w:lang w:val="ro-RO"/>
        </w:rPr>
        <w:t xml:space="preserve">mijloacele financiare destinate </w:t>
      </w:r>
      <w:r w:rsidRPr="00650D66">
        <w:rPr>
          <w:rFonts w:ascii="Times New Roman" w:hAnsi="Times New Roman" w:cs="Times New Roman"/>
          <w:bCs/>
          <w:noProof/>
          <w:sz w:val="24"/>
          <w:szCs w:val="24"/>
          <w:lang w:val="ro-RO"/>
        </w:rPr>
        <w:t xml:space="preserve">achizițiilor publice în sumă de 655,7 mil. lei. </w:t>
      </w:r>
      <w:r w:rsidRPr="00650D66">
        <w:rPr>
          <w:rFonts w:ascii="Times New Roman" w:hAnsi="Times New Roman" w:cs="Times New Roman"/>
          <w:bCs/>
          <w:i/>
          <w:noProof/>
          <w:sz w:val="24"/>
          <w:szCs w:val="24"/>
          <w:lang w:val="ro-RO"/>
        </w:rPr>
        <w:t>Sinteza alocațiilor planificate, contractate și executate în perioada 2019-2</w:t>
      </w:r>
      <w:r w:rsidR="00892413" w:rsidRPr="00650D66">
        <w:rPr>
          <w:rFonts w:ascii="Times New Roman" w:hAnsi="Times New Roman" w:cs="Times New Roman"/>
          <w:bCs/>
          <w:i/>
          <w:noProof/>
          <w:sz w:val="24"/>
          <w:szCs w:val="24"/>
          <w:lang w:val="ro-RO"/>
        </w:rPr>
        <w:t>022 se prezintă în Diagrama nr.3</w:t>
      </w:r>
      <w:r w:rsidRPr="00650D66">
        <w:rPr>
          <w:rFonts w:ascii="Times New Roman" w:hAnsi="Times New Roman" w:cs="Times New Roman"/>
          <w:bCs/>
          <w:i/>
          <w:noProof/>
          <w:sz w:val="24"/>
          <w:szCs w:val="24"/>
          <w:lang w:val="ro-RO"/>
        </w:rPr>
        <w:t>.</w:t>
      </w:r>
    </w:p>
    <w:p w14:paraId="3D38825A" w14:textId="77777777" w:rsidR="006220CE" w:rsidRDefault="006220CE" w:rsidP="004659BF">
      <w:pPr>
        <w:spacing w:after="0" w:line="276" w:lineRule="auto"/>
        <w:jc w:val="right"/>
        <w:rPr>
          <w:rFonts w:ascii="Times New Roman" w:hAnsi="Times New Roman" w:cs="Times New Roman"/>
          <w:bCs/>
          <w:i/>
          <w:noProof/>
          <w:sz w:val="24"/>
          <w:szCs w:val="24"/>
          <w:lang w:val="ro-RO"/>
        </w:rPr>
      </w:pPr>
    </w:p>
    <w:p w14:paraId="21ADC201" w14:textId="3EA0E330" w:rsidR="00307B64" w:rsidRPr="00650D66" w:rsidRDefault="00892413" w:rsidP="004659BF">
      <w:pPr>
        <w:spacing w:after="0" w:line="276" w:lineRule="auto"/>
        <w:jc w:val="right"/>
        <w:rPr>
          <w:rFonts w:ascii="Times New Roman" w:hAnsi="Times New Roman" w:cs="Times New Roman"/>
          <w:i/>
          <w:noProof/>
          <w:sz w:val="24"/>
          <w:szCs w:val="24"/>
          <w:lang w:val="ro-RO"/>
        </w:rPr>
      </w:pPr>
      <w:bookmarkStart w:id="20" w:name="_GoBack"/>
      <w:bookmarkEnd w:id="20"/>
      <w:r w:rsidRPr="00650D66">
        <w:rPr>
          <w:rFonts w:ascii="Times New Roman" w:hAnsi="Times New Roman" w:cs="Times New Roman"/>
          <w:bCs/>
          <w:i/>
          <w:noProof/>
          <w:sz w:val="24"/>
          <w:szCs w:val="24"/>
          <w:lang w:val="ro-RO"/>
        </w:rPr>
        <w:t>Diagrama nr.3</w:t>
      </w:r>
    </w:p>
    <w:p w14:paraId="21F8569D" w14:textId="77777777" w:rsidR="00307B64" w:rsidRPr="00650D66" w:rsidRDefault="00307B64" w:rsidP="00307B64">
      <w:pPr>
        <w:spacing w:after="0" w:line="276" w:lineRule="auto"/>
        <w:jc w:val="both"/>
        <w:rPr>
          <w:rFonts w:ascii="Times New Roman" w:hAnsi="Times New Roman" w:cs="Times New Roman"/>
          <w:sz w:val="24"/>
          <w:szCs w:val="24"/>
          <w:lang w:val="ro-RO"/>
        </w:rPr>
      </w:pPr>
      <w:r w:rsidRPr="00650D66">
        <w:rPr>
          <w:rFonts w:ascii="Times New Roman" w:hAnsi="Times New Roman" w:cs="Times New Roman"/>
          <w:noProof/>
          <w:sz w:val="24"/>
          <w:szCs w:val="24"/>
          <w:lang w:val="en-US"/>
        </w:rPr>
        <w:drawing>
          <wp:inline distT="0" distB="0" distL="0" distR="0" wp14:anchorId="690D8721" wp14:editId="655B50B5">
            <wp:extent cx="6035040" cy="20574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1F8BFE" w14:textId="78E3F8B2" w:rsidR="00961F49" w:rsidRPr="00650D66" w:rsidRDefault="00307B64" w:rsidP="00307B64">
      <w:pPr>
        <w:spacing w:after="0" w:line="276" w:lineRule="auto"/>
        <w:jc w:val="both"/>
        <w:rPr>
          <w:rFonts w:ascii="Times New Roman" w:hAnsi="Times New Roman" w:cs="Times New Roman"/>
          <w:i/>
          <w:noProof/>
          <w:sz w:val="20"/>
          <w:szCs w:val="20"/>
          <w:lang w:val="ro-RO"/>
        </w:rPr>
      </w:pPr>
      <w:r w:rsidRPr="00650D66">
        <w:rPr>
          <w:rFonts w:ascii="Times New Roman" w:hAnsi="Times New Roman" w:cs="Times New Roman"/>
          <w:b/>
          <w:i/>
          <w:noProof/>
          <w:sz w:val="20"/>
          <w:szCs w:val="20"/>
          <w:lang w:val="ro-RO"/>
        </w:rPr>
        <w:t xml:space="preserve">Sursă: </w:t>
      </w:r>
      <w:r w:rsidRPr="00650D66">
        <w:rPr>
          <w:rFonts w:ascii="Times New Roman" w:hAnsi="Times New Roman" w:cs="Times New Roman"/>
          <w:i/>
          <w:noProof/>
          <w:sz w:val="20"/>
          <w:szCs w:val="20"/>
          <w:lang w:val="ro-RO"/>
        </w:rPr>
        <w:t>Informați</w:t>
      </w:r>
      <w:r w:rsidR="00491305">
        <w:rPr>
          <w:rFonts w:ascii="Times New Roman" w:hAnsi="Times New Roman" w:cs="Times New Roman"/>
          <w:i/>
          <w:noProof/>
          <w:sz w:val="20"/>
          <w:szCs w:val="20"/>
          <w:lang w:val="ro-RO"/>
        </w:rPr>
        <w:t>i</w:t>
      </w:r>
      <w:r w:rsidRPr="00650D66">
        <w:rPr>
          <w:rFonts w:ascii="Times New Roman" w:hAnsi="Times New Roman" w:cs="Times New Roman"/>
          <w:i/>
          <w:noProof/>
          <w:sz w:val="20"/>
          <w:szCs w:val="20"/>
          <w:lang w:val="ro-RO"/>
        </w:rPr>
        <w:t xml:space="preserve"> sintetizat</w:t>
      </w:r>
      <w:r w:rsidR="00491305">
        <w:rPr>
          <w:rFonts w:ascii="Times New Roman" w:hAnsi="Times New Roman" w:cs="Times New Roman"/>
          <w:i/>
          <w:noProof/>
          <w:sz w:val="20"/>
          <w:szCs w:val="20"/>
          <w:lang w:val="ro-RO"/>
        </w:rPr>
        <w:t>e</w:t>
      </w:r>
      <w:r w:rsidRPr="00650D66">
        <w:rPr>
          <w:rFonts w:ascii="Times New Roman" w:hAnsi="Times New Roman" w:cs="Times New Roman"/>
          <w:i/>
          <w:noProof/>
          <w:sz w:val="20"/>
          <w:szCs w:val="20"/>
          <w:lang w:val="ro-RO"/>
        </w:rPr>
        <w:t xml:space="preserve"> de către echipa de audit din Rapoartele de sinteză privind executarea Planului de achiziții al BNM</w:t>
      </w:r>
      <w:r w:rsidR="00971F1A" w:rsidRPr="00650D66">
        <w:rPr>
          <w:rFonts w:ascii="Times New Roman" w:hAnsi="Times New Roman" w:cs="Times New Roman"/>
          <w:i/>
          <w:noProof/>
          <w:sz w:val="20"/>
          <w:szCs w:val="20"/>
          <w:lang w:val="ro-RO"/>
        </w:rPr>
        <w:t xml:space="preserve"> (Date în baza Planului de achiziții)</w:t>
      </w:r>
      <w:r w:rsidR="00491305">
        <w:rPr>
          <w:rFonts w:ascii="Times New Roman" w:hAnsi="Times New Roman" w:cs="Times New Roman"/>
          <w:i/>
          <w:noProof/>
          <w:sz w:val="20"/>
          <w:szCs w:val="20"/>
          <w:lang w:val="ro-RO"/>
        </w:rPr>
        <w:t>.</w:t>
      </w:r>
    </w:p>
    <w:p w14:paraId="084A69A4" w14:textId="77777777" w:rsidR="004659BF" w:rsidRPr="00650D66" w:rsidRDefault="004659BF" w:rsidP="00307B64">
      <w:pPr>
        <w:spacing w:after="0" w:line="276" w:lineRule="auto"/>
        <w:jc w:val="both"/>
        <w:rPr>
          <w:rFonts w:ascii="Times New Roman" w:hAnsi="Times New Roman" w:cs="Times New Roman"/>
          <w:b/>
          <w:i/>
          <w:noProof/>
          <w:sz w:val="20"/>
          <w:szCs w:val="20"/>
          <w:lang w:val="ro-RO"/>
        </w:rPr>
      </w:pPr>
    </w:p>
    <w:p w14:paraId="29C36E4E" w14:textId="1DFE8158" w:rsidR="00307B64" w:rsidRPr="00650D66" w:rsidRDefault="00307B64" w:rsidP="00307B64">
      <w:pPr>
        <w:spacing w:after="0" w:line="276" w:lineRule="auto"/>
        <w:jc w:val="both"/>
        <w:rPr>
          <w:rFonts w:ascii="Times New Roman" w:hAnsi="Times New Roman" w:cs="Times New Roman"/>
          <w:noProof/>
          <w:sz w:val="6"/>
          <w:szCs w:val="6"/>
          <w:lang w:val="ro-RO"/>
        </w:rPr>
      </w:pPr>
      <w:r w:rsidRPr="00650D66">
        <w:rPr>
          <w:rFonts w:ascii="Times New Roman" w:hAnsi="Times New Roman" w:cs="Times New Roman"/>
          <w:noProof/>
          <w:sz w:val="24"/>
          <w:szCs w:val="24"/>
          <w:lang w:val="ro-RO"/>
        </w:rPr>
        <w:t xml:space="preserve">Datele din Diagramă relevă că nivelul de executare a alocațiilor planificate pentru achiziționarea bunurilor, lucrărilor și serviciilor în anul 2019 constituie 13,6% (29,7 mil. lei), în anul 2020 – 10,4% (18,6 mil. lei), în anul 2021 </w:t>
      </w:r>
      <w:r w:rsidR="00491305">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21,1% (45,4 mil. lei)</w:t>
      </w:r>
      <w:r w:rsidR="00491305">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și în anul 2022 – 23,2% (41,7 mil. lei). </w:t>
      </w:r>
    </w:p>
    <w:p w14:paraId="496B62E1" w14:textId="55798DF9" w:rsidR="00307B64" w:rsidRPr="00650D66" w:rsidRDefault="00307B64" w:rsidP="00307B64">
      <w:pPr>
        <w:spacing w:after="0" w:line="276" w:lineRule="auto"/>
        <w:jc w:val="both"/>
        <w:rPr>
          <w:rFonts w:ascii="Times New Roman" w:hAnsi="Times New Roman" w:cs="Times New Roman"/>
          <w:i/>
          <w:noProof/>
          <w:sz w:val="24"/>
          <w:szCs w:val="24"/>
          <w:lang w:val="ro-RO"/>
        </w:rPr>
      </w:pPr>
      <w:r w:rsidRPr="00650D66">
        <w:rPr>
          <w:rFonts w:ascii="Times New Roman" w:hAnsi="Times New Roman" w:cs="Times New Roman"/>
          <w:noProof/>
          <w:sz w:val="24"/>
          <w:szCs w:val="24"/>
          <w:lang w:val="ro-RO"/>
        </w:rPr>
        <w:lastRenderedPageBreak/>
        <w:t>Cel mai mic nivel de valorificare a alocațiilor se înregistrează la lucrări, în perioada auditată 2019-2022 au fost planificate alocații în sumă de 43,5 mil. lei, fiind contractate lucrări în sumă de 7,7 mil. lei</w:t>
      </w:r>
      <w:r w:rsidR="00491305">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din care au fost executate doar 1,9 mil. lei</w:t>
      </w:r>
      <w:r w:rsidR="00491305">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4,3% din suma preconizată. Concomitent și la achiziționarea serviciilor și bunurilor se înregistrează un nivel scăzut de executare, la servicii înregistr</w:t>
      </w:r>
      <w:r w:rsidR="00491305">
        <w:rPr>
          <w:rFonts w:ascii="Times New Roman" w:hAnsi="Times New Roman" w:cs="Times New Roman"/>
          <w:noProof/>
          <w:sz w:val="24"/>
          <w:szCs w:val="24"/>
          <w:lang w:val="ro-RO"/>
        </w:rPr>
        <w:t>â</w:t>
      </w:r>
      <w:r w:rsidRPr="00650D66">
        <w:rPr>
          <w:rFonts w:ascii="Times New Roman" w:hAnsi="Times New Roman" w:cs="Times New Roman"/>
          <w:noProof/>
          <w:sz w:val="24"/>
          <w:szCs w:val="24"/>
          <w:lang w:val="ro-RO"/>
        </w:rPr>
        <w:t xml:space="preserve">nd un nivel de 11,9% și la bunuri </w:t>
      </w:r>
      <w:r w:rsidR="00491305">
        <w:rPr>
          <w:rFonts w:ascii="Times New Roman" w:hAnsi="Times New Roman" w:cs="Times New Roman"/>
          <w:noProof/>
          <w:sz w:val="24"/>
          <w:szCs w:val="24"/>
          <w:lang w:val="ro-RO"/>
        </w:rPr>
        <w:t xml:space="preserve">– </w:t>
      </w:r>
      <w:r w:rsidRPr="00650D66">
        <w:rPr>
          <w:rFonts w:ascii="Times New Roman" w:hAnsi="Times New Roman" w:cs="Times New Roman"/>
          <w:noProof/>
          <w:sz w:val="24"/>
          <w:szCs w:val="24"/>
          <w:lang w:val="ro-RO"/>
        </w:rPr>
        <w:t>de 35,4%, față de alocațiile planificate.</w:t>
      </w:r>
      <w:r w:rsidR="00E659CA" w:rsidRPr="00650D66">
        <w:rPr>
          <w:rFonts w:ascii="Times New Roman" w:hAnsi="Times New Roman" w:cs="Times New Roman"/>
          <w:noProof/>
          <w:sz w:val="24"/>
          <w:szCs w:val="24"/>
          <w:lang w:val="ro-RO"/>
        </w:rPr>
        <w:t xml:space="preserve"> </w:t>
      </w:r>
      <w:r w:rsidR="00E659CA" w:rsidRPr="00650D66">
        <w:rPr>
          <w:rFonts w:ascii="Times New Roman" w:hAnsi="Times New Roman" w:cs="Times New Roman"/>
          <w:i/>
          <w:noProof/>
          <w:sz w:val="24"/>
          <w:szCs w:val="24"/>
          <w:lang w:val="ro-RO"/>
        </w:rPr>
        <w:t>Informați</w:t>
      </w:r>
      <w:r w:rsidR="00491305">
        <w:rPr>
          <w:rFonts w:ascii="Times New Roman" w:hAnsi="Times New Roman" w:cs="Times New Roman"/>
          <w:i/>
          <w:noProof/>
          <w:sz w:val="24"/>
          <w:szCs w:val="24"/>
          <w:lang w:val="ro-RO"/>
        </w:rPr>
        <w:t>i</w:t>
      </w:r>
      <w:r w:rsidR="00E659CA" w:rsidRPr="00650D66">
        <w:rPr>
          <w:rFonts w:ascii="Times New Roman" w:hAnsi="Times New Roman" w:cs="Times New Roman"/>
          <w:i/>
          <w:noProof/>
          <w:sz w:val="24"/>
          <w:szCs w:val="24"/>
          <w:lang w:val="ro-RO"/>
        </w:rPr>
        <w:t xml:space="preserve"> detaliat</w:t>
      </w:r>
      <w:r w:rsidR="00491305">
        <w:rPr>
          <w:rFonts w:ascii="Times New Roman" w:hAnsi="Times New Roman" w:cs="Times New Roman"/>
          <w:i/>
          <w:noProof/>
          <w:sz w:val="24"/>
          <w:szCs w:val="24"/>
          <w:lang w:val="ro-RO"/>
        </w:rPr>
        <w:t>e</w:t>
      </w:r>
      <w:r w:rsidR="00E659CA" w:rsidRPr="00650D66">
        <w:rPr>
          <w:rFonts w:ascii="Times New Roman" w:hAnsi="Times New Roman" w:cs="Times New Roman"/>
          <w:i/>
          <w:noProof/>
          <w:sz w:val="24"/>
          <w:szCs w:val="24"/>
          <w:lang w:val="ro-RO"/>
        </w:rPr>
        <w:t xml:space="preserve"> privind executarea alocațiilor planificate pentru achiziționarea bunurilor, lucrărilor și serviciilor în perioada 201</w:t>
      </w:r>
      <w:r w:rsidR="00FF1B71" w:rsidRPr="00650D66">
        <w:rPr>
          <w:rFonts w:ascii="Times New Roman" w:hAnsi="Times New Roman" w:cs="Times New Roman"/>
          <w:i/>
          <w:noProof/>
          <w:sz w:val="24"/>
          <w:szCs w:val="24"/>
          <w:lang w:val="ro-RO"/>
        </w:rPr>
        <w:t>9-2022 se prezintă în Anexa nr.5</w:t>
      </w:r>
      <w:r w:rsidR="00E659CA" w:rsidRPr="00650D66">
        <w:rPr>
          <w:rFonts w:ascii="Times New Roman" w:hAnsi="Times New Roman" w:cs="Times New Roman"/>
          <w:i/>
          <w:noProof/>
          <w:sz w:val="24"/>
          <w:szCs w:val="24"/>
          <w:lang w:val="ro-RO"/>
        </w:rPr>
        <w:t xml:space="preserve"> la prezentul Raport de audit.</w:t>
      </w:r>
    </w:p>
    <w:p w14:paraId="37BD2296" w14:textId="77777777" w:rsidR="000B0348" w:rsidRPr="00650D66" w:rsidRDefault="000B0348" w:rsidP="00307B64">
      <w:pPr>
        <w:spacing w:after="0" w:line="276" w:lineRule="auto"/>
        <w:jc w:val="both"/>
        <w:rPr>
          <w:rFonts w:ascii="Times New Roman" w:hAnsi="Times New Roman" w:cs="Times New Roman"/>
          <w:noProof/>
          <w:sz w:val="6"/>
          <w:szCs w:val="6"/>
          <w:lang w:val="ro-RO"/>
        </w:rPr>
      </w:pPr>
    </w:p>
    <w:p w14:paraId="755BF661" w14:textId="5171C45C" w:rsidR="0060197B" w:rsidRDefault="00E90CFD" w:rsidP="00E90CFD">
      <w:pPr>
        <w:spacing w:after="0" w:line="276" w:lineRule="auto"/>
        <w:jc w:val="both"/>
        <w:rPr>
          <w:rFonts w:ascii="Times New Roman" w:eastAsia="Calibri" w:hAnsi="Times New Roman" w:cs="Times New Roman"/>
          <w:sz w:val="24"/>
          <w:szCs w:val="24"/>
          <w:lang w:val="ro-RO"/>
        </w:rPr>
      </w:pPr>
      <w:r w:rsidRPr="00650D66">
        <w:rPr>
          <w:rFonts w:ascii="Times New Roman" w:eastAsia="Calibri" w:hAnsi="Times New Roman" w:cs="Times New Roman"/>
          <w:sz w:val="24"/>
          <w:szCs w:val="24"/>
          <w:lang w:val="ro-RO"/>
        </w:rPr>
        <w:t>Partea preponderentă a bunurilor materiale și serviciilor a fost achiziționată prin intermediul licitațiilor deschise, dar ca număr de contracte încheiate prevalează contractele de mică valoare</w:t>
      </w:r>
      <w:r w:rsidR="0060197B">
        <w:rPr>
          <w:rFonts w:ascii="Times New Roman" w:eastAsia="Calibri" w:hAnsi="Times New Roman" w:cs="Times New Roman"/>
          <w:sz w:val="24"/>
          <w:szCs w:val="24"/>
          <w:lang w:val="ro-RO"/>
        </w:rPr>
        <w:t xml:space="preserve"> –</w:t>
      </w:r>
    </w:p>
    <w:p w14:paraId="6DE4ADF4" w14:textId="7ACB7D81" w:rsidR="00E90CFD" w:rsidRPr="00650D66" w:rsidRDefault="00E90CFD" w:rsidP="00E90CFD">
      <w:pPr>
        <w:spacing w:after="0" w:line="276" w:lineRule="auto"/>
        <w:jc w:val="both"/>
        <w:rPr>
          <w:rFonts w:ascii="Times New Roman" w:eastAsia="Calibri" w:hAnsi="Times New Roman" w:cs="Times New Roman"/>
          <w:i/>
          <w:sz w:val="24"/>
          <w:szCs w:val="24"/>
          <w:lang w:val="ro-RO"/>
        </w:rPr>
      </w:pPr>
      <w:r w:rsidRPr="00650D66">
        <w:rPr>
          <w:rFonts w:ascii="Times New Roman" w:eastAsia="Calibri" w:hAnsi="Times New Roman" w:cs="Times New Roman"/>
          <w:sz w:val="24"/>
          <w:szCs w:val="24"/>
          <w:lang w:val="ro-RO"/>
        </w:rPr>
        <w:t xml:space="preserve">75,4% (811 contracte), fiind încheiate: în anul 2019 – 371 </w:t>
      </w:r>
      <w:r w:rsidR="0060197B">
        <w:rPr>
          <w:rFonts w:ascii="Times New Roman" w:eastAsia="Calibri" w:hAnsi="Times New Roman" w:cs="Times New Roman"/>
          <w:sz w:val="24"/>
          <w:szCs w:val="24"/>
          <w:lang w:val="ro-RO"/>
        </w:rPr>
        <w:t xml:space="preserve">de </w:t>
      </w:r>
      <w:r w:rsidRPr="00650D66">
        <w:rPr>
          <w:rFonts w:ascii="Times New Roman" w:eastAsia="Calibri" w:hAnsi="Times New Roman" w:cs="Times New Roman"/>
          <w:sz w:val="24"/>
          <w:szCs w:val="24"/>
          <w:lang w:val="ro-RO"/>
        </w:rPr>
        <w:t>contracte, în anul 2020 – 206 contracte, în anul 2021 – 218 contracte</w:t>
      </w:r>
      <w:r w:rsidR="0060197B">
        <w:rPr>
          <w:rFonts w:ascii="Times New Roman" w:eastAsia="Calibri" w:hAnsi="Times New Roman" w:cs="Times New Roman"/>
          <w:sz w:val="24"/>
          <w:szCs w:val="24"/>
          <w:lang w:val="ro-RO"/>
        </w:rPr>
        <w:t>,</w:t>
      </w:r>
      <w:r w:rsidRPr="00650D66">
        <w:rPr>
          <w:rFonts w:ascii="Times New Roman" w:eastAsia="Calibri" w:hAnsi="Times New Roman" w:cs="Times New Roman"/>
          <w:sz w:val="24"/>
          <w:szCs w:val="24"/>
          <w:lang w:val="ro-RO"/>
        </w:rPr>
        <w:t xml:space="preserve"> și în anul 2022 – 281 </w:t>
      </w:r>
      <w:r w:rsidR="0060197B">
        <w:rPr>
          <w:rFonts w:ascii="Times New Roman" w:eastAsia="Calibri" w:hAnsi="Times New Roman" w:cs="Times New Roman"/>
          <w:sz w:val="24"/>
          <w:szCs w:val="24"/>
          <w:lang w:val="ro-RO"/>
        </w:rPr>
        <w:t xml:space="preserve">de </w:t>
      </w:r>
      <w:r w:rsidRPr="00650D66">
        <w:rPr>
          <w:rFonts w:ascii="Times New Roman" w:eastAsia="Calibri" w:hAnsi="Times New Roman" w:cs="Times New Roman"/>
          <w:sz w:val="24"/>
          <w:szCs w:val="24"/>
          <w:lang w:val="ro-RO"/>
        </w:rPr>
        <w:t xml:space="preserve">contracte. </w:t>
      </w:r>
      <w:r w:rsidRPr="00650D66">
        <w:rPr>
          <w:rFonts w:ascii="Times New Roman" w:eastAsia="Calibri" w:hAnsi="Times New Roman" w:cs="Times New Roman"/>
          <w:i/>
          <w:sz w:val="24"/>
          <w:szCs w:val="24"/>
          <w:lang w:val="ro-RO"/>
        </w:rPr>
        <w:t>Informați</w:t>
      </w:r>
      <w:r w:rsidR="0060197B">
        <w:rPr>
          <w:rFonts w:ascii="Times New Roman" w:eastAsia="Calibri" w:hAnsi="Times New Roman" w:cs="Times New Roman"/>
          <w:i/>
          <w:sz w:val="24"/>
          <w:szCs w:val="24"/>
          <w:lang w:val="ro-RO"/>
        </w:rPr>
        <w:t>i</w:t>
      </w:r>
      <w:r w:rsidRPr="00650D66">
        <w:rPr>
          <w:rFonts w:ascii="Times New Roman" w:eastAsia="Calibri" w:hAnsi="Times New Roman" w:cs="Times New Roman"/>
          <w:i/>
          <w:sz w:val="24"/>
          <w:szCs w:val="24"/>
          <w:lang w:val="ro-RO"/>
        </w:rPr>
        <w:t xml:space="preserve"> privind procedurile de achiziții planificate, realizate și numărul contractelor încheiate de către BNM în perioada 2019-2022, se</w:t>
      </w:r>
      <w:r w:rsidR="00FF1B71" w:rsidRPr="00650D66">
        <w:rPr>
          <w:rFonts w:ascii="Times New Roman" w:eastAsia="Calibri" w:hAnsi="Times New Roman" w:cs="Times New Roman"/>
          <w:i/>
          <w:sz w:val="24"/>
          <w:szCs w:val="24"/>
          <w:lang w:val="ro-RO"/>
        </w:rPr>
        <w:t xml:space="preserve"> prezintă detaliat în Anexa nr.6</w:t>
      </w:r>
      <w:r w:rsidRPr="00650D66">
        <w:rPr>
          <w:rFonts w:ascii="Times New Roman" w:eastAsia="Calibri" w:hAnsi="Times New Roman" w:cs="Times New Roman"/>
          <w:i/>
          <w:sz w:val="24"/>
          <w:szCs w:val="24"/>
          <w:lang w:val="ro-RO"/>
        </w:rPr>
        <w:t xml:space="preserve"> la prezentul Raport de audit.</w:t>
      </w:r>
    </w:p>
    <w:p w14:paraId="78F26532" w14:textId="77777777" w:rsidR="00E90CFD" w:rsidRPr="00650D66" w:rsidRDefault="00E90CFD" w:rsidP="00307B64">
      <w:pPr>
        <w:spacing w:after="0" w:line="276" w:lineRule="auto"/>
        <w:jc w:val="both"/>
        <w:rPr>
          <w:rFonts w:ascii="Times New Roman" w:hAnsi="Times New Roman" w:cs="Times New Roman"/>
          <w:noProof/>
          <w:sz w:val="6"/>
          <w:szCs w:val="6"/>
          <w:lang w:val="ro-RO"/>
        </w:rPr>
      </w:pPr>
    </w:p>
    <w:p w14:paraId="06211D3D" w14:textId="0D38636C" w:rsidR="00821B8E" w:rsidRPr="00650D66" w:rsidRDefault="005A17E7" w:rsidP="00307B64">
      <w:pPr>
        <w:spacing w:after="0" w:line="276" w:lineRule="auto"/>
        <w:jc w:val="both"/>
        <w:rPr>
          <w:rFonts w:ascii="Times New Roman" w:hAnsi="Times New Roman" w:cs="Times New Roman"/>
          <w:i/>
          <w:noProof/>
          <w:sz w:val="24"/>
          <w:szCs w:val="24"/>
          <w:lang w:val="ro-RO"/>
        </w:rPr>
      </w:pPr>
      <w:r w:rsidRPr="00650D66">
        <w:rPr>
          <w:rFonts w:ascii="Times New Roman" w:hAnsi="Times New Roman" w:cs="Times New Roman"/>
          <w:noProof/>
          <w:sz w:val="24"/>
          <w:szCs w:val="24"/>
          <w:lang w:val="ro-RO"/>
        </w:rPr>
        <w:t xml:space="preserve">Totodată, </w:t>
      </w:r>
      <w:r w:rsidR="0060197B">
        <w:rPr>
          <w:rFonts w:ascii="Times New Roman" w:hAnsi="Times New Roman" w:cs="Times New Roman"/>
          <w:noProof/>
          <w:sz w:val="24"/>
          <w:szCs w:val="24"/>
          <w:lang w:val="ro-RO"/>
        </w:rPr>
        <w:t xml:space="preserve">drept </w:t>
      </w:r>
      <w:r w:rsidRPr="00650D66">
        <w:rPr>
          <w:rFonts w:ascii="Times New Roman" w:hAnsi="Times New Roman" w:cs="Times New Roman"/>
          <w:noProof/>
          <w:sz w:val="24"/>
          <w:szCs w:val="24"/>
          <w:lang w:val="ro-RO"/>
        </w:rPr>
        <w:t xml:space="preserve">urmare </w:t>
      </w:r>
      <w:r w:rsidR="0060197B">
        <w:rPr>
          <w:rFonts w:ascii="Times New Roman" w:hAnsi="Times New Roman" w:cs="Times New Roman"/>
          <w:noProof/>
          <w:sz w:val="24"/>
          <w:szCs w:val="24"/>
          <w:lang w:val="ro-RO"/>
        </w:rPr>
        <w:t xml:space="preserve">a </w:t>
      </w:r>
      <w:r w:rsidRPr="00650D66">
        <w:rPr>
          <w:rFonts w:ascii="Times New Roman" w:hAnsi="Times New Roman" w:cs="Times New Roman"/>
          <w:noProof/>
          <w:sz w:val="24"/>
          <w:szCs w:val="24"/>
          <w:lang w:val="ro-RO"/>
        </w:rPr>
        <w:t>analizei efectuate de audit</w:t>
      </w:r>
      <w:r w:rsidR="00472ACF" w:rsidRPr="00650D66">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BNM în perioada 2019-2022 </w:t>
      </w:r>
      <w:r w:rsidR="00C75439" w:rsidRPr="00650D66">
        <w:rPr>
          <w:rFonts w:ascii="Times New Roman" w:hAnsi="Times New Roman" w:cs="Times New Roman"/>
          <w:noProof/>
          <w:sz w:val="24"/>
          <w:szCs w:val="24"/>
          <w:lang w:val="ro-RO"/>
        </w:rPr>
        <w:t>a</w:t>
      </w:r>
      <w:r w:rsidRPr="00650D66">
        <w:rPr>
          <w:rFonts w:ascii="Times New Roman" w:hAnsi="Times New Roman" w:cs="Times New Roman"/>
          <w:noProof/>
          <w:sz w:val="24"/>
          <w:szCs w:val="24"/>
          <w:lang w:val="ro-RO"/>
        </w:rPr>
        <w:t xml:space="preserve"> </w:t>
      </w:r>
      <w:r w:rsidR="00C75439" w:rsidRPr="00650D66">
        <w:rPr>
          <w:rFonts w:ascii="Times New Roman" w:hAnsi="Times New Roman" w:cs="Times New Roman"/>
          <w:noProof/>
          <w:sz w:val="24"/>
          <w:szCs w:val="24"/>
          <w:lang w:val="ro-RO"/>
        </w:rPr>
        <w:t>executat</w:t>
      </w:r>
      <w:r w:rsidRPr="00650D66">
        <w:rPr>
          <w:rFonts w:ascii="Times New Roman" w:hAnsi="Times New Roman" w:cs="Times New Roman"/>
          <w:noProof/>
          <w:sz w:val="24"/>
          <w:szCs w:val="24"/>
          <w:lang w:val="ro-RO"/>
        </w:rPr>
        <w:t xml:space="preserve"> cheltuieli în sumă totală de 144,2 mil. lei în baza contractelor încheiate</w:t>
      </w:r>
      <w:r w:rsidR="00971F1A" w:rsidRPr="00650D66">
        <w:rPr>
          <w:rFonts w:ascii="Times New Roman" w:hAnsi="Times New Roman" w:cs="Times New Roman"/>
          <w:noProof/>
          <w:sz w:val="24"/>
          <w:szCs w:val="24"/>
          <w:lang w:val="ro-RO"/>
        </w:rPr>
        <w:t xml:space="preserve"> anual</w:t>
      </w:r>
      <w:r w:rsidRPr="00650D66">
        <w:rPr>
          <w:rFonts w:ascii="Times New Roman" w:hAnsi="Times New Roman" w:cs="Times New Roman"/>
          <w:noProof/>
          <w:sz w:val="24"/>
          <w:szCs w:val="24"/>
          <w:lang w:val="ro-RO"/>
        </w:rPr>
        <w:t xml:space="preserve"> </w:t>
      </w:r>
      <w:r w:rsidR="0060197B">
        <w:rPr>
          <w:rFonts w:ascii="Times New Roman" w:hAnsi="Times New Roman" w:cs="Times New Roman"/>
          <w:noProof/>
          <w:sz w:val="24"/>
          <w:szCs w:val="24"/>
          <w:lang w:val="ro-RO"/>
        </w:rPr>
        <w:t>prin</w:t>
      </w:r>
      <w:r w:rsidRPr="00650D66">
        <w:rPr>
          <w:rFonts w:ascii="Times New Roman" w:hAnsi="Times New Roman" w:cs="Times New Roman"/>
          <w:noProof/>
          <w:sz w:val="24"/>
          <w:szCs w:val="24"/>
          <w:lang w:val="ro-RO"/>
        </w:rPr>
        <w:t xml:space="preserve"> proceduril</w:t>
      </w:r>
      <w:r w:rsidR="0060197B">
        <w:rPr>
          <w:rFonts w:ascii="Times New Roman" w:hAnsi="Times New Roman" w:cs="Times New Roman"/>
          <w:noProof/>
          <w:sz w:val="24"/>
          <w:szCs w:val="24"/>
          <w:lang w:val="ro-RO"/>
        </w:rPr>
        <w:t>e</w:t>
      </w:r>
      <w:r w:rsidRPr="00650D66">
        <w:rPr>
          <w:rFonts w:ascii="Times New Roman" w:hAnsi="Times New Roman" w:cs="Times New Roman"/>
          <w:noProof/>
          <w:sz w:val="24"/>
          <w:szCs w:val="24"/>
          <w:lang w:val="ro-RO"/>
        </w:rPr>
        <w:t xml:space="preserve"> de achiziții: LD – 89,5 mil. lei</w:t>
      </w:r>
      <w:r w:rsidR="0060197B">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62,1%, contracte de valoare mică – 22,1 mil. lei</w:t>
      </w:r>
      <w:r w:rsidR="0060197B">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15,3%, NFP – 20,3 mil. lei</w:t>
      </w:r>
      <w:r w:rsidR="0060197B">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14,1%, COP – 9,9 mil. lei</w:t>
      </w:r>
      <w:r w:rsidR="0060197B">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6,8%</w:t>
      </w:r>
      <w:r w:rsidR="0060197B">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și exceptate – 2,4 mil. lei</w:t>
      </w:r>
      <w:r w:rsidR="0060197B">
        <w:rPr>
          <w:rFonts w:ascii="Times New Roman" w:hAnsi="Times New Roman" w:cs="Times New Roman"/>
          <w:noProof/>
          <w:sz w:val="24"/>
          <w:szCs w:val="24"/>
          <w:lang w:val="ro-RO"/>
        </w:rPr>
        <w:t>,</w:t>
      </w:r>
      <w:r w:rsidRPr="00650D66">
        <w:rPr>
          <w:rFonts w:ascii="Times New Roman" w:hAnsi="Times New Roman" w:cs="Times New Roman"/>
          <w:noProof/>
          <w:sz w:val="24"/>
          <w:szCs w:val="24"/>
          <w:lang w:val="ro-RO"/>
        </w:rPr>
        <w:t xml:space="preserve"> sau 1,6%.</w:t>
      </w:r>
      <w:r w:rsidR="00135473" w:rsidRPr="00650D66">
        <w:rPr>
          <w:rFonts w:ascii="Times New Roman" w:hAnsi="Times New Roman" w:cs="Times New Roman"/>
          <w:lang w:val="ro-RO"/>
        </w:rPr>
        <w:t xml:space="preserve"> </w:t>
      </w:r>
      <w:r w:rsidR="00135473" w:rsidRPr="00650D66">
        <w:rPr>
          <w:rFonts w:ascii="Times New Roman" w:hAnsi="Times New Roman" w:cs="Times New Roman"/>
          <w:i/>
          <w:noProof/>
          <w:sz w:val="24"/>
          <w:szCs w:val="24"/>
          <w:lang w:val="ro-RO"/>
        </w:rPr>
        <w:t>Informați</w:t>
      </w:r>
      <w:r w:rsidR="00CD5DF2">
        <w:rPr>
          <w:rFonts w:ascii="Times New Roman" w:hAnsi="Times New Roman" w:cs="Times New Roman"/>
          <w:i/>
          <w:noProof/>
          <w:sz w:val="24"/>
          <w:szCs w:val="24"/>
          <w:lang w:val="ro-RO"/>
        </w:rPr>
        <w:t>i</w:t>
      </w:r>
      <w:r w:rsidR="00135473" w:rsidRPr="00650D66">
        <w:rPr>
          <w:rFonts w:ascii="Times New Roman" w:hAnsi="Times New Roman" w:cs="Times New Roman"/>
          <w:i/>
          <w:noProof/>
          <w:sz w:val="24"/>
          <w:szCs w:val="24"/>
          <w:lang w:val="ro-RO"/>
        </w:rPr>
        <w:t xml:space="preserve"> privind numărul contractelor încheiate, valoarea contractată și executată în perioada 2019-2022 după tipul procedurii de achiziție se prezintă în Anexa nr.</w:t>
      </w:r>
      <w:r w:rsidR="00FF1B71" w:rsidRPr="00650D66">
        <w:rPr>
          <w:rFonts w:ascii="Times New Roman" w:hAnsi="Times New Roman" w:cs="Times New Roman"/>
          <w:i/>
          <w:noProof/>
          <w:sz w:val="24"/>
          <w:szCs w:val="24"/>
          <w:lang w:val="ro-RO"/>
        </w:rPr>
        <w:t>7</w:t>
      </w:r>
      <w:r w:rsidR="00135473" w:rsidRPr="00650D66">
        <w:rPr>
          <w:rFonts w:ascii="Times New Roman" w:hAnsi="Times New Roman" w:cs="Times New Roman"/>
          <w:i/>
          <w:noProof/>
          <w:sz w:val="24"/>
          <w:szCs w:val="24"/>
          <w:lang w:val="ro-RO"/>
        </w:rPr>
        <w:t xml:space="preserve"> la prezentul Raport de audit.</w:t>
      </w:r>
    </w:p>
    <w:p w14:paraId="3F6B5A31" w14:textId="77777777" w:rsidR="00AD65C2" w:rsidRPr="00650D66" w:rsidRDefault="00AD65C2" w:rsidP="00307B64">
      <w:pPr>
        <w:spacing w:after="0" w:line="276" w:lineRule="auto"/>
        <w:jc w:val="both"/>
        <w:rPr>
          <w:rFonts w:ascii="Times New Roman" w:hAnsi="Times New Roman" w:cs="Times New Roman"/>
          <w:i/>
          <w:noProof/>
          <w:sz w:val="6"/>
          <w:szCs w:val="6"/>
          <w:lang w:val="ro-RO"/>
        </w:rPr>
      </w:pPr>
    </w:p>
    <w:p w14:paraId="146FEA03" w14:textId="474ACE9F" w:rsidR="00F8316B" w:rsidRPr="00650D66" w:rsidRDefault="00674A6D" w:rsidP="00D00010">
      <w:pPr>
        <w:tabs>
          <w:tab w:val="left" w:pos="284"/>
          <w:tab w:val="left" w:pos="993"/>
        </w:tabs>
        <w:spacing w:after="0" w:line="276" w:lineRule="auto"/>
        <w:jc w:val="both"/>
        <w:rPr>
          <w:rFonts w:ascii="Times New Roman" w:hAnsi="Times New Roman" w:cs="Times New Roman"/>
          <w:bCs/>
          <w:i/>
          <w:sz w:val="24"/>
          <w:szCs w:val="24"/>
          <w:lang w:val="ro-RO"/>
        </w:rPr>
      </w:pPr>
      <w:r w:rsidRPr="00650D66">
        <w:rPr>
          <w:rFonts w:ascii="Times New Roman" w:hAnsi="Times New Roman" w:cs="Times New Roman"/>
          <w:bCs/>
          <w:sz w:val="24"/>
          <w:szCs w:val="24"/>
          <w:lang w:val="ro-RO"/>
        </w:rPr>
        <w:t>Î</w:t>
      </w:r>
      <w:r w:rsidR="00F8316B" w:rsidRPr="00650D66">
        <w:rPr>
          <w:rFonts w:ascii="Times New Roman" w:hAnsi="Times New Roman" w:cs="Times New Roman"/>
          <w:bCs/>
          <w:sz w:val="24"/>
          <w:szCs w:val="24"/>
          <w:lang w:val="ro-RO"/>
        </w:rPr>
        <w:t>n perioada 2019-2022, BNM</w:t>
      </w:r>
      <w:r w:rsidR="00CD5DF2">
        <w:rPr>
          <w:rFonts w:ascii="Times New Roman" w:hAnsi="Times New Roman" w:cs="Times New Roman"/>
          <w:bCs/>
          <w:sz w:val="24"/>
          <w:szCs w:val="24"/>
          <w:lang w:val="ro-RO"/>
        </w:rPr>
        <w:t>,</w:t>
      </w:r>
      <w:r w:rsidR="00F8316B" w:rsidRPr="00650D66">
        <w:rPr>
          <w:rFonts w:ascii="Times New Roman" w:hAnsi="Times New Roman" w:cs="Times New Roman"/>
          <w:bCs/>
          <w:sz w:val="24"/>
          <w:szCs w:val="24"/>
          <w:lang w:val="ro-RO"/>
        </w:rPr>
        <w:t xml:space="preserve"> în temeiul art.56, alin.(1), lit. c) din Legea nr.131 din 03.07.2015 </w:t>
      </w:r>
      <w:r w:rsidR="00CD5DF2">
        <w:rPr>
          <w:rFonts w:ascii="Times New Roman" w:hAnsi="Times New Roman" w:cs="Times New Roman"/>
          <w:bCs/>
          <w:sz w:val="24"/>
          <w:szCs w:val="24"/>
          <w:lang w:val="ro-RO"/>
        </w:rPr>
        <w:t>(</w:t>
      </w:r>
      <w:r w:rsidR="00CD5DF2">
        <w:rPr>
          <w:rFonts w:ascii="Times New Roman" w:hAnsi="Times New Roman" w:cs="Times New Roman"/>
          <w:bCs/>
          <w:i/>
          <w:sz w:val="24"/>
          <w:szCs w:val="24"/>
          <w:lang w:val="ro-RO"/>
        </w:rPr>
        <w:t>„</w:t>
      </w:r>
      <w:r w:rsidR="00F8316B" w:rsidRPr="00650D66">
        <w:rPr>
          <w:rFonts w:ascii="Times New Roman" w:hAnsi="Times New Roman" w:cs="Times New Roman"/>
          <w:bCs/>
          <w:i/>
          <w:sz w:val="24"/>
          <w:szCs w:val="24"/>
          <w:lang w:val="ro-RO"/>
        </w:rPr>
        <w:t>din motive tehnice, de creație sau referitoare la protecția drepturilor exclusive, un singur operator economic dispune de bunurile, lucrările și serviciile necesare și nu există o altă alternativă”</w:t>
      </w:r>
      <w:r w:rsidR="00CD5DF2">
        <w:rPr>
          <w:rFonts w:ascii="Times New Roman" w:hAnsi="Times New Roman" w:cs="Times New Roman"/>
          <w:bCs/>
          <w:i/>
          <w:sz w:val="24"/>
          <w:szCs w:val="24"/>
          <w:lang w:val="ro-RO"/>
        </w:rPr>
        <w:t>),</w:t>
      </w:r>
      <w:r w:rsidR="00F8316B" w:rsidRPr="00650D66">
        <w:rPr>
          <w:rFonts w:ascii="Times New Roman" w:hAnsi="Times New Roman" w:cs="Times New Roman"/>
          <w:bCs/>
          <w:i/>
          <w:sz w:val="24"/>
          <w:szCs w:val="24"/>
          <w:lang w:val="ro-RO"/>
        </w:rPr>
        <w:t xml:space="preserve"> </w:t>
      </w:r>
      <w:r w:rsidR="00F8316B" w:rsidRPr="00650D66">
        <w:rPr>
          <w:rFonts w:ascii="Times New Roman" w:hAnsi="Times New Roman" w:cs="Times New Roman"/>
          <w:bCs/>
          <w:sz w:val="24"/>
          <w:szCs w:val="24"/>
          <w:lang w:val="ro-RO"/>
        </w:rPr>
        <w:t>a utilizat procedura de negociere fără publicarea prealabilă a unui anunț de participare și a încheiat 31 de contracte în sumă totală de 34,4 mil. lei, din care:</w:t>
      </w:r>
    </w:p>
    <w:p w14:paraId="24713142" w14:textId="1BE57FEF" w:rsidR="00F8316B" w:rsidRPr="00650D66" w:rsidRDefault="00F8316B" w:rsidP="00F8316B">
      <w:pPr>
        <w:pStyle w:val="ListParagraph"/>
        <w:numPr>
          <w:ilvl w:val="0"/>
          <w:numId w:val="23"/>
        </w:numPr>
        <w:tabs>
          <w:tab w:val="left" w:pos="284"/>
          <w:tab w:val="left" w:pos="360"/>
        </w:tabs>
        <w:spacing w:after="0" w:line="276" w:lineRule="auto"/>
        <w:ind w:left="0" w:firstLine="0"/>
        <w:jc w:val="both"/>
        <w:rPr>
          <w:rFonts w:ascii="Times New Roman" w:hAnsi="Times New Roman" w:cs="Times New Roman"/>
          <w:bCs/>
          <w:sz w:val="24"/>
          <w:szCs w:val="24"/>
          <w:lang w:val="ro-RO"/>
        </w:rPr>
      </w:pPr>
      <w:r w:rsidRPr="00650D66">
        <w:rPr>
          <w:rFonts w:ascii="Times New Roman" w:hAnsi="Times New Roman" w:cs="Times New Roman"/>
          <w:bCs/>
          <w:sz w:val="24"/>
          <w:szCs w:val="24"/>
          <w:lang w:val="ro-RO"/>
        </w:rPr>
        <w:t>în anul 2019 au fost încheiate 10 contracte în sumă de 6,4 mil. lei;</w:t>
      </w:r>
    </w:p>
    <w:p w14:paraId="257B8559" w14:textId="4E69A2F4" w:rsidR="00F8316B" w:rsidRPr="00650D66" w:rsidRDefault="00F8316B" w:rsidP="00F8316B">
      <w:pPr>
        <w:pStyle w:val="ListParagraph"/>
        <w:numPr>
          <w:ilvl w:val="0"/>
          <w:numId w:val="23"/>
        </w:numPr>
        <w:tabs>
          <w:tab w:val="left" w:pos="284"/>
          <w:tab w:val="left" w:pos="360"/>
        </w:tabs>
        <w:spacing w:after="0" w:line="276" w:lineRule="auto"/>
        <w:ind w:left="0" w:firstLine="0"/>
        <w:jc w:val="both"/>
        <w:rPr>
          <w:rFonts w:ascii="Times New Roman" w:hAnsi="Times New Roman" w:cs="Times New Roman"/>
          <w:bCs/>
          <w:sz w:val="24"/>
          <w:szCs w:val="24"/>
          <w:lang w:val="ro-RO"/>
        </w:rPr>
      </w:pPr>
      <w:r w:rsidRPr="00650D66">
        <w:rPr>
          <w:rFonts w:ascii="Times New Roman" w:hAnsi="Times New Roman" w:cs="Times New Roman"/>
          <w:bCs/>
          <w:sz w:val="24"/>
          <w:szCs w:val="24"/>
          <w:lang w:val="ro-RO"/>
        </w:rPr>
        <w:t>în anul 2020 au fost încheiate 6 contracte în sumă de 5,6 mil. lei;</w:t>
      </w:r>
    </w:p>
    <w:p w14:paraId="0EB76F0B" w14:textId="6E951428" w:rsidR="00F8316B" w:rsidRPr="00650D66" w:rsidRDefault="00CD5DF2" w:rsidP="00F8316B">
      <w:pPr>
        <w:pStyle w:val="ListParagraph"/>
        <w:numPr>
          <w:ilvl w:val="0"/>
          <w:numId w:val="23"/>
        </w:numPr>
        <w:tabs>
          <w:tab w:val="left" w:pos="284"/>
          <w:tab w:val="left" w:pos="360"/>
        </w:tabs>
        <w:spacing w:after="0" w:line="276" w:lineRule="auto"/>
        <w:ind w:left="0" w:firstLine="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F8316B" w:rsidRPr="00650D66">
        <w:rPr>
          <w:rFonts w:ascii="Times New Roman" w:hAnsi="Times New Roman" w:cs="Times New Roman"/>
          <w:bCs/>
          <w:sz w:val="24"/>
          <w:szCs w:val="24"/>
          <w:lang w:val="ro-RO"/>
        </w:rPr>
        <w:t>în anul 2021 au fost încheiate 6 contracte în sumă de 15,8 mil. lei (servicii de consultanță în domeniul resurselor umane – 53</w:t>
      </w:r>
      <w:r>
        <w:rPr>
          <w:rFonts w:ascii="Times New Roman" w:hAnsi="Times New Roman" w:cs="Times New Roman"/>
          <w:bCs/>
          <w:sz w:val="24"/>
          <w:szCs w:val="24"/>
          <w:lang w:val="ro-RO"/>
        </w:rPr>
        <w:t>.</w:t>
      </w:r>
      <w:r w:rsidR="00F8316B" w:rsidRPr="00650D66">
        <w:rPr>
          <w:rFonts w:ascii="Times New Roman" w:hAnsi="Times New Roman" w:cs="Times New Roman"/>
          <w:bCs/>
          <w:sz w:val="24"/>
          <w:szCs w:val="24"/>
          <w:lang w:val="ro-RO"/>
        </w:rPr>
        <w:t xml:space="preserve">088,0 euro, modernizarea SAPI – 311,0 mii </w:t>
      </w:r>
      <w:r>
        <w:rPr>
          <w:rFonts w:ascii="Times New Roman" w:hAnsi="Times New Roman" w:cs="Times New Roman"/>
          <w:bCs/>
          <w:sz w:val="24"/>
          <w:szCs w:val="24"/>
          <w:lang w:val="ro-RO"/>
        </w:rPr>
        <w:t>dolari SUA</w:t>
      </w:r>
      <w:r w:rsidR="00F8316B" w:rsidRPr="00650D66">
        <w:rPr>
          <w:rFonts w:ascii="Times New Roman" w:hAnsi="Times New Roman" w:cs="Times New Roman"/>
          <w:bCs/>
          <w:sz w:val="24"/>
          <w:szCs w:val="24"/>
          <w:lang w:val="ro-RO"/>
        </w:rPr>
        <w:t>, furnizarea gazelor naturale – 2</w:t>
      </w:r>
      <w:r>
        <w:rPr>
          <w:rFonts w:ascii="Times New Roman" w:hAnsi="Times New Roman" w:cs="Times New Roman"/>
          <w:bCs/>
          <w:sz w:val="24"/>
          <w:szCs w:val="24"/>
          <w:lang w:val="ro-RO"/>
        </w:rPr>
        <w:t>.</w:t>
      </w:r>
      <w:r w:rsidR="00F8316B" w:rsidRPr="00650D66">
        <w:rPr>
          <w:rFonts w:ascii="Times New Roman" w:hAnsi="Times New Roman" w:cs="Times New Roman"/>
          <w:bCs/>
          <w:sz w:val="24"/>
          <w:szCs w:val="24"/>
          <w:lang w:val="ro-RO"/>
        </w:rPr>
        <w:t>799,4 mii lei etc.);</w:t>
      </w:r>
    </w:p>
    <w:p w14:paraId="2E2BA5F4" w14:textId="106065CF" w:rsidR="00F8316B" w:rsidRPr="00650D66" w:rsidRDefault="00F8316B" w:rsidP="00F8316B">
      <w:pPr>
        <w:pStyle w:val="ListParagraph"/>
        <w:numPr>
          <w:ilvl w:val="0"/>
          <w:numId w:val="23"/>
        </w:numPr>
        <w:tabs>
          <w:tab w:val="left" w:pos="284"/>
          <w:tab w:val="left" w:pos="360"/>
        </w:tabs>
        <w:spacing w:after="0" w:line="276" w:lineRule="auto"/>
        <w:ind w:left="0" w:firstLine="0"/>
        <w:jc w:val="both"/>
        <w:rPr>
          <w:rFonts w:ascii="Times New Roman" w:hAnsi="Times New Roman" w:cs="Times New Roman"/>
          <w:bCs/>
          <w:sz w:val="24"/>
          <w:szCs w:val="24"/>
          <w:lang w:val="ro-RO"/>
        </w:rPr>
      </w:pPr>
      <w:r w:rsidRPr="00650D66">
        <w:rPr>
          <w:rFonts w:ascii="Times New Roman" w:hAnsi="Times New Roman" w:cs="Times New Roman"/>
          <w:bCs/>
          <w:sz w:val="24"/>
          <w:szCs w:val="24"/>
          <w:lang w:val="ro-RO"/>
        </w:rPr>
        <w:t xml:space="preserve">în anul 2022 au fost încheiate 9 contracte în sumă de 6,6 mil. lei (servicii de transport aerian de pasageri clasa business – 628,5 mii lei etc.). </w:t>
      </w:r>
    </w:p>
    <w:p w14:paraId="5B8A5AE1" w14:textId="77777777" w:rsidR="00F8316B" w:rsidRPr="00650D66" w:rsidRDefault="00F8316B" w:rsidP="00AD65C2">
      <w:pPr>
        <w:spacing w:after="0" w:line="276" w:lineRule="auto"/>
        <w:jc w:val="both"/>
        <w:rPr>
          <w:rFonts w:ascii="Times New Roman" w:hAnsi="Times New Roman" w:cs="Times New Roman"/>
          <w:noProof/>
          <w:sz w:val="6"/>
          <w:szCs w:val="6"/>
          <w:lang w:val="ro-RO"/>
        </w:rPr>
      </w:pPr>
    </w:p>
    <w:p w14:paraId="65CD5063" w14:textId="5B5EE393" w:rsidR="0074074F" w:rsidRPr="00D77DB0" w:rsidRDefault="00AD65C2" w:rsidP="0074074F">
      <w:pPr>
        <w:spacing w:after="0" w:line="276" w:lineRule="auto"/>
        <w:jc w:val="both"/>
        <w:rPr>
          <w:rFonts w:ascii="Times New Roman" w:hAnsi="Times New Roman" w:cs="Times New Roman"/>
          <w:noProof/>
          <w:sz w:val="24"/>
          <w:szCs w:val="24"/>
          <w:lang w:val="ro-RO"/>
        </w:rPr>
      </w:pPr>
      <w:r w:rsidRPr="00D77DB0">
        <w:rPr>
          <w:rFonts w:ascii="Times New Roman" w:hAnsi="Times New Roman" w:cs="Times New Roman"/>
          <w:noProof/>
          <w:sz w:val="24"/>
          <w:szCs w:val="24"/>
          <w:lang w:val="ro-RO"/>
        </w:rPr>
        <w:t xml:space="preserve">Verificările auditului au </w:t>
      </w:r>
      <w:r w:rsidR="00D27FD4">
        <w:rPr>
          <w:rFonts w:ascii="Times New Roman" w:hAnsi="Times New Roman" w:cs="Times New Roman"/>
          <w:noProof/>
          <w:sz w:val="24"/>
          <w:szCs w:val="24"/>
          <w:lang w:val="ro-RO"/>
        </w:rPr>
        <w:t>relevat</w:t>
      </w:r>
      <w:r w:rsidR="00572EB7" w:rsidRPr="00D77DB0">
        <w:rPr>
          <w:rFonts w:ascii="Times New Roman" w:hAnsi="Times New Roman" w:cs="Times New Roman"/>
          <w:noProof/>
          <w:sz w:val="24"/>
          <w:szCs w:val="24"/>
          <w:lang w:val="ro-RO"/>
        </w:rPr>
        <w:t xml:space="preserve"> unele</w:t>
      </w:r>
      <w:r w:rsidRPr="00D77DB0">
        <w:rPr>
          <w:rFonts w:ascii="Times New Roman" w:hAnsi="Times New Roman" w:cs="Times New Roman"/>
          <w:noProof/>
          <w:sz w:val="24"/>
          <w:szCs w:val="24"/>
          <w:lang w:val="ro-RO"/>
        </w:rPr>
        <w:t xml:space="preserve"> problematici la planificarea și organizarea procedurilor de achiziții publice în cadrul BNM</w:t>
      </w:r>
      <w:r w:rsidR="00D27FD4">
        <w:rPr>
          <w:rFonts w:ascii="Times New Roman" w:hAnsi="Times New Roman" w:cs="Times New Roman"/>
          <w:noProof/>
          <w:sz w:val="24"/>
          <w:szCs w:val="24"/>
          <w:lang w:val="ro-RO"/>
        </w:rPr>
        <w:t>.</w:t>
      </w:r>
      <w:r w:rsidRPr="00D77DB0">
        <w:rPr>
          <w:rFonts w:ascii="Times New Roman" w:hAnsi="Times New Roman" w:cs="Times New Roman"/>
          <w:noProof/>
          <w:sz w:val="24"/>
          <w:szCs w:val="24"/>
          <w:lang w:val="ro-RO"/>
        </w:rPr>
        <w:t xml:space="preserve"> Astfel,</w:t>
      </w:r>
    </w:p>
    <w:p w14:paraId="1091E053" w14:textId="4EDCD610" w:rsidR="00885CD7" w:rsidRPr="00D77DB0" w:rsidRDefault="00F8316B" w:rsidP="00C46D11">
      <w:pPr>
        <w:spacing w:after="0" w:line="276" w:lineRule="auto"/>
        <w:ind w:firstLine="709"/>
        <w:jc w:val="both"/>
        <w:rPr>
          <w:rFonts w:ascii="Times New Roman" w:hAnsi="Times New Roman" w:cs="Times New Roman"/>
          <w:noProof/>
          <w:sz w:val="24"/>
          <w:szCs w:val="24"/>
          <w:lang w:val="ro-RO"/>
        </w:rPr>
      </w:pPr>
      <w:r w:rsidRPr="00D77DB0">
        <w:rPr>
          <w:rFonts w:ascii="Times New Roman" w:eastAsia="Times New Roman" w:hAnsi="Times New Roman" w:cs="Times New Roman"/>
          <w:sz w:val="24"/>
          <w:szCs w:val="24"/>
          <w:lang w:val="ro-RO"/>
        </w:rPr>
        <w:t>-</w:t>
      </w:r>
      <w:r w:rsidR="008E66BB" w:rsidRPr="00D77DB0">
        <w:rPr>
          <w:rFonts w:ascii="Times New Roman" w:eastAsia="Times New Roman" w:hAnsi="Times New Roman" w:cs="Times New Roman"/>
          <w:sz w:val="24"/>
          <w:szCs w:val="24"/>
          <w:lang w:val="ro-RO"/>
        </w:rPr>
        <w:t xml:space="preserve"> BNM</w:t>
      </w:r>
      <w:r w:rsidR="00251BE3" w:rsidRPr="00D77DB0">
        <w:rPr>
          <w:rFonts w:ascii="Times New Roman" w:eastAsia="Times New Roman" w:hAnsi="Times New Roman" w:cs="Times New Roman"/>
          <w:sz w:val="24"/>
          <w:szCs w:val="24"/>
          <w:lang w:val="ro-RO"/>
        </w:rPr>
        <w:t>,</w:t>
      </w:r>
      <w:r w:rsidR="008E66BB" w:rsidRPr="00D77DB0">
        <w:rPr>
          <w:rFonts w:ascii="Times New Roman" w:eastAsia="Times New Roman" w:hAnsi="Times New Roman" w:cs="Times New Roman"/>
          <w:sz w:val="24"/>
          <w:szCs w:val="24"/>
          <w:lang w:val="ro-RO"/>
        </w:rPr>
        <w:t xml:space="preserve"> </w:t>
      </w:r>
      <w:r w:rsidR="00251BE3" w:rsidRPr="00D77DB0">
        <w:rPr>
          <w:rFonts w:ascii="Times New Roman" w:eastAsia="Times New Roman" w:hAnsi="Times New Roman" w:cs="Times New Roman"/>
          <w:bCs/>
          <w:sz w:val="24"/>
          <w:szCs w:val="24"/>
          <w:lang w:val="ro-RO"/>
        </w:rPr>
        <w:t xml:space="preserve">în anul 2020 </w:t>
      </w:r>
      <w:r w:rsidR="00251BE3" w:rsidRPr="00D77DB0">
        <w:rPr>
          <w:rFonts w:ascii="Times New Roman" w:eastAsia="Times New Roman" w:hAnsi="Times New Roman" w:cs="Times New Roman"/>
          <w:sz w:val="24"/>
          <w:szCs w:val="24"/>
          <w:lang w:val="ro-RO"/>
        </w:rPr>
        <w:t xml:space="preserve">a </w:t>
      </w:r>
      <w:r w:rsidR="00D13530" w:rsidRPr="00D77DB0">
        <w:rPr>
          <w:rFonts w:ascii="Times New Roman" w:eastAsia="Times New Roman" w:hAnsi="Times New Roman" w:cs="Times New Roman"/>
          <w:sz w:val="24"/>
          <w:szCs w:val="24"/>
          <w:lang w:val="ro-RO"/>
        </w:rPr>
        <w:t xml:space="preserve">planificat și </w:t>
      </w:r>
      <w:r w:rsidR="00D27FD4">
        <w:rPr>
          <w:rFonts w:ascii="Times New Roman" w:eastAsia="Times New Roman" w:hAnsi="Times New Roman" w:cs="Times New Roman"/>
          <w:sz w:val="24"/>
          <w:szCs w:val="24"/>
          <w:lang w:val="ro-RO"/>
        </w:rPr>
        <w:t xml:space="preserve">a </w:t>
      </w:r>
      <w:r w:rsidR="008E66BB" w:rsidRPr="00D77DB0">
        <w:rPr>
          <w:rFonts w:ascii="Times New Roman" w:eastAsia="Times New Roman" w:hAnsi="Times New Roman" w:cs="Times New Roman"/>
          <w:sz w:val="24"/>
          <w:szCs w:val="24"/>
          <w:lang w:val="ro-RO"/>
        </w:rPr>
        <w:t>executat</w:t>
      </w:r>
      <w:r w:rsidR="00A428F5" w:rsidRPr="00D77DB0">
        <w:rPr>
          <w:rFonts w:ascii="Times New Roman" w:eastAsia="Times New Roman" w:hAnsi="Times New Roman" w:cs="Times New Roman"/>
          <w:bCs/>
          <w:sz w:val="24"/>
          <w:szCs w:val="24"/>
          <w:lang w:val="ro-RO"/>
        </w:rPr>
        <w:t xml:space="preserve"> 2 proceduri de achiziții</w:t>
      </w:r>
      <w:r w:rsidR="000F240C" w:rsidRPr="00D77DB0">
        <w:rPr>
          <w:rFonts w:ascii="Times New Roman" w:eastAsia="Times New Roman" w:hAnsi="Times New Roman" w:cs="Times New Roman"/>
          <w:bCs/>
          <w:sz w:val="24"/>
          <w:szCs w:val="24"/>
          <w:lang w:val="ro-RO"/>
        </w:rPr>
        <w:t xml:space="preserve"> de valoare mică </w:t>
      </w:r>
      <w:r w:rsidR="00A428F5" w:rsidRPr="00D77DB0">
        <w:rPr>
          <w:rFonts w:ascii="Times New Roman" w:eastAsia="Times New Roman" w:hAnsi="Times New Roman" w:cs="Times New Roman"/>
          <w:bCs/>
          <w:sz w:val="24"/>
          <w:szCs w:val="24"/>
          <w:lang w:val="ro-RO"/>
        </w:rPr>
        <w:t>în sumă</w:t>
      </w:r>
      <w:r w:rsidR="000F240C" w:rsidRPr="00D77DB0">
        <w:rPr>
          <w:rFonts w:ascii="Times New Roman" w:eastAsia="Times New Roman" w:hAnsi="Times New Roman" w:cs="Times New Roman"/>
          <w:bCs/>
          <w:sz w:val="24"/>
          <w:szCs w:val="24"/>
          <w:lang w:val="ro-RO"/>
        </w:rPr>
        <w:t xml:space="preserve"> totală </w:t>
      </w:r>
      <w:r w:rsidR="00A428F5" w:rsidRPr="00D77DB0">
        <w:rPr>
          <w:rFonts w:ascii="Times New Roman" w:eastAsia="Times New Roman" w:hAnsi="Times New Roman" w:cs="Times New Roman"/>
          <w:bCs/>
          <w:sz w:val="24"/>
          <w:szCs w:val="24"/>
          <w:lang w:val="ro-RO"/>
        </w:rPr>
        <w:t>de 400,0 mii lei</w:t>
      </w:r>
      <w:r w:rsidR="008E66BB" w:rsidRPr="00D77DB0">
        <w:rPr>
          <w:rFonts w:ascii="Times New Roman" w:eastAsia="Times New Roman" w:hAnsi="Times New Roman" w:cs="Times New Roman"/>
          <w:bCs/>
          <w:sz w:val="24"/>
          <w:szCs w:val="24"/>
          <w:lang w:val="ro-RO"/>
        </w:rPr>
        <w:t xml:space="preserve">, </w:t>
      </w:r>
      <w:r w:rsidR="00251BE3" w:rsidRPr="00D77DB0">
        <w:rPr>
          <w:rFonts w:ascii="Times New Roman" w:eastAsia="Times New Roman" w:hAnsi="Times New Roman" w:cs="Times New Roman"/>
          <w:bCs/>
          <w:sz w:val="24"/>
          <w:szCs w:val="24"/>
          <w:lang w:val="ro-RO"/>
        </w:rPr>
        <w:t>contrar prevederilor art.2 din Legea nr.131 din 03.07.2015</w:t>
      </w:r>
      <w:r w:rsidR="000F240C" w:rsidRPr="00D77DB0">
        <w:rPr>
          <w:rFonts w:ascii="Times New Roman" w:eastAsia="Times New Roman" w:hAnsi="Times New Roman" w:cs="Times New Roman"/>
          <w:bCs/>
          <w:sz w:val="24"/>
          <w:szCs w:val="24"/>
          <w:lang w:val="ro-RO"/>
        </w:rPr>
        <w:t>,</w:t>
      </w:r>
      <w:r w:rsidR="0074074F" w:rsidRPr="00D77DB0">
        <w:rPr>
          <w:rFonts w:ascii="Times New Roman" w:eastAsia="Times New Roman" w:hAnsi="Times New Roman" w:cs="Times New Roman"/>
          <w:bCs/>
          <w:sz w:val="24"/>
          <w:szCs w:val="24"/>
          <w:lang w:val="ro-RO"/>
        </w:rPr>
        <w:t xml:space="preserve"> deși urmau să fie aplicate alte proceduri de achiziții publice</w:t>
      </w:r>
      <w:r w:rsidR="00D27FD4">
        <w:rPr>
          <w:rFonts w:ascii="Times New Roman" w:eastAsia="Times New Roman" w:hAnsi="Times New Roman" w:cs="Times New Roman"/>
          <w:bCs/>
          <w:sz w:val="24"/>
          <w:szCs w:val="24"/>
          <w:lang w:val="ro-RO"/>
        </w:rPr>
        <w:t>;</w:t>
      </w:r>
      <w:r w:rsidR="008E66BB" w:rsidRPr="00D77DB0">
        <w:rPr>
          <w:rFonts w:ascii="Times New Roman" w:eastAsia="Times New Roman" w:hAnsi="Times New Roman" w:cs="Times New Roman"/>
          <w:bCs/>
          <w:sz w:val="24"/>
          <w:szCs w:val="24"/>
          <w:lang w:val="ro-RO"/>
        </w:rPr>
        <w:t xml:space="preserve"> </w:t>
      </w:r>
      <w:r w:rsidR="0074074F" w:rsidRPr="00D77DB0">
        <w:rPr>
          <w:rFonts w:ascii="Times New Roman" w:eastAsia="Times New Roman" w:hAnsi="Times New Roman" w:cs="Times New Roman"/>
          <w:bCs/>
          <w:sz w:val="24"/>
          <w:szCs w:val="24"/>
          <w:lang w:val="ro-RO"/>
        </w:rPr>
        <w:t xml:space="preserve"> </w:t>
      </w:r>
    </w:p>
    <w:p w14:paraId="47579B61" w14:textId="522F640E" w:rsidR="002C207E" w:rsidRPr="00650D66" w:rsidRDefault="00885CD7" w:rsidP="00885CD7">
      <w:pPr>
        <w:tabs>
          <w:tab w:val="left" w:pos="851"/>
        </w:tabs>
        <w:spacing w:after="0" w:line="276" w:lineRule="auto"/>
        <w:ind w:firstLine="709"/>
        <w:jc w:val="both"/>
        <w:rPr>
          <w:rFonts w:ascii="Times New Roman" w:hAnsi="Times New Roman" w:cs="Times New Roman"/>
          <w:sz w:val="24"/>
          <w:szCs w:val="24"/>
          <w:lang w:val="ro-RO"/>
        </w:rPr>
      </w:pPr>
      <w:r w:rsidRPr="00D77DB0">
        <w:rPr>
          <w:rFonts w:ascii="Times New Roman" w:hAnsi="Times New Roman" w:cs="Times New Roman"/>
          <w:sz w:val="24"/>
          <w:szCs w:val="24"/>
          <w:lang w:val="ro-RO"/>
        </w:rPr>
        <w:t>-</w:t>
      </w:r>
      <w:r w:rsidR="00263E6F">
        <w:rPr>
          <w:rFonts w:ascii="Times New Roman" w:hAnsi="Times New Roman" w:cs="Times New Roman"/>
          <w:sz w:val="24"/>
          <w:szCs w:val="24"/>
          <w:lang w:val="ro-RO"/>
        </w:rPr>
        <w:t xml:space="preserve"> </w:t>
      </w:r>
      <w:r w:rsidR="00263E6F">
        <w:rPr>
          <w:rFonts w:ascii="Times New Roman" w:hAnsi="Times New Roman" w:cs="Times New Roman"/>
          <w:bCs/>
          <w:noProof/>
          <w:sz w:val="24"/>
          <w:szCs w:val="24"/>
          <w:lang w:val="ro-RO"/>
        </w:rPr>
        <w:t>a</w:t>
      </w:r>
      <w:r w:rsidR="002C207E" w:rsidRPr="00D77DB0">
        <w:rPr>
          <w:rFonts w:ascii="Times New Roman" w:hAnsi="Times New Roman" w:cs="Times New Roman"/>
          <w:bCs/>
          <w:noProof/>
          <w:sz w:val="24"/>
          <w:szCs w:val="24"/>
          <w:lang w:val="ro-RO"/>
        </w:rPr>
        <w:t>u fost planificate alocații pentru servicii de curățenie în sumă de 983,0 mii lei</w:t>
      </w:r>
      <w:r w:rsidR="00D27FD4">
        <w:rPr>
          <w:rFonts w:ascii="Times New Roman" w:hAnsi="Times New Roman" w:cs="Times New Roman"/>
          <w:bCs/>
          <w:noProof/>
          <w:sz w:val="24"/>
          <w:szCs w:val="24"/>
          <w:lang w:val="ro-RO"/>
        </w:rPr>
        <w:t>,</w:t>
      </w:r>
      <w:r w:rsidR="002C207E" w:rsidRPr="00D77DB0">
        <w:rPr>
          <w:rFonts w:ascii="Times New Roman" w:hAnsi="Times New Roman" w:cs="Times New Roman"/>
          <w:bCs/>
          <w:noProof/>
          <w:sz w:val="24"/>
          <w:szCs w:val="24"/>
          <w:lang w:val="ro-RO"/>
        </w:rPr>
        <w:t xml:space="preserve"> din care au fost executate cheltuieli în sumă de 974,2 mii lei</w:t>
      </w:r>
      <w:r w:rsidR="00D27FD4">
        <w:rPr>
          <w:rFonts w:ascii="Times New Roman" w:hAnsi="Times New Roman" w:cs="Times New Roman"/>
          <w:bCs/>
          <w:noProof/>
          <w:sz w:val="24"/>
          <w:szCs w:val="24"/>
          <w:lang w:val="ro-RO"/>
        </w:rPr>
        <w:t>,</w:t>
      </w:r>
      <w:r w:rsidR="002C207E" w:rsidRPr="00D77DB0">
        <w:rPr>
          <w:rFonts w:ascii="Times New Roman" w:hAnsi="Times New Roman" w:cs="Times New Roman"/>
          <w:bCs/>
          <w:noProof/>
          <w:sz w:val="24"/>
          <w:szCs w:val="24"/>
          <w:lang w:val="ro-RO"/>
        </w:rPr>
        <w:t xml:space="preserve"> sau 99,1%, în baza: </w:t>
      </w:r>
      <w:r w:rsidR="002C207E" w:rsidRPr="00D77DB0">
        <w:rPr>
          <w:rFonts w:ascii="Times New Roman" w:hAnsi="Times New Roman" w:cs="Times New Roman"/>
          <w:bCs/>
          <w:i/>
          <w:noProof/>
          <w:sz w:val="24"/>
          <w:szCs w:val="24"/>
          <w:lang w:val="ro-RO"/>
        </w:rPr>
        <w:t xml:space="preserve">(i) </w:t>
      </w:r>
      <w:r w:rsidR="002C207E" w:rsidRPr="00D77DB0">
        <w:rPr>
          <w:rFonts w:ascii="Times New Roman" w:hAnsi="Times New Roman" w:cs="Times New Roman"/>
          <w:bCs/>
          <w:noProof/>
          <w:sz w:val="24"/>
          <w:szCs w:val="24"/>
          <w:lang w:val="ro-RO"/>
        </w:rPr>
        <w:t>contractului nr.24/19/2022-VM din 27.01.2022, pentru perioada 03.01.2022 – 28.02.2022</w:t>
      </w:r>
      <w:r w:rsidR="002C207E" w:rsidRPr="00650D66">
        <w:rPr>
          <w:rFonts w:ascii="Times New Roman" w:hAnsi="Times New Roman" w:cs="Times New Roman"/>
          <w:bCs/>
          <w:noProof/>
          <w:sz w:val="24"/>
          <w:szCs w:val="24"/>
          <w:lang w:val="ro-RO"/>
        </w:rPr>
        <w:t>, în sumă de 177,7 mii lei, din care în anul 2022 s-a</w:t>
      </w:r>
      <w:r w:rsidR="00D27FD4">
        <w:rPr>
          <w:rFonts w:ascii="Times New Roman" w:hAnsi="Times New Roman" w:cs="Times New Roman"/>
          <w:bCs/>
          <w:noProof/>
          <w:sz w:val="24"/>
          <w:szCs w:val="24"/>
          <w:lang w:val="ro-RO"/>
        </w:rPr>
        <w:t>u</w:t>
      </w:r>
      <w:r w:rsidR="002C207E" w:rsidRPr="00650D66">
        <w:rPr>
          <w:rFonts w:ascii="Times New Roman" w:hAnsi="Times New Roman" w:cs="Times New Roman"/>
          <w:bCs/>
          <w:noProof/>
          <w:sz w:val="24"/>
          <w:szCs w:val="24"/>
          <w:lang w:val="ro-RO"/>
        </w:rPr>
        <w:t xml:space="preserve"> executat 136,5 mii lei; </w:t>
      </w:r>
      <w:r w:rsidR="002C207E" w:rsidRPr="00650D66">
        <w:rPr>
          <w:rFonts w:ascii="Times New Roman" w:hAnsi="Times New Roman" w:cs="Times New Roman"/>
          <w:bCs/>
          <w:i/>
          <w:noProof/>
          <w:sz w:val="24"/>
          <w:szCs w:val="24"/>
          <w:lang w:val="ro-RO"/>
        </w:rPr>
        <w:t>(ii)</w:t>
      </w:r>
      <w:r w:rsidR="002C207E" w:rsidRPr="00650D66">
        <w:rPr>
          <w:rFonts w:ascii="Times New Roman" w:hAnsi="Times New Roman" w:cs="Times New Roman"/>
          <w:bCs/>
          <w:noProof/>
          <w:sz w:val="24"/>
          <w:szCs w:val="24"/>
          <w:lang w:val="ro-RO"/>
        </w:rPr>
        <w:t xml:space="preserve"> </w:t>
      </w:r>
      <w:r w:rsidR="002C207E" w:rsidRPr="00650D66">
        <w:rPr>
          <w:rFonts w:ascii="Times New Roman" w:hAnsi="Times New Roman" w:cs="Times New Roman"/>
          <w:noProof/>
          <w:sz w:val="24"/>
          <w:szCs w:val="24"/>
          <w:lang w:val="ro-RO"/>
        </w:rPr>
        <w:t xml:space="preserve">contractului nr.24/45/2022-LD din 28.02.2022 </w:t>
      </w:r>
      <w:r w:rsidR="00D32170" w:rsidRPr="00650D66">
        <w:rPr>
          <w:rFonts w:ascii="Times New Roman" w:hAnsi="Times New Roman" w:cs="Times New Roman"/>
          <w:noProof/>
          <w:sz w:val="24"/>
          <w:szCs w:val="24"/>
          <w:lang w:val="ro-RO"/>
        </w:rPr>
        <w:t xml:space="preserve">încheiat </w:t>
      </w:r>
      <w:r w:rsidR="002C207E" w:rsidRPr="00650D66">
        <w:rPr>
          <w:rFonts w:ascii="Times New Roman" w:hAnsi="Times New Roman" w:cs="Times New Roman"/>
          <w:noProof/>
          <w:sz w:val="24"/>
          <w:szCs w:val="24"/>
          <w:lang w:val="ro-RO"/>
        </w:rPr>
        <w:t xml:space="preserve">cu </w:t>
      </w:r>
      <w:r w:rsidR="00D32170" w:rsidRPr="00650D66">
        <w:rPr>
          <w:rFonts w:ascii="Times New Roman" w:hAnsi="Times New Roman" w:cs="Times New Roman"/>
          <w:noProof/>
          <w:sz w:val="24"/>
          <w:szCs w:val="24"/>
          <w:lang w:val="ro-RO"/>
        </w:rPr>
        <w:t>același agent economic</w:t>
      </w:r>
      <w:r w:rsidR="002C207E" w:rsidRPr="00650D66">
        <w:rPr>
          <w:rFonts w:ascii="Times New Roman" w:hAnsi="Times New Roman" w:cs="Times New Roman"/>
          <w:noProof/>
          <w:sz w:val="24"/>
          <w:szCs w:val="24"/>
          <w:lang w:val="ro-RO"/>
        </w:rPr>
        <w:t xml:space="preserve">, </w:t>
      </w:r>
      <w:r w:rsidR="002C207E" w:rsidRPr="00650D66">
        <w:rPr>
          <w:rFonts w:ascii="Times New Roman" w:hAnsi="Times New Roman" w:cs="Times New Roman"/>
          <w:bCs/>
          <w:noProof/>
          <w:sz w:val="24"/>
          <w:szCs w:val="24"/>
          <w:lang w:val="ro-RO"/>
        </w:rPr>
        <w:t>pentru perioada 01.03.2022 – 15.01.2023, în sumă de 933,7 mii lei, din care în anul 2022 s-a</w:t>
      </w:r>
      <w:r w:rsidR="00D27FD4">
        <w:rPr>
          <w:rFonts w:ascii="Times New Roman" w:hAnsi="Times New Roman" w:cs="Times New Roman"/>
          <w:bCs/>
          <w:noProof/>
          <w:sz w:val="24"/>
          <w:szCs w:val="24"/>
          <w:lang w:val="ro-RO"/>
        </w:rPr>
        <w:t>u</w:t>
      </w:r>
      <w:r w:rsidR="002C207E" w:rsidRPr="00650D66">
        <w:rPr>
          <w:rFonts w:ascii="Times New Roman" w:hAnsi="Times New Roman" w:cs="Times New Roman"/>
          <w:bCs/>
          <w:noProof/>
          <w:sz w:val="24"/>
          <w:szCs w:val="24"/>
          <w:lang w:val="ro-RO"/>
        </w:rPr>
        <w:t xml:space="preserve"> executat 741,5 mii lei. Auditul a constatat că, contractul de valoare mică este încheiat cu data ulterioară față de perioada de executare a contractului. </w:t>
      </w:r>
      <w:r w:rsidRPr="00650D66">
        <w:rPr>
          <w:rFonts w:ascii="Times New Roman" w:hAnsi="Times New Roman" w:cs="Times New Roman"/>
          <w:bCs/>
          <w:noProof/>
          <w:sz w:val="24"/>
          <w:szCs w:val="24"/>
          <w:lang w:val="ro-RO"/>
        </w:rPr>
        <w:t xml:space="preserve">Conform motivației BNM, formalitățile de procedură au durat în timp, dar serviciile au fost </w:t>
      </w:r>
      <w:r w:rsidRPr="00650D66">
        <w:rPr>
          <w:rFonts w:ascii="Times New Roman" w:hAnsi="Times New Roman" w:cs="Times New Roman"/>
          <w:bCs/>
          <w:noProof/>
          <w:sz w:val="24"/>
          <w:szCs w:val="24"/>
          <w:lang w:val="ro-RO"/>
        </w:rPr>
        <w:lastRenderedPageBreak/>
        <w:t>prestate de la începutul lunii ianuarie de către operatorul economic care a depus oferta corespunzătoare la prețul cel mai scăzut în cadrul licitației deschise, cu încheierea unui contract de valoare mică pe perioada soluționării de către ANSC a contestației depuse</w:t>
      </w:r>
      <w:r w:rsidR="00D27FD4">
        <w:rPr>
          <w:rFonts w:ascii="Times New Roman" w:hAnsi="Times New Roman" w:cs="Times New Roman"/>
          <w:bCs/>
          <w:noProof/>
          <w:sz w:val="24"/>
          <w:szCs w:val="24"/>
          <w:lang w:val="ro-RO"/>
        </w:rPr>
        <w:t>;</w:t>
      </w:r>
    </w:p>
    <w:p w14:paraId="06F0C02B" w14:textId="26CACF73" w:rsidR="00983315" w:rsidRPr="00110580" w:rsidRDefault="002C207E" w:rsidP="00C56304">
      <w:pPr>
        <w:pStyle w:val="ListParagraph"/>
        <w:numPr>
          <w:ilvl w:val="0"/>
          <w:numId w:val="4"/>
        </w:numPr>
        <w:tabs>
          <w:tab w:val="left" w:pos="284"/>
          <w:tab w:val="left" w:pos="993"/>
        </w:tabs>
        <w:spacing w:after="0" w:line="276" w:lineRule="auto"/>
        <w:ind w:left="0" w:firstLine="709"/>
        <w:jc w:val="both"/>
        <w:rPr>
          <w:rFonts w:ascii="Times New Roman" w:hAnsi="Times New Roman" w:cs="Times New Roman"/>
          <w:bCs/>
          <w:sz w:val="24"/>
          <w:szCs w:val="24"/>
          <w:lang w:val="ro-RO"/>
        </w:rPr>
      </w:pPr>
      <w:r w:rsidRPr="00D36F01">
        <w:rPr>
          <w:rFonts w:ascii="Times New Roman" w:hAnsi="Times New Roman" w:cs="Times New Roman"/>
          <w:bCs/>
          <w:sz w:val="24"/>
          <w:szCs w:val="24"/>
          <w:lang w:val="ro-RO"/>
        </w:rPr>
        <w:t>în perioada 2019-2022</w:t>
      </w:r>
      <w:r w:rsidR="00D17C67">
        <w:rPr>
          <w:rFonts w:ascii="Times New Roman" w:hAnsi="Times New Roman" w:cs="Times New Roman"/>
          <w:bCs/>
          <w:sz w:val="24"/>
          <w:szCs w:val="24"/>
          <w:lang w:val="ro-RO"/>
        </w:rPr>
        <w:t>,</w:t>
      </w:r>
      <w:r w:rsidRPr="00D36F01">
        <w:rPr>
          <w:rFonts w:ascii="Times New Roman" w:hAnsi="Times New Roman" w:cs="Times New Roman"/>
          <w:bCs/>
          <w:sz w:val="24"/>
          <w:szCs w:val="24"/>
          <w:lang w:val="ro-RO"/>
        </w:rPr>
        <w:t xml:space="preserve"> </w:t>
      </w:r>
      <w:r w:rsidR="00C979FF">
        <w:rPr>
          <w:rFonts w:ascii="Times New Roman" w:hAnsi="Times New Roman" w:cs="Times New Roman"/>
          <w:bCs/>
          <w:sz w:val="24"/>
          <w:szCs w:val="24"/>
          <w:lang w:val="ro-RO"/>
        </w:rPr>
        <w:t xml:space="preserve">BNM </w:t>
      </w:r>
      <w:r w:rsidRPr="00D36F01">
        <w:rPr>
          <w:rFonts w:ascii="Times New Roman" w:hAnsi="Times New Roman" w:cs="Times New Roman"/>
          <w:bCs/>
          <w:sz w:val="24"/>
          <w:szCs w:val="24"/>
          <w:lang w:val="ro-RO"/>
        </w:rPr>
        <w:t>a contractat servicii de formare profesională</w:t>
      </w:r>
      <w:r w:rsidR="00C979FF">
        <w:rPr>
          <w:rFonts w:ascii="Times New Roman" w:hAnsi="Times New Roman" w:cs="Times New Roman"/>
          <w:bCs/>
          <w:sz w:val="24"/>
          <w:szCs w:val="24"/>
          <w:lang w:val="ro-RO"/>
        </w:rPr>
        <w:t>, a</w:t>
      </w:r>
      <w:r w:rsidRPr="00D36F01">
        <w:rPr>
          <w:rFonts w:ascii="Times New Roman" w:hAnsi="Times New Roman" w:cs="Times New Roman"/>
          <w:bCs/>
          <w:sz w:val="24"/>
          <w:szCs w:val="24"/>
          <w:lang w:val="ro-RO"/>
        </w:rPr>
        <w:t xml:space="preserve">uditul  </w:t>
      </w:r>
      <w:r w:rsidR="00C979FF" w:rsidRPr="00D36F01">
        <w:rPr>
          <w:rFonts w:ascii="Times New Roman" w:hAnsi="Times New Roman" w:cs="Times New Roman"/>
          <w:bCs/>
          <w:sz w:val="24"/>
          <w:szCs w:val="24"/>
          <w:lang w:val="ro-RO"/>
        </w:rPr>
        <w:t>constat</w:t>
      </w:r>
      <w:r w:rsidR="00C979FF">
        <w:rPr>
          <w:rFonts w:ascii="Times New Roman" w:hAnsi="Times New Roman" w:cs="Times New Roman"/>
          <w:bCs/>
          <w:sz w:val="24"/>
          <w:szCs w:val="24"/>
          <w:lang w:val="ro-RO"/>
        </w:rPr>
        <w:t>ând</w:t>
      </w:r>
      <w:r w:rsidRPr="00D36F01">
        <w:rPr>
          <w:rFonts w:ascii="Times New Roman" w:hAnsi="Times New Roman" w:cs="Times New Roman"/>
          <w:bCs/>
          <w:sz w:val="24"/>
          <w:szCs w:val="24"/>
          <w:lang w:val="ro-RO"/>
        </w:rPr>
        <w:t xml:space="preserve"> că</w:t>
      </w:r>
      <w:r w:rsidRPr="00110580">
        <w:rPr>
          <w:rFonts w:ascii="Times New Roman" w:hAnsi="Times New Roman" w:cs="Times New Roman"/>
          <w:bCs/>
          <w:sz w:val="24"/>
          <w:szCs w:val="24"/>
          <w:lang w:val="ro-RO"/>
        </w:rPr>
        <w:t xml:space="preserve"> BNM a evitat organizarea procedurilor de achiziții conforme. Astfel, </w:t>
      </w:r>
      <w:r w:rsidRPr="00110580">
        <w:rPr>
          <w:rFonts w:ascii="Times New Roman" w:hAnsi="Times New Roman" w:cs="Times New Roman"/>
          <w:bCs/>
          <w:i/>
          <w:sz w:val="24"/>
          <w:szCs w:val="24"/>
          <w:lang w:val="ro-RO"/>
        </w:rPr>
        <w:t>(i)</w:t>
      </w:r>
      <w:r w:rsidRPr="00110580">
        <w:rPr>
          <w:rFonts w:ascii="Times New Roman" w:hAnsi="Times New Roman" w:cs="Times New Roman"/>
          <w:bCs/>
          <w:sz w:val="24"/>
          <w:szCs w:val="24"/>
          <w:lang w:val="ro-RO"/>
        </w:rPr>
        <w:t xml:space="preserve"> în anul 2020</w:t>
      </w:r>
      <w:r w:rsidR="00D27FD4">
        <w:rPr>
          <w:rFonts w:ascii="Times New Roman" w:hAnsi="Times New Roman" w:cs="Times New Roman"/>
          <w:bCs/>
          <w:sz w:val="24"/>
          <w:szCs w:val="24"/>
          <w:lang w:val="ro-RO"/>
        </w:rPr>
        <w:t>,</w:t>
      </w:r>
      <w:r w:rsidRPr="00110580">
        <w:rPr>
          <w:rFonts w:ascii="Times New Roman" w:hAnsi="Times New Roman" w:cs="Times New Roman"/>
          <w:bCs/>
          <w:sz w:val="24"/>
          <w:szCs w:val="24"/>
          <w:lang w:val="ro-RO"/>
        </w:rPr>
        <w:t xml:space="preserve"> 7 contracte de valoare mică</w:t>
      </w:r>
      <w:r w:rsidR="00C979FF" w:rsidRPr="00110580">
        <w:rPr>
          <w:rFonts w:ascii="Times New Roman" w:hAnsi="Times New Roman" w:cs="Times New Roman"/>
          <w:bCs/>
          <w:sz w:val="24"/>
          <w:szCs w:val="24"/>
          <w:lang w:val="ro-RO"/>
        </w:rPr>
        <w:t xml:space="preserve"> (</w:t>
      </w:r>
      <w:r w:rsidRPr="00110580">
        <w:rPr>
          <w:rFonts w:ascii="Times New Roman" w:hAnsi="Times New Roman" w:cs="Times New Roman"/>
          <w:bCs/>
          <w:sz w:val="24"/>
          <w:szCs w:val="24"/>
          <w:lang w:val="ro-RO"/>
        </w:rPr>
        <w:t>10,5 mii euro</w:t>
      </w:r>
      <w:r w:rsidR="00C979FF" w:rsidRPr="00110580">
        <w:rPr>
          <w:rFonts w:ascii="Times New Roman" w:hAnsi="Times New Roman" w:cs="Times New Roman"/>
          <w:bCs/>
          <w:sz w:val="24"/>
          <w:szCs w:val="24"/>
          <w:lang w:val="ro-RO"/>
        </w:rPr>
        <w:t xml:space="preserve"> și de </w:t>
      </w:r>
      <w:r w:rsidRPr="00110580">
        <w:rPr>
          <w:rFonts w:ascii="Times New Roman" w:hAnsi="Times New Roman" w:cs="Times New Roman"/>
          <w:bCs/>
          <w:sz w:val="24"/>
          <w:szCs w:val="24"/>
          <w:lang w:val="ro-RO"/>
        </w:rPr>
        <w:t>3,9 mii RON</w:t>
      </w:r>
      <w:r w:rsidR="00C979FF" w:rsidRPr="00110580">
        <w:rPr>
          <w:rFonts w:ascii="Times New Roman" w:hAnsi="Times New Roman" w:cs="Times New Roman"/>
          <w:bCs/>
          <w:sz w:val="24"/>
          <w:szCs w:val="24"/>
          <w:lang w:val="ro-RO"/>
        </w:rPr>
        <w:t>)</w:t>
      </w:r>
      <w:r w:rsidRPr="00110580">
        <w:rPr>
          <w:rFonts w:ascii="Times New Roman" w:hAnsi="Times New Roman" w:cs="Times New Roman"/>
          <w:bCs/>
          <w:sz w:val="24"/>
          <w:szCs w:val="24"/>
          <w:lang w:val="ro-RO"/>
        </w:rPr>
        <w:t xml:space="preserve"> fiind executate în sumă de 207,3 mii lei; în baza a 2 </w:t>
      </w:r>
      <w:r w:rsidR="005B36BD">
        <w:rPr>
          <w:rFonts w:ascii="Times New Roman" w:hAnsi="Times New Roman" w:cs="Times New Roman"/>
          <w:bCs/>
          <w:sz w:val="24"/>
          <w:szCs w:val="24"/>
          <w:lang w:val="ro-RO"/>
        </w:rPr>
        <w:t>facturi</w:t>
      </w:r>
      <w:r w:rsidRPr="00110580">
        <w:rPr>
          <w:rFonts w:ascii="Times New Roman" w:hAnsi="Times New Roman" w:cs="Times New Roman"/>
          <w:bCs/>
          <w:sz w:val="24"/>
          <w:szCs w:val="24"/>
          <w:lang w:val="ro-RO"/>
        </w:rPr>
        <w:t xml:space="preserve"> – 6,4 mii lei; </w:t>
      </w:r>
      <w:r w:rsidRPr="00110580">
        <w:rPr>
          <w:rFonts w:ascii="Times New Roman" w:hAnsi="Times New Roman" w:cs="Times New Roman"/>
          <w:bCs/>
          <w:i/>
          <w:sz w:val="24"/>
          <w:szCs w:val="24"/>
          <w:lang w:val="ro-RO"/>
        </w:rPr>
        <w:t>(ii)</w:t>
      </w:r>
      <w:r w:rsidRPr="00110580">
        <w:rPr>
          <w:rFonts w:ascii="Times New Roman" w:hAnsi="Times New Roman" w:cs="Times New Roman"/>
          <w:bCs/>
          <w:sz w:val="24"/>
          <w:szCs w:val="24"/>
          <w:lang w:val="ro-RO"/>
        </w:rPr>
        <w:t xml:space="preserve"> în anul 2021 – 3 contracte de valoare mică în sumă de 10,5 mii euro</w:t>
      </w:r>
      <w:r w:rsidR="00D27FD4">
        <w:rPr>
          <w:rFonts w:ascii="Times New Roman" w:hAnsi="Times New Roman" w:cs="Times New Roman"/>
          <w:bCs/>
          <w:sz w:val="24"/>
          <w:szCs w:val="24"/>
          <w:lang w:val="ro-RO"/>
        </w:rPr>
        <w:t>,</w:t>
      </w:r>
      <w:r w:rsidRPr="00110580">
        <w:rPr>
          <w:rFonts w:ascii="Times New Roman" w:hAnsi="Times New Roman" w:cs="Times New Roman"/>
          <w:bCs/>
          <w:sz w:val="24"/>
          <w:szCs w:val="24"/>
          <w:lang w:val="ro-RO"/>
        </w:rPr>
        <w:t xml:space="preserve"> fiind executat 59,9 mii lei; în baza a 5 </w:t>
      </w:r>
      <w:r w:rsidR="005B36BD">
        <w:rPr>
          <w:rFonts w:ascii="Times New Roman" w:hAnsi="Times New Roman" w:cs="Times New Roman"/>
          <w:bCs/>
          <w:sz w:val="24"/>
          <w:szCs w:val="24"/>
          <w:lang w:val="ro-RO"/>
        </w:rPr>
        <w:t>facturi</w:t>
      </w:r>
      <w:r w:rsidRPr="00110580">
        <w:rPr>
          <w:rFonts w:ascii="Times New Roman" w:hAnsi="Times New Roman" w:cs="Times New Roman"/>
          <w:bCs/>
          <w:sz w:val="24"/>
          <w:szCs w:val="24"/>
          <w:lang w:val="ro-RO"/>
        </w:rPr>
        <w:t xml:space="preserve"> – 31,4 mii lei; </w:t>
      </w:r>
      <w:r w:rsidRPr="00110580">
        <w:rPr>
          <w:rFonts w:ascii="Times New Roman" w:hAnsi="Times New Roman" w:cs="Times New Roman"/>
          <w:bCs/>
          <w:i/>
          <w:sz w:val="24"/>
          <w:szCs w:val="24"/>
          <w:lang w:val="ro-RO"/>
        </w:rPr>
        <w:t>(iii)</w:t>
      </w:r>
      <w:r w:rsidRPr="00110580">
        <w:rPr>
          <w:rFonts w:ascii="Times New Roman" w:hAnsi="Times New Roman" w:cs="Times New Roman"/>
          <w:bCs/>
          <w:sz w:val="24"/>
          <w:szCs w:val="24"/>
          <w:lang w:val="ro-RO"/>
        </w:rPr>
        <w:t xml:space="preserve"> și în anul 2022 – 6 contracte de valoare mică</w:t>
      </w:r>
      <w:r w:rsidR="0062212B" w:rsidRPr="00110580">
        <w:rPr>
          <w:rFonts w:ascii="Times New Roman" w:hAnsi="Times New Roman" w:cs="Times New Roman"/>
          <w:bCs/>
          <w:sz w:val="24"/>
          <w:szCs w:val="24"/>
          <w:lang w:val="ro-RO"/>
        </w:rPr>
        <w:t xml:space="preserve"> (</w:t>
      </w:r>
      <w:r w:rsidRPr="00110580">
        <w:rPr>
          <w:rFonts w:ascii="Times New Roman" w:hAnsi="Times New Roman" w:cs="Times New Roman"/>
          <w:bCs/>
          <w:sz w:val="24"/>
          <w:szCs w:val="24"/>
          <w:lang w:val="ro-RO"/>
        </w:rPr>
        <w:t>17,3 mii euro</w:t>
      </w:r>
      <w:r w:rsidR="0062212B" w:rsidRPr="00110580">
        <w:rPr>
          <w:rFonts w:ascii="Times New Roman" w:hAnsi="Times New Roman" w:cs="Times New Roman"/>
          <w:bCs/>
          <w:sz w:val="24"/>
          <w:szCs w:val="24"/>
          <w:lang w:val="ro-RO"/>
        </w:rPr>
        <w:t xml:space="preserve"> și </w:t>
      </w:r>
      <w:r w:rsidRPr="00110580">
        <w:rPr>
          <w:rFonts w:ascii="Times New Roman" w:hAnsi="Times New Roman" w:cs="Times New Roman"/>
          <w:bCs/>
          <w:sz w:val="24"/>
          <w:szCs w:val="24"/>
          <w:lang w:val="ro-RO"/>
        </w:rPr>
        <w:t>4,9 mii RON</w:t>
      </w:r>
      <w:r w:rsidR="0062212B" w:rsidRPr="00110580">
        <w:rPr>
          <w:rFonts w:ascii="Times New Roman" w:hAnsi="Times New Roman" w:cs="Times New Roman"/>
          <w:bCs/>
          <w:sz w:val="24"/>
          <w:szCs w:val="24"/>
          <w:lang w:val="ro-RO"/>
        </w:rPr>
        <w:t>)</w:t>
      </w:r>
      <w:r w:rsidR="00D27FD4">
        <w:rPr>
          <w:rFonts w:ascii="Times New Roman" w:hAnsi="Times New Roman" w:cs="Times New Roman"/>
          <w:bCs/>
          <w:sz w:val="24"/>
          <w:szCs w:val="24"/>
          <w:lang w:val="ro-RO"/>
        </w:rPr>
        <w:t>,</w:t>
      </w:r>
      <w:r w:rsidRPr="00110580">
        <w:rPr>
          <w:rFonts w:ascii="Times New Roman" w:hAnsi="Times New Roman" w:cs="Times New Roman"/>
          <w:bCs/>
          <w:sz w:val="24"/>
          <w:szCs w:val="24"/>
          <w:lang w:val="ro-RO"/>
        </w:rPr>
        <w:t xml:space="preserve"> fiind executate 230,5 mii lei; în baza a 3 </w:t>
      </w:r>
      <w:r w:rsidR="005B36BD">
        <w:rPr>
          <w:rFonts w:ascii="Times New Roman" w:hAnsi="Times New Roman" w:cs="Times New Roman"/>
          <w:bCs/>
          <w:sz w:val="24"/>
          <w:szCs w:val="24"/>
          <w:lang w:val="ro-RO"/>
        </w:rPr>
        <w:t>facturi</w:t>
      </w:r>
      <w:r w:rsidRPr="00110580">
        <w:rPr>
          <w:rFonts w:ascii="Times New Roman" w:hAnsi="Times New Roman" w:cs="Times New Roman"/>
          <w:bCs/>
          <w:sz w:val="24"/>
          <w:szCs w:val="24"/>
          <w:lang w:val="ro-RO"/>
        </w:rPr>
        <w:t xml:space="preserve"> – 14,2 mii lei.</w:t>
      </w:r>
      <w:r w:rsidR="00983315" w:rsidRPr="00110580">
        <w:rPr>
          <w:rFonts w:ascii="Calibri" w:hAnsi="Calibri" w:cs="Calibri"/>
          <w:color w:val="212121"/>
          <w:sz w:val="20"/>
          <w:szCs w:val="20"/>
          <w:shd w:val="clear" w:color="auto" w:fill="FFFFFF"/>
        </w:rPr>
        <w:t xml:space="preserve"> </w:t>
      </w:r>
    </w:p>
    <w:p w14:paraId="5D08E29F" w14:textId="0A5532D4" w:rsidR="00542C97" w:rsidRPr="00110580" w:rsidRDefault="00AA7FD4" w:rsidP="00983315">
      <w:pPr>
        <w:tabs>
          <w:tab w:val="left" w:pos="284"/>
          <w:tab w:val="left" w:pos="993"/>
        </w:tabs>
        <w:spacing w:after="0" w:line="276" w:lineRule="auto"/>
        <w:jc w:val="both"/>
        <w:rPr>
          <w:rFonts w:ascii="Times New Roman" w:hAnsi="Times New Roman" w:cs="Times New Roman"/>
          <w:bCs/>
          <w:i/>
          <w:sz w:val="24"/>
          <w:szCs w:val="24"/>
          <w:lang w:val="ro-RO"/>
        </w:rPr>
      </w:pPr>
      <w:r w:rsidRPr="00110580">
        <w:rPr>
          <w:rFonts w:ascii="Times New Roman" w:hAnsi="Times New Roman" w:cs="Times New Roman"/>
          <w:b/>
          <w:bCs/>
          <w:i/>
          <w:sz w:val="24"/>
          <w:szCs w:val="24"/>
        </w:rPr>
        <w:t>Notă:</w:t>
      </w:r>
      <w:r w:rsidRPr="00110580">
        <w:rPr>
          <w:rFonts w:ascii="Times New Roman" w:hAnsi="Times New Roman" w:cs="Times New Roman"/>
          <w:bCs/>
          <w:i/>
          <w:sz w:val="24"/>
          <w:szCs w:val="24"/>
        </w:rPr>
        <w:t xml:space="preserve"> </w:t>
      </w:r>
      <w:r w:rsidR="00983315" w:rsidRPr="00110580">
        <w:rPr>
          <w:rFonts w:ascii="Times New Roman" w:hAnsi="Times New Roman" w:cs="Times New Roman"/>
          <w:bCs/>
          <w:i/>
          <w:sz w:val="24"/>
          <w:szCs w:val="24"/>
        </w:rPr>
        <w:t xml:space="preserve">Pentru anul 2024, BNM a semnat </w:t>
      </w:r>
      <w:r w:rsidR="00D27FD4">
        <w:rPr>
          <w:rFonts w:ascii="Times New Roman" w:hAnsi="Times New Roman" w:cs="Times New Roman"/>
          <w:bCs/>
          <w:i/>
          <w:sz w:val="24"/>
          <w:szCs w:val="24"/>
        </w:rPr>
        <w:t>C</w:t>
      </w:r>
      <w:r w:rsidR="00983315" w:rsidRPr="00110580">
        <w:rPr>
          <w:rFonts w:ascii="Times New Roman" w:hAnsi="Times New Roman" w:cs="Times New Roman"/>
          <w:bCs/>
          <w:i/>
          <w:sz w:val="24"/>
          <w:szCs w:val="24"/>
        </w:rPr>
        <w:t>ontract</w:t>
      </w:r>
      <w:r w:rsidR="00D27FD4">
        <w:rPr>
          <w:rFonts w:ascii="Times New Roman" w:hAnsi="Times New Roman" w:cs="Times New Roman"/>
          <w:bCs/>
          <w:i/>
          <w:sz w:val="24"/>
          <w:szCs w:val="24"/>
        </w:rPr>
        <w:t>ul</w:t>
      </w:r>
      <w:r w:rsidR="00983315" w:rsidRPr="00110580">
        <w:rPr>
          <w:rFonts w:ascii="Times New Roman" w:hAnsi="Times New Roman" w:cs="Times New Roman"/>
          <w:bCs/>
          <w:i/>
          <w:sz w:val="24"/>
          <w:szCs w:val="24"/>
        </w:rPr>
        <w:t xml:space="preserve"> de valoare mică nr.15/17/2024-VM din 25.01.2024 privind achiziția serviciilor de formare, programe, certificări etc., cu suma totală orientativă de 20</w:t>
      </w:r>
      <w:r w:rsidR="00D27FD4">
        <w:rPr>
          <w:rFonts w:ascii="Times New Roman" w:hAnsi="Times New Roman" w:cs="Times New Roman"/>
          <w:bCs/>
          <w:i/>
          <w:sz w:val="24"/>
          <w:szCs w:val="24"/>
        </w:rPr>
        <w:t>.</w:t>
      </w:r>
      <w:r w:rsidR="00983315" w:rsidRPr="00110580">
        <w:rPr>
          <w:rFonts w:ascii="Times New Roman" w:hAnsi="Times New Roman" w:cs="Times New Roman"/>
          <w:bCs/>
          <w:i/>
          <w:sz w:val="24"/>
          <w:szCs w:val="24"/>
        </w:rPr>
        <w:t xml:space="preserve">764,00 </w:t>
      </w:r>
      <w:r w:rsidR="00D27FD4">
        <w:rPr>
          <w:rFonts w:ascii="Times New Roman" w:hAnsi="Times New Roman" w:cs="Times New Roman"/>
          <w:bCs/>
          <w:i/>
          <w:sz w:val="24"/>
          <w:szCs w:val="24"/>
        </w:rPr>
        <w:t>euro</w:t>
      </w:r>
      <w:r w:rsidR="00983315" w:rsidRPr="00110580">
        <w:rPr>
          <w:rFonts w:ascii="Times New Roman" w:hAnsi="Times New Roman" w:cs="Times New Roman"/>
          <w:bCs/>
          <w:i/>
          <w:sz w:val="24"/>
          <w:szCs w:val="24"/>
        </w:rPr>
        <w:t xml:space="preserve">, costul final al Contractului </w:t>
      </w:r>
      <w:r w:rsidR="00D27FD4">
        <w:rPr>
          <w:rFonts w:ascii="Times New Roman" w:hAnsi="Times New Roman" w:cs="Times New Roman"/>
          <w:bCs/>
          <w:i/>
          <w:sz w:val="24"/>
          <w:szCs w:val="24"/>
        </w:rPr>
        <w:t>fiind</w:t>
      </w:r>
      <w:r w:rsidR="00983315" w:rsidRPr="00110580">
        <w:rPr>
          <w:rFonts w:ascii="Times New Roman" w:hAnsi="Times New Roman" w:cs="Times New Roman"/>
          <w:bCs/>
          <w:i/>
          <w:sz w:val="24"/>
          <w:szCs w:val="24"/>
        </w:rPr>
        <w:t xml:space="preserve"> determin</w:t>
      </w:r>
      <w:r w:rsidR="00D27FD4">
        <w:rPr>
          <w:rFonts w:ascii="Times New Roman" w:hAnsi="Times New Roman" w:cs="Times New Roman"/>
          <w:bCs/>
          <w:i/>
          <w:sz w:val="24"/>
          <w:szCs w:val="24"/>
        </w:rPr>
        <w:t>at</w:t>
      </w:r>
      <w:r w:rsidR="00983315" w:rsidRPr="00110580">
        <w:rPr>
          <w:rFonts w:ascii="Times New Roman" w:hAnsi="Times New Roman" w:cs="Times New Roman"/>
          <w:bCs/>
          <w:i/>
          <w:sz w:val="24"/>
          <w:szCs w:val="24"/>
        </w:rPr>
        <w:t xml:space="preserve"> în funcție de volumul </w:t>
      </w:r>
      <w:r w:rsidR="00D27FD4">
        <w:rPr>
          <w:rFonts w:ascii="Times New Roman" w:hAnsi="Times New Roman" w:cs="Times New Roman"/>
          <w:bCs/>
          <w:i/>
          <w:sz w:val="24"/>
          <w:szCs w:val="24"/>
        </w:rPr>
        <w:t>s</w:t>
      </w:r>
      <w:r w:rsidR="00983315" w:rsidRPr="00110580">
        <w:rPr>
          <w:rFonts w:ascii="Times New Roman" w:hAnsi="Times New Roman" w:cs="Times New Roman"/>
          <w:bCs/>
          <w:i/>
          <w:sz w:val="24"/>
          <w:szCs w:val="24"/>
        </w:rPr>
        <w:t>erviciilor solicitate și recepționate de către Beneficiar și nu va depăși suma totală orientativă a contractului.</w:t>
      </w:r>
    </w:p>
    <w:p w14:paraId="38EAE606" w14:textId="77777777" w:rsidR="00EF4816" w:rsidRPr="00110580" w:rsidRDefault="00EF4816" w:rsidP="00EF4816">
      <w:pPr>
        <w:pStyle w:val="ListParagraph"/>
        <w:tabs>
          <w:tab w:val="left" w:pos="284"/>
          <w:tab w:val="left" w:pos="993"/>
        </w:tabs>
        <w:spacing w:after="0" w:line="276" w:lineRule="auto"/>
        <w:ind w:left="709"/>
        <w:jc w:val="both"/>
        <w:rPr>
          <w:rFonts w:ascii="Times New Roman" w:hAnsi="Times New Roman" w:cs="Times New Roman"/>
          <w:bCs/>
          <w:sz w:val="6"/>
          <w:szCs w:val="6"/>
          <w:lang w:val="ro-RO"/>
        </w:rPr>
      </w:pPr>
    </w:p>
    <w:p w14:paraId="26873C1D" w14:textId="71066628" w:rsidR="004F3981" w:rsidRPr="00EF4816" w:rsidRDefault="004F3981" w:rsidP="00EF4816">
      <w:pPr>
        <w:tabs>
          <w:tab w:val="left" w:pos="284"/>
          <w:tab w:val="left" w:pos="993"/>
        </w:tabs>
        <w:spacing w:after="0" w:line="276" w:lineRule="auto"/>
        <w:jc w:val="both"/>
        <w:rPr>
          <w:rFonts w:ascii="Times New Roman" w:hAnsi="Times New Roman" w:cs="Times New Roman"/>
          <w:bCs/>
          <w:sz w:val="24"/>
          <w:szCs w:val="24"/>
          <w:lang w:val="ro-RO"/>
        </w:rPr>
      </w:pPr>
      <w:r w:rsidRPr="00110580">
        <w:rPr>
          <w:rFonts w:ascii="Times New Roman" w:hAnsi="Times New Roman" w:cs="Times New Roman"/>
          <w:bCs/>
          <w:sz w:val="24"/>
          <w:szCs w:val="24"/>
          <w:lang w:val="ro-RO"/>
        </w:rPr>
        <w:t xml:space="preserve">Sistemul integrat de management al resurselor umane din cadrul BNM a fost implementat </w:t>
      </w:r>
      <w:r w:rsidR="00D27FD4">
        <w:rPr>
          <w:rFonts w:ascii="Times New Roman" w:hAnsi="Times New Roman" w:cs="Times New Roman"/>
          <w:bCs/>
          <w:sz w:val="24"/>
          <w:szCs w:val="24"/>
          <w:lang w:val="ro-RO"/>
        </w:rPr>
        <w:t xml:space="preserve">ca </w:t>
      </w:r>
      <w:r w:rsidRPr="00110580">
        <w:rPr>
          <w:rFonts w:ascii="Times New Roman" w:hAnsi="Times New Roman" w:cs="Times New Roman"/>
          <w:bCs/>
          <w:sz w:val="24"/>
          <w:szCs w:val="24"/>
          <w:lang w:val="ro-RO"/>
        </w:rPr>
        <w:t xml:space="preserve">urmare </w:t>
      </w:r>
      <w:r w:rsidR="00D27FD4">
        <w:rPr>
          <w:rFonts w:ascii="Times New Roman" w:hAnsi="Times New Roman" w:cs="Times New Roman"/>
          <w:bCs/>
          <w:sz w:val="24"/>
          <w:szCs w:val="24"/>
          <w:lang w:val="ro-RO"/>
        </w:rPr>
        <w:t xml:space="preserve">a </w:t>
      </w:r>
      <w:r w:rsidRPr="00110580">
        <w:rPr>
          <w:rFonts w:ascii="Times New Roman" w:hAnsi="Times New Roman" w:cs="Times New Roman"/>
          <w:bCs/>
          <w:sz w:val="24"/>
          <w:szCs w:val="24"/>
          <w:lang w:val="ro-RO"/>
        </w:rPr>
        <w:t xml:space="preserve">prestării serviciilor de consultanță în baza </w:t>
      </w:r>
      <w:r w:rsidR="00D27FD4">
        <w:rPr>
          <w:rFonts w:ascii="Times New Roman" w:hAnsi="Times New Roman" w:cs="Times New Roman"/>
          <w:bCs/>
          <w:sz w:val="24"/>
          <w:szCs w:val="24"/>
          <w:lang w:val="ro-RO"/>
        </w:rPr>
        <w:t>C</w:t>
      </w:r>
      <w:r w:rsidRPr="00110580">
        <w:rPr>
          <w:rFonts w:ascii="Times New Roman" w:hAnsi="Times New Roman" w:cs="Times New Roman"/>
          <w:bCs/>
          <w:sz w:val="24"/>
          <w:szCs w:val="24"/>
          <w:lang w:val="ro-RO"/>
        </w:rPr>
        <w:t>ontractului de achiziții nr.15/215-</w:t>
      </w:r>
      <w:r w:rsidRPr="00EF4816">
        <w:rPr>
          <w:rFonts w:ascii="Times New Roman" w:hAnsi="Times New Roman" w:cs="Times New Roman"/>
          <w:bCs/>
          <w:sz w:val="24"/>
          <w:szCs w:val="24"/>
          <w:lang w:val="ro-RO"/>
        </w:rPr>
        <w:t>LD din 12.09.2017</w:t>
      </w:r>
      <w:r w:rsidR="00D27FD4">
        <w:rPr>
          <w:rFonts w:ascii="Times New Roman" w:hAnsi="Times New Roman" w:cs="Times New Roman"/>
          <w:bCs/>
          <w:sz w:val="24"/>
          <w:szCs w:val="24"/>
          <w:lang w:val="ro-RO"/>
        </w:rPr>
        <w:t>,</w:t>
      </w:r>
      <w:r w:rsidRPr="00EF4816">
        <w:rPr>
          <w:rFonts w:ascii="Times New Roman" w:hAnsi="Times New Roman" w:cs="Times New Roman"/>
          <w:bCs/>
          <w:sz w:val="24"/>
          <w:szCs w:val="24"/>
          <w:lang w:val="ro-RO"/>
        </w:rPr>
        <w:t xml:space="preserve"> în sumă de 112,3 mii euro (fără TVA)/2</w:t>
      </w:r>
      <w:r w:rsidR="00D27FD4">
        <w:rPr>
          <w:rFonts w:ascii="Times New Roman" w:hAnsi="Times New Roman" w:cs="Times New Roman"/>
          <w:bCs/>
          <w:sz w:val="24"/>
          <w:szCs w:val="24"/>
          <w:lang w:val="ro-RO"/>
        </w:rPr>
        <w:t>.</w:t>
      </w:r>
      <w:r w:rsidRPr="00EF4816">
        <w:rPr>
          <w:rFonts w:ascii="Times New Roman" w:hAnsi="Times New Roman" w:cs="Times New Roman"/>
          <w:bCs/>
          <w:sz w:val="24"/>
          <w:szCs w:val="24"/>
          <w:lang w:val="ro-RO"/>
        </w:rPr>
        <w:t xml:space="preserve">300,2 mii lei, ulterior serviciile </w:t>
      </w:r>
      <w:r w:rsidR="00D27FD4">
        <w:rPr>
          <w:rFonts w:ascii="Times New Roman" w:hAnsi="Times New Roman" w:cs="Times New Roman"/>
          <w:bCs/>
          <w:sz w:val="24"/>
          <w:szCs w:val="24"/>
          <w:lang w:val="ro-RO"/>
        </w:rPr>
        <w:t>fiind</w:t>
      </w:r>
      <w:r w:rsidRPr="00EF4816">
        <w:rPr>
          <w:rFonts w:ascii="Times New Roman" w:hAnsi="Times New Roman" w:cs="Times New Roman"/>
          <w:bCs/>
          <w:sz w:val="24"/>
          <w:szCs w:val="24"/>
          <w:lang w:val="ro-RO"/>
        </w:rPr>
        <w:t xml:space="preserve"> prestate în anul 2021. Auditul a constatat că pe pagina oficială a AAP </w:t>
      </w:r>
      <w:r w:rsidR="00D27FD4">
        <w:rPr>
          <w:rFonts w:ascii="Times New Roman" w:hAnsi="Times New Roman" w:cs="Times New Roman"/>
          <w:bCs/>
          <w:sz w:val="24"/>
          <w:szCs w:val="24"/>
          <w:lang w:val="ro-RO"/>
        </w:rPr>
        <w:t>(</w:t>
      </w:r>
      <w:r w:rsidRPr="00991A75">
        <w:rPr>
          <w:rFonts w:ascii="Times New Roman" w:hAnsi="Times New Roman" w:cs="Times New Roman"/>
          <w:bCs/>
          <w:color w:val="0000FF"/>
          <w:sz w:val="24"/>
          <w:szCs w:val="24"/>
          <w:u w:val="single"/>
          <w:lang w:val="ro-RO"/>
        </w:rPr>
        <w:t>www.tender.gov.md</w:t>
      </w:r>
      <w:r w:rsidR="00D27FD4">
        <w:rPr>
          <w:rFonts w:ascii="Times New Roman" w:hAnsi="Times New Roman" w:cs="Times New Roman"/>
          <w:bCs/>
          <w:sz w:val="24"/>
          <w:szCs w:val="24"/>
          <w:lang w:val="ro-RO"/>
        </w:rPr>
        <w:t>),</w:t>
      </w:r>
      <w:r w:rsidRPr="00EF4816">
        <w:rPr>
          <w:rFonts w:ascii="Times New Roman" w:hAnsi="Times New Roman" w:cs="Times New Roman"/>
          <w:bCs/>
          <w:sz w:val="24"/>
          <w:szCs w:val="24"/>
          <w:lang w:val="ro-RO"/>
        </w:rPr>
        <w:t xml:space="preserve"> în lista contractelor atribuite se indică suma</w:t>
      </w:r>
      <w:r w:rsidR="00D27FD4">
        <w:rPr>
          <w:rFonts w:ascii="Times New Roman" w:hAnsi="Times New Roman" w:cs="Times New Roman"/>
          <w:bCs/>
          <w:sz w:val="24"/>
          <w:szCs w:val="24"/>
          <w:lang w:val="ro-RO"/>
        </w:rPr>
        <w:t>,</w:t>
      </w:r>
      <w:r w:rsidRPr="00EF4816">
        <w:rPr>
          <w:rFonts w:ascii="Times New Roman" w:hAnsi="Times New Roman" w:cs="Times New Roman"/>
          <w:bCs/>
          <w:sz w:val="24"/>
          <w:szCs w:val="24"/>
          <w:lang w:val="ro-RO"/>
        </w:rPr>
        <w:t xml:space="preserve"> dar nu se </w:t>
      </w:r>
      <w:r w:rsidR="00D27FD4">
        <w:rPr>
          <w:rFonts w:ascii="Times New Roman" w:hAnsi="Times New Roman" w:cs="Times New Roman"/>
          <w:bCs/>
          <w:sz w:val="24"/>
          <w:szCs w:val="24"/>
          <w:lang w:val="ro-RO"/>
        </w:rPr>
        <w:t>specifică</w:t>
      </w:r>
      <w:r w:rsidRPr="00EF4816">
        <w:rPr>
          <w:rFonts w:ascii="Times New Roman" w:hAnsi="Times New Roman" w:cs="Times New Roman"/>
          <w:bCs/>
          <w:sz w:val="24"/>
          <w:szCs w:val="24"/>
          <w:lang w:val="ro-RO"/>
        </w:rPr>
        <w:t xml:space="preserve"> valuta</w:t>
      </w:r>
      <w:r w:rsidRPr="00381BD6">
        <w:rPr>
          <w:rFonts w:ascii="Times New Roman" w:hAnsi="Times New Roman" w:cs="Times New Roman"/>
          <w:bCs/>
          <w:sz w:val="24"/>
          <w:szCs w:val="24"/>
          <w:lang w:val="ro-RO"/>
        </w:rPr>
        <w:t>. Astfel, prin asemenea mod se induce în eroare referitor la sumele bunurilor/serviciilor contractate de către instituțiile din RM. Pentru contractul menționat mai sus</w:t>
      </w:r>
      <w:r w:rsidR="00FF52C0" w:rsidRPr="00381BD6">
        <w:rPr>
          <w:rFonts w:ascii="Times New Roman" w:hAnsi="Times New Roman" w:cs="Times New Roman"/>
          <w:bCs/>
          <w:sz w:val="24"/>
          <w:szCs w:val="24"/>
          <w:lang w:val="ro-RO"/>
        </w:rPr>
        <w:t>,</w:t>
      </w:r>
      <w:r w:rsidRPr="00381BD6">
        <w:rPr>
          <w:rFonts w:ascii="Times New Roman" w:hAnsi="Times New Roman" w:cs="Times New Roman"/>
          <w:bCs/>
          <w:sz w:val="24"/>
          <w:szCs w:val="24"/>
          <w:lang w:val="ro-RO"/>
        </w:rPr>
        <w:t xml:space="preserve"> se </w:t>
      </w:r>
      <w:r w:rsidR="00FF52C0" w:rsidRPr="00381BD6">
        <w:rPr>
          <w:rFonts w:ascii="Times New Roman" w:hAnsi="Times New Roman" w:cs="Times New Roman"/>
          <w:bCs/>
          <w:sz w:val="24"/>
          <w:szCs w:val="24"/>
          <w:lang w:val="ro-RO"/>
        </w:rPr>
        <w:t xml:space="preserve">indică </w:t>
      </w:r>
      <w:r w:rsidRPr="00381BD6">
        <w:rPr>
          <w:rFonts w:ascii="Times New Roman" w:hAnsi="Times New Roman" w:cs="Times New Roman"/>
          <w:bCs/>
          <w:sz w:val="24"/>
          <w:szCs w:val="24"/>
          <w:lang w:val="ro-RO"/>
        </w:rPr>
        <w:t>112</w:t>
      </w:r>
      <w:r w:rsidR="00FF52C0" w:rsidRPr="00381BD6">
        <w:rPr>
          <w:rFonts w:ascii="Times New Roman" w:hAnsi="Times New Roman" w:cs="Times New Roman"/>
          <w:bCs/>
          <w:sz w:val="24"/>
          <w:szCs w:val="24"/>
          <w:lang w:val="ro-RO"/>
        </w:rPr>
        <w:t>.</w:t>
      </w:r>
      <w:r w:rsidRPr="00381BD6">
        <w:rPr>
          <w:rFonts w:ascii="Times New Roman" w:hAnsi="Times New Roman" w:cs="Times New Roman"/>
          <w:bCs/>
          <w:sz w:val="24"/>
          <w:szCs w:val="24"/>
          <w:lang w:val="ro-RO"/>
        </w:rPr>
        <w:t>300,0</w:t>
      </w:r>
      <w:r w:rsidR="00FF52C0" w:rsidRPr="00381BD6">
        <w:rPr>
          <w:rFonts w:ascii="Times New Roman" w:hAnsi="Times New Roman" w:cs="Times New Roman"/>
          <w:bCs/>
          <w:sz w:val="24"/>
          <w:szCs w:val="24"/>
          <w:lang w:val="ro-RO"/>
        </w:rPr>
        <w:t>,</w:t>
      </w:r>
      <w:r w:rsidRPr="00381BD6">
        <w:rPr>
          <w:rFonts w:ascii="Times New Roman" w:hAnsi="Times New Roman" w:cs="Times New Roman"/>
          <w:bCs/>
          <w:sz w:val="24"/>
          <w:szCs w:val="24"/>
          <w:lang w:val="ro-RO"/>
        </w:rPr>
        <w:t xml:space="preserve"> ceea ce constituie în valuta națională 2 300,2 mii lei, deși BNM a prezentat Darea de seamă cu valoarea în MDL.</w:t>
      </w:r>
    </w:p>
    <w:p w14:paraId="2D19E666" w14:textId="77777777" w:rsidR="009B7696" w:rsidRPr="00967771" w:rsidRDefault="009B7696" w:rsidP="00967771">
      <w:pPr>
        <w:tabs>
          <w:tab w:val="left" w:pos="284"/>
          <w:tab w:val="left" w:pos="993"/>
        </w:tabs>
        <w:spacing w:after="0" w:line="276" w:lineRule="auto"/>
        <w:jc w:val="both"/>
        <w:rPr>
          <w:rFonts w:ascii="Times New Roman" w:hAnsi="Times New Roman" w:cs="Times New Roman"/>
          <w:bCs/>
          <w:sz w:val="24"/>
          <w:szCs w:val="24"/>
          <w:lang w:val="ro-RO"/>
        </w:rPr>
      </w:pPr>
    </w:p>
    <w:p w14:paraId="55A8A3EE" w14:textId="77777777" w:rsidR="00BF7F6C" w:rsidRPr="00402A54" w:rsidRDefault="00BF7F6C" w:rsidP="00402A54">
      <w:pPr>
        <w:spacing w:after="0"/>
        <w:jc w:val="both"/>
        <w:rPr>
          <w:rFonts w:ascii="Times New Roman" w:hAnsi="Times New Roman" w:cs="Times New Roman"/>
          <w:b/>
          <w:sz w:val="24"/>
          <w:szCs w:val="24"/>
          <w:lang w:val="ro-RO"/>
        </w:rPr>
      </w:pPr>
      <w:r w:rsidRPr="00402A54">
        <w:rPr>
          <w:rFonts w:ascii="Times New Roman" w:hAnsi="Times New Roman" w:cs="Times New Roman"/>
          <w:b/>
          <w:sz w:val="24"/>
          <w:szCs w:val="24"/>
          <w:lang w:val="ro-RO"/>
        </w:rPr>
        <w:t>4.3.2</w:t>
      </w:r>
      <w:r w:rsidR="00AB478E" w:rsidRPr="00402A54">
        <w:rPr>
          <w:rFonts w:ascii="Times New Roman" w:hAnsi="Times New Roman" w:cs="Times New Roman"/>
          <w:b/>
          <w:sz w:val="24"/>
          <w:szCs w:val="24"/>
          <w:lang w:val="ro-RO"/>
        </w:rPr>
        <w:t>.</w:t>
      </w:r>
      <w:r w:rsidRPr="00402A54">
        <w:rPr>
          <w:rFonts w:ascii="Times New Roman" w:hAnsi="Times New Roman" w:cs="Times New Roman"/>
          <w:b/>
          <w:sz w:val="24"/>
          <w:szCs w:val="24"/>
          <w:lang w:val="ro-RO"/>
        </w:rPr>
        <w:t xml:space="preserve"> La organizarea procedurilor de achiziții a lucrărilor se evidențiază</w:t>
      </w:r>
      <w:r w:rsidR="00EF3E59" w:rsidRPr="00402A54">
        <w:rPr>
          <w:rFonts w:ascii="Times New Roman" w:hAnsi="Times New Roman" w:cs="Times New Roman"/>
          <w:b/>
          <w:sz w:val="24"/>
          <w:szCs w:val="24"/>
          <w:lang w:val="ro-RO"/>
        </w:rPr>
        <w:t xml:space="preserve"> unele dificultăți  la </w:t>
      </w:r>
      <w:r w:rsidRPr="00402A54">
        <w:rPr>
          <w:rFonts w:ascii="Times New Roman" w:hAnsi="Times New Roman" w:cs="Times New Roman"/>
          <w:b/>
          <w:sz w:val="24"/>
          <w:szCs w:val="24"/>
          <w:lang w:val="ro-RO"/>
        </w:rPr>
        <w:t xml:space="preserve">selectarea ofertelor câștigătoare, aspect identificat și de către BNM. </w:t>
      </w:r>
    </w:p>
    <w:p w14:paraId="41A5C93D" w14:textId="0D4469F4" w:rsidR="009A3ACE" w:rsidRPr="00650D66" w:rsidRDefault="00FF52C0" w:rsidP="00402A54">
      <w:pPr>
        <w:tabs>
          <w:tab w:val="left" w:pos="284"/>
          <w:tab w:val="left" w:pos="993"/>
        </w:tabs>
        <w:spacing w:after="0" w:line="276" w:lineRule="auto"/>
        <w:jc w:val="both"/>
        <w:rPr>
          <w:rFonts w:ascii="Times New Roman" w:eastAsia="Times New Roman" w:hAnsi="Times New Roman" w:cs="Times New Roman"/>
          <w:b/>
          <w:bCs/>
          <w:i/>
          <w:color w:val="000000"/>
          <w:sz w:val="24"/>
          <w:szCs w:val="24"/>
          <w:lang w:val="ro-RO"/>
        </w:rPr>
      </w:pPr>
      <w:r>
        <w:rPr>
          <w:rFonts w:ascii="Times New Roman" w:hAnsi="Times New Roman" w:cs="Times New Roman"/>
          <w:bCs/>
          <w:sz w:val="24"/>
          <w:szCs w:val="24"/>
          <w:lang w:val="ro-RO"/>
        </w:rPr>
        <w:t>În u</w:t>
      </w:r>
      <w:r w:rsidR="009A3ACE" w:rsidRPr="00650D66">
        <w:rPr>
          <w:rFonts w:ascii="Times New Roman" w:hAnsi="Times New Roman" w:cs="Times New Roman"/>
          <w:bCs/>
          <w:sz w:val="24"/>
          <w:szCs w:val="24"/>
          <w:lang w:val="ro-RO"/>
        </w:rPr>
        <w:t xml:space="preserve">rma verificărilor de audit s-a constatat că BNM nu a executat mijloacele alocate în perioada 2019-2022 pentru reparația clădirii, utilajului și transportului (clădirii) din cauza </w:t>
      </w:r>
      <w:r w:rsidR="001D351A" w:rsidRPr="00650D66">
        <w:rPr>
          <w:rFonts w:ascii="Times New Roman" w:hAnsi="Times New Roman" w:cs="Times New Roman"/>
          <w:bCs/>
          <w:sz w:val="24"/>
          <w:szCs w:val="24"/>
          <w:lang w:val="ro-RO"/>
        </w:rPr>
        <w:t xml:space="preserve">necesității </w:t>
      </w:r>
      <w:r>
        <w:rPr>
          <w:rFonts w:ascii="Times New Roman" w:hAnsi="Times New Roman" w:cs="Times New Roman"/>
          <w:bCs/>
          <w:sz w:val="24"/>
          <w:szCs w:val="24"/>
          <w:lang w:val="ro-RO"/>
        </w:rPr>
        <w:t xml:space="preserve">de </w:t>
      </w:r>
      <w:r w:rsidR="009A3ACE" w:rsidRPr="00650D66">
        <w:rPr>
          <w:rFonts w:ascii="Times New Roman" w:hAnsi="Times New Roman" w:cs="Times New Roman"/>
          <w:bCs/>
          <w:sz w:val="24"/>
          <w:szCs w:val="24"/>
          <w:lang w:val="ro-RO"/>
        </w:rPr>
        <w:t>anul</w:t>
      </w:r>
      <w:r>
        <w:rPr>
          <w:rFonts w:ascii="Times New Roman" w:hAnsi="Times New Roman" w:cs="Times New Roman"/>
          <w:bCs/>
          <w:sz w:val="24"/>
          <w:szCs w:val="24"/>
          <w:lang w:val="ro-RO"/>
        </w:rPr>
        <w:t>are a</w:t>
      </w:r>
      <w:r w:rsidR="009A3ACE" w:rsidRPr="00650D66">
        <w:rPr>
          <w:rFonts w:ascii="Times New Roman" w:hAnsi="Times New Roman" w:cs="Times New Roman"/>
          <w:bCs/>
          <w:sz w:val="24"/>
          <w:szCs w:val="24"/>
          <w:lang w:val="ro-RO"/>
        </w:rPr>
        <w:t xml:space="preserve"> procedurilor de achiziții organizate.</w:t>
      </w:r>
      <w:r w:rsidR="00084F5D" w:rsidRPr="00650D66">
        <w:rPr>
          <w:rFonts w:ascii="Times New Roman" w:hAnsi="Times New Roman" w:cs="Times New Roman"/>
          <w:bCs/>
          <w:sz w:val="24"/>
          <w:szCs w:val="24"/>
          <w:lang w:val="ro-RO"/>
        </w:rPr>
        <w:t xml:space="preserve"> </w:t>
      </w:r>
      <w:r w:rsidR="001D351A" w:rsidRPr="00650D66">
        <w:rPr>
          <w:rFonts w:ascii="Times New Roman" w:eastAsia="Times New Roman" w:hAnsi="Times New Roman" w:cs="Times New Roman"/>
          <w:bCs/>
          <w:color w:val="000000"/>
          <w:sz w:val="24"/>
          <w:szCs w:val="24"/>
          <w:lang w:val="ro-RO"/>
        </w:rPr>
        <w:t>Auditul relevă că î</w:t>
      </w:r>
      <w:r w:rsidR="00FB76D6" w:rsidRPr="00650D66">
        <w:rPr>
          <w:rFonts w:ascii="Times New Roman" w:eastAsia="Times New Roman" w:hAnsi="Times New Roman" w:cs="Times New Roman"/>
          <w:bCs/>
          <w:color w:val="000000"/>
          <w:sz w:val="24"/>
          <w:szCs w:val="24"/>
          <w:lang w:val="ro-RO"/>
        </w:rPr>
        <w:t>n anul 2019</w:t>
      </w:r>
      <w:r w:rsidR="009A3ACE" w:rsidRPr="00650D66">
        <w:rPr>
          <w:rFonts w:ascii="Times New Roman" w:eastAsia="Times New Roman" w:hAnsi="Times New Roman" w:cs="Times New Roman"/>
          <w:bCs/>
          <w:color w:val="000000"/>
          <w:sz w:val="24"/>
          <w:szCs w:val="24"/>
          <w:lang w:val="ro-RO"/>
        </w:rPr>
        <w:t xml:space="preserve"> au fost planificate alocații pentru reparația curentă a clădirii în sumă de 2</w:t>
      </w:r>
      <w:r>
        <w:rPr>
          <w:rFonts w:ascii="Times New Roman" w:eastAsia="Times New Roman" w:hAnsi="Times New Roman" w:cs="Times New Roman"/>
          <w:bCs/>
          <w:color w:val="000000"/>
          <w:sz w:val="24"/>
          <w:szCs w:val="24"/>
          <w:lang w:val="ro-RO"/>
        </w:rPr>
        <w:t>.</w:t>
      </w:r>
      <w:r w:rsidR="009A3ACE" w:rsidRPr="00650D66">
        <w:rPr>
          <w:rFonts w:ascii="Times New Roman" w:eastAsia="Times New Roman" w:hAnsi="Times New Roman" w:cs="Times New Roman"/>
          <w:bCs/>
          <w:color w:val="000000"/>
          <w:sz w:val="24"/>
          <w:szCs w:val="24"/>
          <w:lang w:val="ro-RO"/>
        </w:rPr>
        <w:t xml:space="preserve">724,0 mii lei, din care au fost executate cheltuieli </w:t>
      </w:r>
      <w:r w:rsidR="009A3ACE" w:rsidRPr="00650D66">
        <w:rPr>
          <w:rFonts w:ascii="Times New Roman" w:eastAsia="Times New Roman" w:hAnsi="Times New Roman" w:cs="Times New Roman"/>
          <w:b/>
          <w:bCs/>
          <w:i/>
          <w:color w:val="000000"/>
          <w:sz w:val="24"/>
          <w:szCs w:val="24"/>
          <w:lang w:val="ro-RO"/>
        </w:rPr>
        <w:t>în sumă de 399,9 mii lei</w:t>
      </w:r>
      <w:r>
        <w:rPr>
          <w:rFonts w:ascii="Times New Roman" w:eastAsia="Times New Roman" w:hAnsi="Times New Roman" w:cs="Times New Roman"/>
          <w:b/>
          <w:bCs/>
          <w:i/>
          <w:color w:val="000000"/>
          <w:sz w:val="24"/>
          <w:szCs w:val="24"/>
          <w:lang w:val="ro-RO"/>
        </w:rPr>
        <w:t>,</w:t>
      </w:r>
      <w:r w:rsidR="009A3ACE" w:rsidRPr="00650D66">
        <w:rPr>
          <w:rFonts w:ascii="Times New Roman" w:eastAsia="Times New Roman" w:hAnsi="Times New Roman" w:cs="Times New Roman"/>
          <w:bCs/>
          <w:color w:val="000000"/>
          <w:sz w:val="24"/>
          <w:szCs w:val="24"/>
          <w:lang w:val="ro-RO"/>
        </w:rPr>
        <w:t xml:space="preserve"> </w:t>
      </w:r>
      <w:r w:rsidR="009A3ACE" w:rsidRPr="00650D66">
        <w:rPr>
          <w:rFonts w:ascii="Times New Roman" w:eastAsia="Times New Roman" w:hAnsi="Times New Roman" w:cs="Times New Roman"/>
          <w:b/>
          <w:bCs/>
          <w:i/>
          <w:color w:val="000000"/>
          <w:sz w:val="24"/>
          <w:szCs w:val="24"/>
          <w:lang w:val="ro-RO"/>
        </w:rPr>
        <w:t>sau 14,7%</w:t>
      </w:r>
      <w:r w:rsidR="00FB76D6" w:rsidRPr="00650D66">
        <w:rPr>
          <w:rFonts w:ascii="Times New Roman" w:eastAsia="Times New Roman" w:hAnsi="Times New Roman" w:cs="Times New Roman"/>
          <w:b/>
          <w:bCs/>
          <w:i/>
          <w:color w:val="000000"/>
          <w:sz w:val="24"/>
          <w:szCs w:val="24"/>
          <w:lang w:val="ro-RO"/>
        </w:rPr>
        <w:t>;</w:t>
      </w:r>
      <w:r w:rsidR="009A3ACE" w:rsidRPr="00650D66">
        <w:rPr>
          <w:rFonts w:ascii="Times New Roman" w:eastAsia="Times New Roman" w:hAnsi="Times New Roman" w:cs="Times New Roman"/>
          <w:b/>
          <w:bCs/>
          <w:i/>
          <w:color w:val="000000"/>
          <w:sz w:val="24"/>
          <w:szCs w:val="24"/>
          <w:lang w:val="ro-RO"/>
        </w:rPr>
        <w:t xml:space="preserve"> </w:t>
      </w:r>
      <w:r w:rsidR="009A3ACE" w:rsidRPr="00650D66">
        <w:rPr>
          <w:rFonts w:ascii="Times New Roman" w:eastAsia="Times New Roman" w:hAnsi="Times New Roman" w:cs="Times New Roman"/>
          <w:bCs/>
          <w:color w:val="000000"/>
          <w:sz w:val="24"/>
          <w:szCs w:val="24"/>
          <w:lang w:val="ro-RO"/>
        </w:rPr>
        <w:t>în anul 2020</w:t>
      </w:r>
      <w:r w:rsidR="009A3ACE" w:rsidRPr="00650D66">
        <w:rPr>
          <w:rFonts w:ascii="Times New Roman" w:eastAsia="Times New Roman" w:hAnsi="Times New Roman" w:cs="Times New Roman"/>
          <w:b/>
          <w:bCs/>
          <w:color w:val="000000"/>
          <w:sz w:val="24"/>
          <w:szCs w:val="24"/>
          <w:lang w:val="ro-RO"/>
        </w:rPr>
        <w:t xml:space="preserve"> </w:t>
      </w:r>
      <w:r w:rsidR="009A3ACE" w:rsidRPr="00650D66">
        <w:rPr>
          <w:rFonts w:ascii="Times New Roman" w:eastAsia="Times New Roman" w:hAnsi="Times New Roman" w:cs="Times New Roman"/>
          <w:bCs/>
          <w:color w:val="000000"/>
          <w:sz w:val="24"/>
          <w:szCs w:val="24"/>
          <w:lang w:val="ro-RO"/>
        </w:rPr>
        <w:t>au fost planificate alocații în sumă de 8</w:t>
      </w:r>
      <w:r>
        <w:rPr>
          <w:rFonts w:ascii="Times New Roman" w:eastAsia="Times New Roman" w:hAnsi="Times New Roman" w:cs="Times New Roman"/>
          <w:bCs/>
          <w:color w:val="000000"/>
          <w:sz w:val="24"/>
          <w:szCs w:val="24"/>
          <w:lang w:val="ro-RO"/>
        </w:rPr>
        <w:t>.</w:t>
      </w:r>
      <w:r w:rsidR="009A3ACE" w:rsidRPr="00650D66">
        <w:rPr>
          <w:rFonts w:ascii="Times New Roman" w:eastAsia="Times New Roman" w:hAnsi="Times New Roman" w:cs="Times New Roman"/>
          <w:bCs/>
          <w:color w:val="000000"/>
          <w:sz w:val="24"/>
          <w:szCs w:val="24"/>
          <w:lang w:val="ro-RO"/>
        </w:rPr>
        <w:t xml:space="preserve">440,0 mii lei, din care au fost executate cheltuieli </w:t>
      </w:r>
      <w:r w:rsidR="009A3ACE" w:rsidRPr="00650D66">
        <w:rPr>
          <w:rFonts w:ascii="Times New Roman" w:eastAsia="Times New Roman" w:hAnsi="Times New Roman" w:cs="Times New Roman"/>
          <w:b/>
          <w:bCs/>
          <w:i/>
          <w:color w:val="000000"/>
          <w:sz w:val="24"/>
          <w:szCs w:val="24"/>
          <w:lang w:val="ro-RO"/>
        </w:rPr>
        <w:t>în sumă de 8,97 mii lei</w:t>
      </w:r>
      <w:r>
        <w:rPr>
          <w:rFonts w:ascii="Times New Roman" w:eastAsia="Times New Roman" w:hAnsi="Times New Roman" w:cs="Times New Roman"/>
          <w:b/>
          <w:bCs/>
          <w:i/>
          <w:color w:val="000000"/>
          <w:sz w:val="24"/>
          <w:szCs w:val="24"/>
          <w:lang w:val="ro-RO"/>
        </w:rPr>
        <w:t>,</w:t>
      </w:r>
      <w:r w:rsidR="009A3ACE" w:rsidRPr="00650D66">
        <w:rPr>
          <w:rFonts w:ascii="Times New Roman" w:eastAsia="Times New Roman" w:hAnsi="Times New Roman" w:cs="Times New Roman"/>
          <w:b/>
          <w:bCs/>
          <w:i/>
          <w:color w:val="000000"/>
          <w:sz w:val="24"/>
          <w:szCs w:val="24"/>
          <w:lang w:val="ro-RO"/>
        </w:rPr>
        <w:t xml:space="preserve"> sau 0,1%</w:t>
      </w:r>
      <w:r w:rsidR="00FB76D6" w:rsidRPr="00650D66">
        <w:rPr>
          <w:rFonts w:ascii="Times New Roman" w:eastAsia="Times New Roman" w:hAnsi="Times New Roman" w:cs="Times New Roman"/>
          <w:b/>
          <w:bCs/>
          <w:i/>
          <w:color w:val="000000"/>
          <w:sz w:val="24"/>
          <w:szCs w:val="24"/>
          <w:lang w:val="ro-RO"/>
        </w:rPr>
        <w:t>;</w:t>
      </w:r>
      <w:r w:rsidR="009A3ACE" w:rsidRPr="00650D66">
        <w:rPr>
          <w:rFonts w:ascii="Times New Roman" w:eastAsia="Times New Roman" w:hAnsi="Times New Roman" w:cs="Times New Roman"/>
          <w:b/>
          <w:bCs/>
          <w:i/>
          <w:color w:val="000000"/>
          <w:sz w:val="24"/>
          <w:szCs w:val="24"/>
          <w:lang w:val="ro-RO"/>
        </w:rPr>
        <w:t xml:space="preserve">  </w:t>
      </w:r>
      <w:r w:rsidR="00FB76D6" w:rsidRPr="00650D66">
        <w:rPr>
          <w:rFonts w:ascii="Times New Roman" w:eastAsia="Times New Roman" w:hAnsi="Times New Roman" w:cs="Times New Roman"/>
          <w:bCs/>
          <w:color w:val="000000"/>
          <w:sz w:val="24"/>
          <w:szCs w:val="24"/>
          <w:lang w:val="ro-RO"/>
        </w:rPr>
        <w:t>î</w:t>
      </w:r>
      <w:r w:rsidR="009A3ACE" w:rsidRPr="00650D66">
        <w:rPr>
          <w:rFonts w:ascii="Times New Roman" w:eastAsia="Times New Roman" w:hAnsi="Times New Roman" w:cs="Times New Roman"/>
          <w:bCs/>
          <w:color w:val="000000"/>
          <w:sz w:val="24"/>
          <w:szCs w:val="24"/>
          <w:lang w:val="ro-RO"/>
        </w:rPr>
        <w:t>n anul 2021</w:t>
      </w:r>
      <w:r w:rsidR="009A3ACE" w:rsidRPr="00650D66">
        <w:rPr>
          <w:rFonts w:ascii="Times New Roman" w:eastAsia="Times New Roman" w:hAnsi="Times New Roman" w:cs="Times New Roman"/>
          <w:b/>
          <w:bCs/>
          <w:color w:val="000000"/>
          <w:sz w:val="24"/>
          <w:szCs w:val="24"/>
          <w:lang w:val="ro-RO"/>
        </w:rPr>
        <w:t xml:space="preserve"> </w:t>
      </w:r>
      <w:r w:rsidR="009A3ACE" w:rsidRPr="00650D66">
        <w:rPr>
          <w:rFonts w:ascii="Times New Roman" w:eastAsia="Times New Roman" w:hAnsi="Times New Roman" w:cs="Times New Roman"/>
          <w:bCs/>
          <w:color w:val="000000"/>
          <w:sz w:val="24"/>
          <w:szCs w:val="24"/>
          <w:lang w:val="ro-RO"/>
        </w:rPr>
        <w:t>au fost planificate alocații în sumă de 8</w:t>
      </w:r>
      <w:r>
        <w:rPr>
          <w:rFonts w:ascii="Times New Roman" w:eastAsia="Times New Roman" w:hAnsi="Times New Roman" w:cs="Times New Roman"/>
          <w:bCs/>
          <w:color w:val="000000"/>
          <w:sz w:val="24"/>
          <w:szCs w:val="24"/>
          <w:lang w:val="ro-RO"/>
        </w:rPr>
        <w:t>.</w:t>
      </w:r>
      <w:r w:rsidR="009A3ACE" w:rsidRPr="00650D66">
        <w:rPr>
          <w:rFonts w:ascii="Times New Roman" w:eastAsia="Times New Roman" w:hAnsi="Times New Roman" w:cs="Times New Roman"/>
          <w:bCs/>
          <w:color w:val="000000"/>
          <w:sz w:val="24"/>
          <w:szCs w:val="24"/>
          <w:lang w:val="ro-RO"/>
        </w:rPr>
        <w:t xml:space="preserve">445,0 mii lei, din care au fost executate cheltuieli </w:t>
      </w:r>
      <w:r w:rsidR="009A3ACE" w:rsidRPr="00650D66">
        <w:rPr>
          <w:rFonts w:ascii="Times New Roman" w:eastAsia="Times New Roman" w:hAnsi="Times New Roman" w:cs="Times New Roman"/>
          <w:b/>
          <w:bCs/>
          <w:i/>
          <w:color w:val="000000"/>
          <w:sz w:val="24"/>
          <w:szCs w:val="24"/>
          <w:lang w:val="ro-RO"/>
        </w:rPr>
        <w:t>în sumă de 669,83 mii lei</w:t>
      </w:r>
      <w:r>
        <w:rPr>
          <w:rFonts w:ascii="Times New Roman" w:eastAsia="Times New Roman" w:hAnsi="Times New Roman" w:cs="Times New Roman"/>
          <w:b/>
          <w:bCs/>
          <w:i/>
          <w:color w:val="000000"/>
          <w:sz w:val="24"/>
          <w:szCs w:val="24"/>
          <w:lang w:val="ro-RO"/>
        </w:rPr>
        <w:t>,</w:t>
      </w:r>
      <w:r w:rsidR="009A3ACE" w:rsidRPr="00650D66">
        <w:rPr>
          <w:rFonts w:ascii="Times New Roman" w:eastAsia="Times New Roman" w:hAnsi="Times New Roman" w:cs="Times New Roman"/>
          <w:b/>
          <w:bCs/>
          <w:i/>
          <w:color w:val="000000"/>
          <w:sz w:val="24"/>
          <w:szCs w:val="24"/>
          <w:lang w:val="ro-RO"/>
        </w:rPr>
        <w:t xml:space="preserve"> sau 7,9%</w:t>
      </w:r>
      <w:r>
        <w:rPr>
          <w:rFonts w:ascii="Times New Roman" w:eastAsia="Times New Roman" w:hAnsi="Times New Roman" w:cs="Times New Roman"/>
          <w:b/>
          <w:bCs/>
          <w:i/>
          <w:color w:val="000000"/>
          <w:sz w:val="24"/>
          <w:szCs w:val="24"/>
          <w:lang w:val="ro-RO"/>
        </w:rPr>
        <w:t>,</w:t>
      </w:r>
      <w:r w:rsidR="009A3ACE" w:rsidRPr="00650D66">
        <w:rPr>
          <w:rFonts w:ascii="Times New Roman" w:eastAsia="Times New Roman" w:hAnsi="Times New Roman" w:cs="Times New Roman"/>
          <w:b/>
          <w:bCs/>
          <w:i/>
          <w:color w:val="000000"/>
          <w:sz w:val="24"/>
          <w:szCs w:val="24"/>
          <w:lang w:val="ro-RO"/>
        </w:rPr>
        <w:t xml:space="preserve"> </w:t>
      </w:r>
      <w:r w:rsidR="009A3ACE" w:rsidRPr="00650D66">
        <w:rPr>
          <w:rFonts w:ascii="Times New Roman" w:eastAsia="Times New Roman" w:hAnsi="Times New Roman" w:cs="Times New Roman"/>
          <w:bCs/>
          <w:color w:val="000000"/>
          <w:sz w:val="24"/>
          <w:szCs w:val="24"/>
          <w:lang w:val="ro-RO"/>
        </w:rPr>
        <w:t>și în anul 2022</w:t>
      </w:r>
      <w:r w:rsidR="009A3ACE" w:rsidRPr="00650D66">
        <w:rPr>
          <w:rFonts w:ascii="Times New Roman" w:eastAsia="Times New Roman" w:hAnsi="Times New Roman" w:cs="Times New Roman"/>
          <w:b/>
          <w:bCs/>
          <w:i/>
          <w:color w:val="000000"/>
          <w:sz w:val="24"/>
          <w:szCs w:val="24"/>
          <w:lang w:val="ro-RO"/>
        </w:rPr>
        <w:t xml:space="preserve"> </w:t>
      </w:r>
      <w:r w:rsidR="009A3ACE" w:rsidRPr="00650D66">
        <w:rPr>
          <w:rFonts w:ascii="Times New Roman" w:eastAsia="Times New Roman" w:hAnsi="Times New Roman" w:cs="Times New Roman"/>
          <w:bCs/>
          <w:color w:val="000000"/>
          <w:sz w:val="24"/>
          <w:szCs w:val="24"/>
          <w:lang w:val="ro-RO"/>
        </w:rPr>
        <w:t>au fost planificate alocații în sumă de 7</w:t>
      </w:r>
      <w:r>
        <w:rPr>
          <w:rFonts w:ascii="Times New Roman" w:eastAsia="Times New Roman" w:hAnsi="Times New Roman" w:cs="Times New Roman"/>
          <w:bCs/>
          <w:color w:val="000000"/>
          <w:sz w:val="24"/>
          <w:szCs w:val="24"/>
          <w:lang w:val="ro-RO"/>
        </w:rPr>
        <w:t>.</w:t>
      </w:r>
      <w:r w:rsidR="009A3ACE" w:rsidRPr="00650D66">
        <w:rPr>
          <w:rFonts w:ascii="Times New Roman" w:eastAsia="Times New Roman" w:hAnsi="Times New Roman" w:cs="Times New Roman"/>
          <w:bCs/>
          <w:color w:val="000000"/>
          <w:sz w:val="24"/>
          <w:szCs w:val="24"/>
          <w:lang w:val="ro-RO"/>
        </w:rPr>
        <w:t xml:space="preserve">669,0 mii lei, din care au fost executate cheltuieli </w:t>
      </w:r>
      <w:r w:rsidR="009A3ACE" w:rsidRPr="00650D66">
        <w:rPr>
          <w:rFonts w:ascii="Times New Roman" w:eastAsia="Times New Roman" w:hAnsi="Times New Roman" w:cs="Times New Roman"/>
          <w:b/>
          <w:bCs/>
          <w:i/>
          <w:color w:val="000000"/>
          <w:sz w:val="24"/>
          <w:szCs w:val="24"/>
          <w:lang w:val="ro-RO"/>
        </w:rPr>
        <w:t>în sumă de 5</w:t>
      </w:r>
      <w:r>
        <w:rPr>
          <w:rFonts w:ascii="Times New Roman" w:eastAsia="Times New Roman" w:hAnsi="Times New Roman" w:cs="Times New Roman"/>
          <w:b/>
          <w:bCs/>
          <w:i/>
          <w:color w:val="000000"/>
          <w:sz w:val="24"/>
          <w:szCs w:val="24"/>
          <w:lang w:val="ro-RO"/>
        </w:rPr>
        <w:t>.</w:t>
      </w:r>
      <w:r w:rsidR="009A3ACE" w:rsidRPr="00650D66">
        <w:rPr>
          <w:rFonts w:ascii="Times New Roman" w:eastAsia="Times New Roman" w:hAnsi="Times New Roman" w:cs="Times New Roman"/>
          <w:b/>
          <w:bCs/>
          <w:i/>
          <w:color w:val="000000"/>
          <w:sz w:val="24"/>
          <w:szCs w:val="24"/>
          <w:lang w:val="ro-RO"/>
        </w:rPr>
        <w:t>377,14 mii lei</w:t>
      </w:r>
      <w:r>
        <w:rPr>
          <w:rFonts w:ascii="Times New Roman" w:eastAsia="Times New Roman" w:hAnsi="Times New Roman" w:cs="Times New Roman"/>
          <w:b/>
          <w:bCs/>
          <w:i/>
          <w:color w:val="000000"/>
          <w:sz w:val="24"/>
          <w:szCs w:val="24"/>
          <w:lang w:val="ro-RO"/>
        </w:rPr>
        <w:t>,</w:t>
      </w:r>
      <w:r w:rsidR="009A3ACE" w:rsidRPr="00650D66">
        <w:rPr>
          <w:rFonts w:ascii="Times New Roman" w:eastAsia="Times New Roman" w:hAnsi="Times New Roman" w:cs="Times New Roman"/>
          <w:bCs/>
          <w:color w:val="000000"/>
          <w:sz w:val="24"/>
          <w:szCs w:val="24"/>
          <w:lang w:val="ro-RO"/>
        </w:rPr>
        <w:t xml:space="preserve"> </w:t>
      </w:r>
      <w:r w:rsidR="009A3ACE" w:rsidRPr="00650D66">
        <w:rPr>
          <w:rFonts w:ascii="Times New Roman" w:eastAsia="Times New Roman" w:hAnsi="Times New Roman" w:cs="Times New Roman"/>
          <w:b/>
          <w:bCs/>
          <w:i/>
          <w:color w:val="000000"/>
          <w:sz w:val="24"/>
          <w:szCs w:val="24"/>
          <w:lang w:val="ro-RO"/>
        </w:rPr>
        <w:t>sau 70,1%.</w:t>
      </w:r>
    </w:p>
    <w:p w14:paraId="1025F298" w14:textId="77777777" w:rsidR="00084F5D" w:rsidRPr="00650D66" w:rsidRDefault="00084F5D" w:rsidP="00281C2E">
      <w:pPr>
        <w:tabs>
          <w:tab w:val="left" w:pos="284"/>
          <w:tab w:val="left" w:pos="993"/>
        </w:tabs>
        <w:spacing w:after="0" w:line="276" w:lineRule="auto"/>
        <w:jc w:val="both"/>
        <w:rPr>
          <w:rFonts w:ascii="Times New Roman" w:eastAsia="Times New Roman" w:hAnsi="Times New Roman" w:cs="Times New Roman"/>
          <w:b/>
          <w:bCs/>
          <w:i/>
          <w:color w:val="000000"/>
          <w:sz w:val="6"/>
          <w:szCs w:val="6"/>
          <w:lang w:val="ro-RO"/>
        </w:rPr>
      </w:pPr>
    </w:p>
    <w:p w14:paraId="1AD864FF" w14:textId="14A162E6" w:rsidR="008D513D" w:rsidRPr="00650D66" w:rsidRDefault="00084F5D" w:rsidP="00281C2E">
      <w:pPr>
        <w:tabs>
          <w:tab w:val="left" w:pos="284"/>
          <w:tab w:val="left" w:pos="993"/>
        </w:tabs>
        <w:spacing w:after="0" w:line="276" w:lineRule="auto"/>
        <w:jc w:val="both"/>
        <w:rPr>
          <w:rFonts w:ascii="Times New Roman" w:eastAsia="Times New Roman" w:hAnsi="Times New Roman" w:cs="Times New Roman"/>
          <w:bCs/>
          <w:color w:val="000000"/>
          <w:sz w:val="24"/>
          <w:szCs w:val="24"/>
          <w:lang w:val="ro-RO"/>
        </w:rPr>
      </w:pPr>
      <w:r w:rsidRPr="00650D66">
        <w:rPr>
          <w:rFonts w:ascii="Times New Roman" w:hAnsi="Times New Roman" w:cs="Times New Roman"/>
          <w:bCs/>
          <w:sz w:val="24"/>
          <w:szCs w:val="24"/>
          <w:lang w:val="ro-RO"/>
        </w:rPr>
        <w:t xml:space="preserve">Auditul a constatat că BNM în anul 2022 </w:t>
      </w:r>
      <w:r w:rsidR="00C44B7E" w:rsidRPr="00650D66">
        <w:rPr>
          <w:rFonts w:ascii="Times New Roman" w:hAnsi="Times New Roman" w:cs="Times New Roman"/>
          <w:bCs/>
          <w:sz w:val="24"/>
          <w:szCs w:val="24"/>
          <w:lang w:val="ro-RO"/>
        </w:rPr>
        <w:t>a organizat diferite proceduri de achiziții</w:t>
      </w:r>
      <w:r w:rsidR="00282091" w:rsidRPr="00650D66">
        <w:rPr>
          <w:rFonts w:ascii="Times New Roman" w:hAnsi="Times New Roman" w:cs="Times New Roman"/>
          <w:bCs/>
          <w:sz w:val="24"/>
          <w:szCs w:val="24"/>
          <w:lang w:val="ro-RO"/>
        </w:rPr>
        <w:t xml:space="preserve"> și a estimat valorile achizițiilor majorate</w:t>
      </w:r>
      <w:r w:rsidR="00C44B7E" w:rsidRPr="00650D66">
        <w:rPr>
          <w:rFonts w:ascii="Times New Roman" w:eastAsia="Times New Roman" w:hAnsi="Times New Roman" w:cs="Times New Roman"/>
          <w:bCs/>
          <w:color w:val="000000"/>
          <w:sz w:val="24"/>
          <w:szCs w:val="24"/>
          <w:lang w:val="ro-RO"/>
        </w:rPr>
        <w:t xml:space="preserve"> </w:t>
      </w:r>
      <w:r w:rsidR="00282091" w:rsidRPr="00650D66">
        <w:rPr>
          <w:rFonts w:ascii="Times New Roman" w:eastAsia="Times New Roman" w:hAnsi="Times New Roman" w:cs="Times New Roman"/>
          <w:bCs/>
          <w:color w:val="000000"/>
          <w:sz w:val="24"/>
          <w:szCs w:val="24"/>
          <w:lang w:val="ro-RO"/>
        </w:rPr>
        <w:t>condiționând selectarea</w:t>
      </w:r>
      <w:r w:rsidR="00C44B7E" w:rsidRPr="00650D66">
        <w:rPr>
          <w:rFonts w:ascii="Times New Roman" w:eastAsia="Times New Roman" w:hAnsi="Times New Roman" w:cs="Times New Roman"/>
          <w:bCs/>
          <w:color w:val="000000"/>
          <w:sz w:val="24"/>
          <w:szCs w:val="24"/>
          <w:lang w:val="ro-RO"/>
        </w:rPr>
        <w:t xml:space="preserve"> </w:t>
      </w:r>
      <w:r w:rsidR="00282091" w:rsidRPr="00650D66">
        <w:rPr>
          <w:rFonts w:ascii="Times New Roman" w:eastAsia="Times New Roman" w:hAnsi="Times New Roman" w:cs="Times New Roman"/>
          <w:bCs/>
          <w:color w:val="000000"/>
          <w:sz w:val="24"/>
          <w:szCs w:val="24"/>
          <w:lang w:val="ro-RO"/>
        </w:rPr>
        <w:t>ofertelor</w:t>
      </w:r>
      <w:r w:rsidR="00C44B7E" w:rsidRPr="00650D66">
        <w:rPr>
          <w:rFonts w:ascii="Times New Roman" w:eastAsia="Times New Roman" w:hAnsi="Times New Roman" w:cs="Times New Roman"/>
          <w:bCs/>
          <w:color w:val="000000"/>
          <w:sz w:val="24"/>
          <w:szCs w:val="24"/>
          <w:lang w:val="ro-RO"/>
        </w:rPr>
        <w:t xml:space="preserve"> </w:t>
      </w:r>
      <w:r w:rsidR="00786DD4" w:rsidRPr="00650D66">
        <w:rPr>
          <w:rFonts w:ascii="Times New Roman" w:eastAsia="Times New Roman" w:hAnsi="Times New Roman" w:cs="Times New Roman"/>
          <w:bCs/>
          <w:color w:val="000000"/>
          <w:sz w:val="24"/>
          <w:szCs w:val="24"/>
          <w:lang w:val="ro-RO"/>
        </w:rPr>
        <w:t xml:space="preserve">câștigătoare </w:t>
      </w:r>
      <w:r w:rsidR="00C44B7E" w:rsidRPr="00650D66">
        <w:rPr>
          <w:rFonts w:ascii="Times New Roman" w:eastAsia="Times New Roman" w:hAnsi="Times New Roman" w:cs="Times New Roman"/>
          <w:bCs/>
          <w:color w:val="000000"/>
          <w:sz w:val="24"/>
          <w:szCs w:val="24"/>
          <w:lang w:val="ro-RO"/>
        </w:rPr>
        <w:t xml:space="preserve">de către grupul de lucru </w:t>
      </w:r>
      <w:r w:rsidR="008C1D91" w:rsidRPr="00650D66">
        <w:rPr>
          <w:rFonts w:ascii="Times New Roman" w:eastAsia="Times New Roman" w:hAnsi="Times New Roman" w:cs="Times New Roman"/>
          <w:bCs/>
          <w:color w:val="000000"/>
          <w:sz w:val="24"/>
          <w:szCs w:val="24"/>
          <w:lang w:val="ro-RO"/>
        </w:rPr>
        <w:t>al BNM</w:t>
      </w:r>
      <w:r w:rsidR="00E0406A">
        <w:rPr>
          <w:rFonts w:ascii="Times New Roman" w:eastAsia="Times New Roman" w:hAnsi="Times New Roman" w:cs="Times New Roman"/>
          <w:bCs/>
          <w:color w:val="000000"/>
          <w:sz w:val="24"/>
          <w:szCs w:val="24"/>
          <w:lang w:val="ro-RO"/>
        </w:rPr>
        <w:t xml:space="preserve">. </w:t>
      </w:r>
      <w:r w:rsidR="00012698" w:rsidRPr="00650D66">
        <w:rPr>
          <w:rFonts w:ascii="Times New Roman" w:eastAsia="Times New Roman" w:hAnsi="Times New Roman" w:cs="Times New Roman"/>
          <w:bCs/>
          <w:color w:val="000000"/>
          <w:sz w:val="24"/>
          <w:szCs w:val="24"/>
          <w:lang w:val="ro-RO"/>
        </w:rPr>
        <w:t xml:space="preserve">Potrivit motivației BNM, ofertele care nu au corespuns cerințelor de calificare și selecție au fost respinse în condițiile legislației în vigoare, iar selectarea ofertelor câștigătoare s-a efectuat la prețul cel mai scăzut cu corespunderea cerințelor de calificare și selecție. </w:t>
      </w:r>
      <w:r w:rsidR="00FD1C3B" w:rsidRPr="00650D66">
        <w:rPr>
          <w:rFonts w:ascii="Times New Roman" w:eastAsia="Times New Roman" w:hAnsi="Times New Roman" w:cs="Times New Roman"/>
          <w:bCs/>
          <w:color w:val="000000"/>
          <w:sz w:val="24"/>
          <w:szCs w:val="24"/>
          <w:lang w:val="ro-RO"/>
        </w:rPr>
        <w:t>În acest aspect e</w:t>
      </w:r>
      <w:r w:rsidR="008D513D" w:rsidRPr="00650D66">
        <w:rPr>
          <w:rFonts w:ascii="Times New Roman" w:eastAsia="Times New Roman" w:hAnsi="Times New Roman" w:cs="Times New Roman"/>
          <w:bCs/>
          <w:color w:val="000000"/>
          <w:sz w:val="24"/>
          <w:szCs w:val="24"/>
          <w:lang w:val="ro-RO"/>
        </w:rPr>
        <w:t>xemplificăm</w:t>
      </w:r>
      <w:r w:rsidR="00FD1C3B" w:rsidRPr="00650D66">
        <w:rPr>
          <w:rFonts w:ascii="Times New Roman" w:eastAsia="Times New Roman" w:hAnsi="Times New Roman" w:cs="Times New Roman"/>
          <w:bCs/>
          <w:color w:val="000000"/>
          <w:sz w:val="24"/>
          <w:szCs w:val="24"/>
          <w:lang w:val="ro-RO"/>
        </w:rPr>
        <w:t xml:space="preserve"> următoarele:</w:t>
      </w:r>
    </w:p>
    <w:p w14:paraId="7AA751D1" w14:textId="77777777" w:rsidR="001952D6" w:rsidRPr="00650D66" w:rsidRDefault="001952D6" w:rsidP="00281C2E">
      <w:pPr>
        <w:tabs>
          <w:tab w:val="left" w:pos="284"/>
          <w:tab w:val="left" w:pos="993"/>
        </w:tabs>
        <w:spacing w:after="0" w:line="276" w:lineRule="auto"/>
        <w:jc w:val="both"/>
        <w:rPr>
          <w:rFonts w:ascii="Times New Roman" w:eastAsia="Times New Roman" w:hAnsi="Times New Roman" w:cs="Times New Roman"/>
          <w:b/>
          <w:bCs/>
          <w:i/>
          <w:color w:val="000000"/>
          <w:sz w:val="6"/>
          <w:szCs w:val="6"/>
          <w:lang w:val="ro-RO"/>
        </w:rPr>
      </w:pPr>
    </w:p>
    <w:p w14:paraId="7FFAAE31" w14:textId="516FB85B" w:rsidR="00B5053A" w:rsidRPr="00991A75" w:rsidRDefault="00FF52C0" w:rsidP="004A1275">
      <w:pPr>
        <w:pStyle w:val="ListParagraph"/>
        <w:numPr>
          <w:ilvl w:val="0"/>
          <w:numId w:val="4"/>
        </w:numPr>
        <w:tabs>
          <w:tab w:val="left" w:pos="284"/>
          <w:tab w:val="left" w:pos="993"/>
        </w:tabs>
        <w:spacing w:after="0" w:line="276" w:lineRule="auto"/>
        <w:ind w:left="0" w:firstLine="709"/>
        <w:jc w:val="both"/>
        <w:rPr>
          <w:rFonts w:ascii="Times New Roman" w:eastAsia="Times New Roman" w:hAnsi="Times New Roman" w:cs="Times New Roman"/>
          <w:bCs/>
          <w:color w:val="000000"/>
          <w:sz w:val="24"/>
          <w:szCs w:val="24"/>
          <w:lang w:val="ro-RO"/>
        </w:rPr>
      </w:pPr>
      <w:r w:rsidRPr="00991A75">
        <w:rPr>
          <w:rFonts w:ascii="Times New Roman" w:eastAsia="Times New Roman" w:hAnsi="Times New Roman" w:cs="Times New Roman"/>
          <w:bCs/>
          <w:color w:val="000000"/>
          <w:sz w:val="24"/>
          <w:szCs w:val="24"/>
          <w:lang w:val="ro-RO"/>
        </w:rPr>
        <w:t>l</w:t>
      </w:r>
      <w:r w:rsidR="003743F8" w:rsidRPr="00991A75">
        <w:rPr>
          <w:rFonts w:ascii="Times New Roman" w:eastAsia="Times New Roman" w:hAnsi="Times New Roman" w:cs="Times New Roman"/>
          <w:bCs/>
          <w:color w:val="000000"/>
          <w:sz w:val="24"/>
          <w:szCs w:val="24"/>
          <w:lang w:val="ro-RO"/>
        </w:rPr>
        <w:t>a data de 02.07.2021</w:t>
      </w:r>
      <w:r w:rsidR="00B5053A" w:rsidRPr="00991A75">
        <w:rPr>
          <w:rFonts w:ascii="Times New Roman" w:eastAsia="Times New Roman" w:hAnsi="Times New Roman" w:cs="Times New Roman"/>
          <w:bCs/>
          <w:color w:val="000000"/>
          <w:sz w:val="24"/>
          <w:szCs w:val="24"/>
          <w:lang w:val="ro-RO"/>
        </w:rPr>
        <w:t xml:space="preserve"> a fost organizată o procedură de achiziție prin LD</w:t>
      </w:r>
      <w:r w:rsidR="00AD1D91" w:rsidRPr="00991A75">
        <w:rPr>
          <w:rFonts w:ascii="Times New Roman" w:eastAsia="Times New Roman" w:hAnsi="Times New Roman" w:cs="Times New Roman"/>
          <w:bCs/>
          <w:color w:val="000000"/>
          <w:sz w:val="24"/>
          <w:szCs w:val="24"/>
          <w:lang w:val="ro-RO"/>
        </w:rPr>
        <w:t xml:space="preserve"> a </w:t>
      </w:r>
      <w:r w:rsidR="00AD1D91" w:rsidRPr="00991A75">
        <w:rPr>
          <w:rFonts w:ascii="Times New Roman" w:eastAsia="Times New Roman" w:hAnsi="Times New Roman" w:cs="Times New Roman"/>
          <w:b/>
          <w:bCs/>
          <w:i/>
          <w:color w:val="000000"/>
          <w:sz w:val="24"/>
          <w:szCs w:val="24"/>
          <w:lang w:val="ro-RO"/>
        </w:rPr>
        <w:t>l</w:t>
      </w:r>
      <w:r w:rsidR="00B5053A" w:rsidRPr="00991A75">
        <w:rPr>
          <w:rFonts w:ascii="Times New Roman" w:eastAsia="Times New Roman" w:hAnsi="Times New Roman" w:cs="Times New Roman"/>
          <w:b/>
          <w:bCs/>
          <w:i/>
          <w:color w:val="000000"/>
          <w:sz w:val="24"/>
          <w:szCs w:val="24"/>
          <w:lang w:val="ro-RO"/>
        </w:rPr>
        <w:t>ucrărilor de montare a ferestrelor, inclusiv dezinstalarea</w:t>
      </w:r>
      <w:r w:rsidR="00004A5A" w:rsidRPr="00991A75">
        <w:rPr>
          <w:rFonts w:ascii="Times New Roman" w:eastAsia="Times New Roman" w:hAnsi="Times New Roman" w:cs="Times New Roman"/>
          <w:bCs/>
          <w:color w:val="000000"/>
          <w:sz w:val="24"/>
          <w:szCs w:val="24"/>
          <w:lang w:val="ro-RO"/>
        </w:rPr>
        <w:t>, fiind depuse 5 oferte,</w:t>
      </w:r>
      <w:r w:rsidR="00B5053A" w:rsidRPr="00991A75">
        <w:rPr>
          <w:rFonts w:ascii="Times New Roman" w:eastAsia="Times New Roman" w:hAnsi="Times New Roman" w:cs="Times New Roman"/>
          <w:bCs/>
          <w:color w:val="000000"/>
          <w:sz w:val="24"/>
          <w:szCs w:val="24"/>
          <w:lang w:val="ro-RO"/>
        </w:rPr>
        <w:t xml:space="preserve"> dar a fost anulată</w:t>
      </w:r>
      <w:r w:rsidR="00B5053A" w:rsidRPr="00650D66">
        <w:rPr>
          <w:rStyle w:val="FootnoteReference"/>
          <w:rFonts w:ascii="Times New Roman" w:eastAsia="Times New Roman" w:hAnsi="Times New Roman" w:cs="Times New Roman"/>
          <w:bCs/>
          <w:color w:val="000000"/>
          <w:sz w:val="24"/>
          <w:szCs w:val="24"/>
          <w:lang w:val="ro-RO"/>
        </w:rPr>
        <w:footnoteReference w:id="69"/>
      </w:r>
      <w:r w:rsidR="00004A5A" w:rsidRPr="00991A75">
        <w:rPr>
          <w:rFonts w:ascii="Times New Roman" w:eastAsia="Times New Roman" w:hAnsi="Times New Roman" w:cs="Times New Roman"/>
          <w:bCs/>
          <w:color w:val="000000"/>
          <w:sz w:val="24"/>
          <w:szCs w:val="24"/>
          <w:lang w:val="ro-RO"/>
        </w:rPr>
        <w:t xml:space="preserve"> din cauza că toate ofertele nu au îndeplinit cerințele de calificare și selecție și nu au corespuns cerințelor </w:t>
      </w:r>
      <w:r w:rsidR="00004A5A" w:rsidRPr="00991A75">
        <w:rPr>
          <w:rFonts w:ascii="Times New Roman" w:eastAsia="Times New Roman" w:hAnsi="Times New Roman" w:cs="Times New Roman"/>
          <w:bCs/>
          <w:color w:val="000000"/>
          <w:sz w:val="24"/>
          <w:szCs w:val="24"/>
          <w:lang w:val="ro-RO"/>
        </w:rPr>
        <w:lastRenderedPageBreak/>
        <w:t xml:space="preserve">expuse în documentația de atribuire. </w:t>
      </w:r>
      <w:r w:rsidR="00A71020" w:rsidRPr="00991A75">
        <w:rPr>
          <w:rFonts w:ascii="Times New Roman" w:eastAsia="Times New Roman" w:hAnsi="Times New Roman" w:cs="Times New Roman"/>
          <w:bCs/>
          <w:color w:val="000000"/>
          <w:sz w:val="24"/>
          <w:szCs w:val="24"/>
          <w:lang w:val="ro-RO"/>
        </w:rPr>
        <w:t>G</w:t>
      </w:r>
      <w:r w:rsidR="00004A5A" w:rsidRPr="00991A75">
        <w:rPr>
          <w:rFonts w:ascii="Times New Roman" w:eastAsia="Times New Roman" w:hAnsi="Times New Roman" w:cs="Times New Roman"/>
          <w:bCs/>
          <w:color w:val="000000"/>
          <w:sz w:val="24"/>
          <w:szCs w:val="24"/>
          <w:lang w:val="ro-RO"/>
        </w:rPr>
        <w:t>rupul de lucru a decis adresarea cu plângere către Consiliul Concurenței pentru verificarea documentelor referitor la suspiciunile de denaturare a concurenței</w:t>
      </w:r>
      <w:r w:rsidR="00004A5A" w:rsidRPr="00650D66">
        <w:rPr>
          <w:rStyle w:val="FootnoteReference"/>
          <w:rFonts w:ascii="Times New Roman" w:eastAsia="Times New Roman" w:hAnsi="Times New Roman" w:cs="Times New Roman"/>
          <w:bCs/>
          <w:color w:val="000000"/>
          <w:sz w:val="24"/>
          <w:szCs w:val="24"/>
          <w:lang w:val="ro-RO"/>
        </w:rPr>
        <w:footnoteReference w:id="70"/>
      </w:r>
      <w:r w:rsidR="00735838" w:rsidRPr="00991A75">
        <w:rPr>
          <w:rFonts w:ascii="Times New Roman" w:eastAsia="Times New Roman" w:hAnsi="Times New Roman" w:cs="Times New Roman"/>
          <w:bCs/>
          <w:color w:val="000000"/>
          <w:sz w:val="24"/>
          <w:szCs w:val="24"/>
          <w:lang w:val="ro-RO"/>
        </w:rPr>
        <w:t>. Auditul a constatat că</w:t>
      </w:r>
      <w:r w:rsidR="002461AA" w:rsidRPr="00991A75">
        <w:rPr>
          <w:rFonts w:ascii="Times New Roman" w:eastAsia="Times New Roman" w:hAnsi="Times New Roman" w:cs="Times New Roman"/>
          <w:bCs/>
          <w:color w:val="000000"/>
          <w:sz w:val="24"/>
          <w:szCs w:val="24"/>
          <w:lang w:val="ro-RO"/>
        </w:rPr>
        <w:t>,</w:t>
      </w:r>
      <w:r w:rsidR="00735838" w:rsidRPr="00991A75">
        <w:rPr>
          <w:rFonts w:ascii="Times New Roman" w:eastAsia="Times New Roman" w:hAnsi="Times New Roman" w:cs="Times New Roman"/>
          <w:bCs/>
          <w:color w:val="000000"/>
          <w:sz w:val="24"/>
          <w:szCs w:val="24"/>
          <w:lang w:val="ro-RO"/>
        </w:rPr>
        <w:t xml:space="preserve"> </w:t>
      </w:r>
      <w:r w:rsidR="001952D6" w:rsidRPr="00991A75">
        <w:rPr>
          <w:rFonts w:ascii="Times New Roman" w:eastAsia="Times New Roman" w:hAnsi="Times New Roman" w:cs="Times New Roman"/>
          <w:bCs/>
          <w:color w:val="000000"/>
          <w:sz w:val="24"/>
          <w:szCs w:val="24"/>
          <w:lang w:val="ro-RO"/>
        </w:rPr>
        <w:t xml:space="preserve">deși </w:t>
      </w:r>
      <w:r w:rsidR="00735838" w:rsidRPr="00991A75">
        <w:rPr>
          <w:rFonts w:ascii="Times New Roman" w:eastAsia="Times New Roman" w:hAnsi="Times New Roman" w:cs="Times New Roman"/>
          <w:bCs/>
          <w:color w:val="000000"/>
          <w:sz w:val="24"/>
          <w:szCs w:val="24"/>
          <w:lang w:val="ro-RO"/>
        </w:rPr>
        <w:t xml:space="preserve">plângerea a fost întocmită, aceasta </w:t>
      </w:r>
      <w:r w:rsidR="001952D6" w:rsidRPr="00991A75">
        <w:rPr>
          <w:rFonts w:ascii="Times New Roman" w:eastAsia="Times New Roman" w:hAnsi="Times New Roman" w:cs="Times New Roman"/>
          <w:bCs/>
          <w:color w:val="000000"/>
          <w:sz w:val="24"/>
          <w:szCs w:val="24"/>
          <w:lang w:val="ro-RO"/>
        </w:rPr>
        <w:t>nu a fost expediată de către BNM la Consiliul Concurenței.</w:t>
      </w:r>
    </w:p>
    <w:p w14:paraId="4EF983F6" w14:textId="662F8670" w:rsidR="00A056AD" w:rsidRPr="00650D66" w:rsidRDefault="00534EAB" w:rsidP="00281C2E">
      <w:pPr>
        <w:tabs>
          <w:tab w:val="left" w:pos="284"/>
          <w:tab w:val="left" w:pos="993"/>
        </w:tabs>
        <w:spacing w:after="0" w:line="276" w:lineRule="auto"/>
        <w:jc w:val="both"/>
        <w:rPr>
          <w:rFonts w:ascii="Times New Roman" w:eastAsia="Times New Roman" w:hAnsi="Times New Roman" w:cs="Times New Roman"/>
          <w:bCs/>
          <w:color w:val="000000"/>
          <w:sz w:val="24"/>
          <w:szCs w:val="24"/>
          <w:lang w:val="ro-RO"/>
        </w:rPr>
      </w:pPr>
      <w:r w:rsidRPr="00650D66">
        <w:rPr>
          <w:rFonts w:ascii="Times New Roman" w:eastAsia="Times New Roman" w:hAnsi="Times New Roman" w:cs="Times New Roman"/>
          <w:bCs/>
          <w:color w:val="000000"/>
          <w:sz w:val="24"/>
          <w:szCs w:val="24"/>
          <w:lang w:val="ro-RO"/>
        </w:rPr>
        <w:t xml:space="preserve">Ulterior, a fost organizată o </w:t>
      </w:r>
      <w:r w:rsidR="00357A54" w:rsidRPr="00650D66">
        <w:rPr>
          <w:rFonts w:ascii="Times New Roman" w:eastAsia="Times New Roman" w:hAnsi="Times New Roman" w:cs="Times New Roman"/>
          <w:bCs/>
          <w:color w:val="000000"/>
          <w:sz w:val="24"/>
          <w:szCs w:val="24"/>
          <w:lang w:val="ro-RO"/>
        </w:rPr>
        <w:t>procedură de achiziție repetată</w:t>
      </w:r>
      <w:r w:rsidR="00FF52C0">
        <w:rPr>
          <w:rFonts w:ascii="Times New Roman" w:eastAsia="Times New Roman" w:hAnsi="Times New Roman" w:cs="Times New Roman"/>
          <w:bCs/>
          <w:color w:val="000000"/>
          <w:sz w:val="24"/>
          <w:szCs w:val="24"/>
          <w:lang w:val="ro-RO"/>
        </w:rPr>
        <w:t>,</w:t>
      </w:r>
      <w:r w:rsidR="00357A54" w:rsidRPr="00650D66">
        <w:rPr>
          <w:rFonts w:ascii="Times New Roman" w:eastAsia="Times New Roman" w:hAnsi="Times New Roman" w:cs="Times New Roman"/>
          <w:bCs/>
          <w:color w:val="000000"/>
          <w:sz w:val="24"/>
          <w:szCs w:val="24"/>
          <w:lang w:val="ro-RO"/>
        </w:rPr>
        <w:t xml:space="preserve"> </w:t>
      </w:r>
      <w:r w:rsidR="009C22AA" w:rsidRPr="00650D66">
        <w:rPr>
          <w:rFonts w:ascii="Times New Roman" w:eastAsia="Times New Roman" w:hAnsi="Times New Roman" w:cs="Times New Roman"/>
          <w:bCs/>
          <w:color w:val="000000"/>
          <w:sz w:val="24"/>
          <w:szCs w:val="24"/>
          <w:lang w:val="ro-RO"/>
        </w:rPr>
        <w:t>pe data de</w:t>
      </w:r>
      <w:r w:rsidR="00357A54" w:rsidRPr="00650D66">
        <w:rPr>
          <w:rFonts w:ascii="Times New Roman" w:eastAsia="Times New Roman" w:hAnsi="Times New Roman" w:cs="Times New Roman"/>
          <w:bCs/>
          <w:color w:val="000000"/>
          <w:sz w:val="24"/>
          <w:szCs w:val="24"/>
          <w:lang w:val="ro-RO"/>
        </w:rPr>
        <w:t xml:space="preserve"> 07.12.2021</w:t>
      </w:r>
      <w:r w:rsidR="00FF52C0">
        <w:rPr>
          <w:rFonts w:ascii="Times New Roman" w:eastAsia="Times New Roman" w:hAnsi="Times New Roman" w:cs="Times New Roman"/>
          <w:bCs/>
          <w:color w:val="000000"/>
          <w:sz w:val="24"/>
          <w:szCs w:val="24"/>
          <w:lang w:val="ro-RO"/>
        </w:rPr>
        <w:t>,</w:t>
      </w:r>
      <w:r w:rsidR="00097D67" w:rsidRPr="00650D66">
        <w:rPr>
          <w:rFonts w:ascii="Times New Roman" w:eastAsia="Times New Roman" w:hAnsi="Times New Roman" w:cs="Times New Roman"/>
          <w:bCs/>
          <w:color w:val="000000"/>
          <w:sz w:val="24"/>
          <w:szCs w:val="24"/>
          <w:lang w:val="ro-RO"/>
        </w:rPr>
        <w:t xml:space="preserve"> cu </w:t>
      </w:r>
      <w:r w:rsidR="005C7532" w:rsidRPr="00650D66">
        <w:rPr>
          <w:rFonts w:ascii="Times New Roman" w:eastAsia="Times New Roman" w:hAnsi="Times New Roman" w:cs="Times New Roman"/>
          <w:bCs/>
          <w:color w:val="000000"/>
          <w:sz w:val="24"/>
          <w:szCs w:val="24"/>
          <w:lang w:val="ro-RO"/>
        </w:rPr>
        <w:t xml:space="preserve">aceeași valoare </w:t>
      </w:r>
      <w:r w:rsidR="00097D67" w:rsidRPr="00650D66">
        <w:rPr>
          <w:rFonts w:ascii="Times New Roman" w:eastAsia="Times New Roman" w:hAnsi="Times New Roman" w:cs="Times New Roman"/>
          <w:bCs/>
          <w:color w:val="000000"/>
          <w:sz w:val="24"/>
          <w:szCs w:val="24"/>
          <w:lang w:val="ro-RO"/>
        </w:rPr>
        <w:t>estimată a achiziției în sumă de 3</w:t>
      </w:r>
      <w:r w:rsidR="00FF52C0">
        <w:rPr>
          <w:rFonts w:ascii="Times New Roman" w:eastAsia="Times New Roman" w:hAnsi="Times New Roman" w:cs="Times New Roman"/>
          <w:bCs/>
          <w:color w:val="000000"/>
          <w:sz w:val="24"/>
          <w:szCs w:val="24"/>
          <w:lang w:val="ro-RO"/>
        </w:rPr>
        <w:t>.</w:t>
      </w:r>
      <w:r w:rsidR="00097D67" w:rsidRPr="00650D66">
        <w:rPr>
          <w:rFonts w:ascii="Times New Roman" w:eastAsia="Times New Roman" w:hAnsi="Times New Roman" w:cs="Times New Roman"/>
          <w:bCs/>
          <w:color w:val="000000"/>
          <w:sz w:val="24"/>
          <w:szCs w:val="24"/>
          <w:lang w:val="ro-RO"/>
        </w:rPr>
        <w:t>333,0 mii lei,</w:t>
      </w:r>
      <w:r w:rsidR="00357A54" w:rsidRPr="00650D66">
        <w:rPr>
          <w:rFonts w:ascii="Times New Roman" w:eastAsia="Times New Roman" w:hAnsi="Times New Roman" w:cs="Times New Roman"/>
          <w:bCs/>
          <w:color w:val="000000"/>
          <w:sz w:val="24"/>
          <w:szCs w:val="24"/>
          <w:lang w:val="ro-RO"/>
        </w:rPr>
        <w:t xml:space="preserve"> fiind depuse 2 oferte</w:t>
      </w:r>
      <w:r w:rsidR="009C22AA" w:rsidRPr="00650D66">
        <w:rPr>
          <w:rFonts w:ascii="Times New Roman" w:eastAsia="Times New Roman" w:hAnsi="Times New Roman" w:cs="Times New Roman"/>
          <w:bCs/>
          <w:color w:val="000000"/>
          <w:sz w:val="24"/>
          <w:szCs w:val="24"/>
          <w:lang w:val="ro-RO"/>
        </w:rPr>
        <w:t xml:space="preserve"> de către agenții economici care au participat și la procedura de achiziție anulată anterior, doar că la prețuri mai mari. </w:t>
      </w:r>
      <w:r w:rsidR="00FF52C0">
        <w:rPr>
          <w:rFonts w:ascii="Times New Roman" w:eastAsia="Times New Roman" w:hAnsi="Times New Roman" w:cs="Times New Roman"/>
          <w:bCs/>
          <w:color w:val="000000"/>
          <w:sz w:val="24"/>
          <w:szCs w:val="24"/>
          <w:lang w:val="ro-RO"/>
        </w:rPr>
        <w:t>Ca u</w:t>
      </w:r>
      <w:r w:rsidR="009C22AA" w:rsidRPr="00650D66">
        <w:rPr>
          <w:rFonts w:ascii="Times New Roman" w:eastAsia="Times New Roman" w:hAnsi="Times New Roman" w:cs="Times New Roman"/>
          <w:bCs/>
          <w:color w:val="000000"/>
          <w:sz w:val="24"/>
          <w:szCs w:val="24"/>
          <w:lang w:val="ro-RO"/>
        </w:rPr>
        <w:t xml:space="preserve">rmare </w:t>
      </w:r>
      <w:r w:rsidR="00FF52C0">
        <w:rPr>
          <w:rFonts w:ascii="Times New Roman" w:eastAsia="Times New Roman" w:hAnsi="Times New Roman" w:cs="Times New Roman"/>
          <w:bCs/>
          <w:color w:val="000000"/>
          <w:sz w:val="24"/>
          <w:szCs w:val="24"/>
          <w:lang w:val="ro-RO"/>
        </w:rPr>
        <w:t xml:space="preserve">a </w:t>
      </w:r>
      <w:r w:rsidR="009C22AA" w:rsidRPr="00650D66">
        <w:rPr>
          <w:rFonts w:ascii="Times New Roman" w:eastAsia="Times New Roman" w:hAnsi="Times New Roman" w:cs="Times New Roman"/>
          <w:bCs/>
          <w:color w:val="000000"/>
          <w:sz w:val="24"/>
          <w:szCs w:val="24"/>
          <w:lang w:val="ro-RO"/>
        </w:rPr>
        <w:t>evaluării ofertelor de către grupul de lucru, a fost desemnată câștigătoare o ofertă</w:t>
      </w:r>
      <w:r w:rsidR="00BC10B7" w:rsidRPr="00650D66">
        <w:rPr>
          <w:rFonts w:ascii="Times New Roman" w:eastAsia="Times New Roman" w:hAnsi="Times New Roman" w:cs="Times New Roman"/>
          <w:bCs/>
          <w:color w:val="000000"/>
          <w:sz w:val="24"/>
          <w:szCs w:val="24"/>
          <w:lang w:val="ro-RO"/>
        </w:rPr>
        <w:t xml:space="preserve"> mai mare</w:t>
      </w:r>
      <w:r w:rsidR="009C22AA" w:rsidRPr="00650D66">
        <w:rPr>
          <w:rFonts w:ascii="Times New Roman" w:eastAsia="Times New Roman" w:hAnsi="Times New Roman" w:cs="Times New Roman"/>
          <w:bCs/>
          <w:color w:val="000000"/>
          <w:sz w:val="24"/>
          <w:szCs w:val="24"/>
          <w:lang w:val="ro-RO"/>
        </w:rPr>
        <w:t xml:space="preserve">, fiind încheiat de către BNM </w:t>
      </w:r>
      <w:r w:rsidR="00656EBD">
        <w:rPr>
          <w:rFonts w:ascii="Times New Roman" w:eastAsia="Times New Roman" w:hAnsi="Times New Roman" w:cs="Times New Roman"/>
          <w:bCs/>
          <w:color w:val="000000"/>
          <w:sz w:val="24"/>
          <w:szCs w:val="24"/>
          <w:lang w:val="ro-RO"/>
        </w:rPr>
        <w:t>C</w:t>
      </w:r>
      <w:r w:rsidR="009C22AA" w:rsidRPr="00650D66">
        <w:rPr>
          <w:rFonts w:ascii="Times New Roman" w:eastAsia="Times New Roman" w:hAnsi="Times New Roman" w:cs="Times New Roman"/>
          <w:bCs/>
          <w:color w:val="000000"/>
          <w:sz w:val="24"/>
          <w:szCs w:val="24"/>
          <w:lang w:val="ro-RO"/>
        </w:rPr>
        <w:t>ontractul</w:t>
      </w:r>
      <w:r w:rsidR="00357A54" w:rsidRPr="00650D66">
        <w:rPr>
          <w:rFonts w:ascii="Times New Roman" w:eastAsia="Times New Roman" w:hAnsi="Times New Roman" w:cs="Times New Roman"/>
          <w:bCs/>
          <w:color w:val="000000"/>
          <w:sz w:val="24"/>
          <w:szCs w:val="24"/>
          <w:lang w:val="ro-RO"/>
        </w:rPr>
        <w:t xml:space="preserve"> </w:t>
      </w:r>
      <w:r w:rsidR="009C22AA" w:rsidRPr="00650D66">
        <w:rPr>
          <w:rFonts w:ascii="Times New Roman" w:eastAsia="Times New Roman" w:hAnsi="Times New Roman" w:cs="Times New Roman"/>
          <w:bCs/>
          <w:color w:val="000000"/>
          <w:sz w:val="24"/>
          <w:szCs w:val="24"/>
          <w:lang w:val="ro-RO"/>
        </w:rPr>
        <w:t xml:space="preserve">nr.24/78/2022-LD din 07.04.2022 </w:t>
      </w:r>
      <w:r w:rsidR="00B5604E" w:rsidRPr="00650D66">
        <w:rPr>
          <w:rFonts w:ascii="Times New Roman" w:eastAsia="Times New Roman" w:hAnsi="Times New Roman" w:cs="Times New Roman"/>
          <w:bCs/>
          <w:color w:val="000000"/>
          <w:sz w:val="24"/>
          <w:szCs w:val="24"/>
          <w:lang w:val="ro-RO"/>
        </w:rPr>
        <w:t>î</w:t>
      </w:r>
      <w:r w:rsidR="009C22AA" w:rsidRPr="00650D66">
        <w:rPr>
          <w:rFonts w:ascii="Times New Roman" w:eastAsia="Times New Roman" w:hAnsi="Times New Roman" w:cs="Times New Roman"/>
          <w:bCs/>
          <w:color w:val="000000"/>
          <w:sz w:val="24"/>
          <w:szCs w:val="24"/>
          <w:lang w:val="ro-RO"/>
        </w:rPr>
        <w:t>n sumă de 3</w:t>
      </w:r>
      <w:r w:rsidR="00FF52C0">
        <w:rPr>
          <w:rFonts w:ascii="Times New Roman" w:eastAsia="Times New Roman" w:hAnsi="Times New Roman" w:cs="Times New Roman"/>
          <w:bCs/>
          <w:color w:val="000000"/>
          <w:sz w:val="24"/>
          <w:szCs w:val="24"/>
          <w:lang w:val="ro-RO"/>
        </w:rPr>
        <w:t>.</w:t>
      </w:r>
      <w:r w:rsidR="009C22AA" w:rsidRPr="00650D66">
        <w:rPr>
          <w:rFonts w:ascii="Times New Roman" w:eastAsia="Times New Roman" w:hAnsi="Times New Roman" w:cs="Times New Roman"/>
          <w:bCs/>
          <w:color w:val="000000"/>
          <w:sz w:val="24"/>
          <w:szCs w:val="24"/>
          <w:lang w:val="ro-RO"/>
        </w:rPr>
        <w:t>848,2 mii lei</w:t>
      </w:r>
      <w:r w:rsidR="00E220F0" w:rsidRPr="00650D66">
        <w:rPr>
          <w:rFonts w:ascii="Times New Roman" w:eastAsia="Times New Roman" w:hAnsi="Times New Roman" w:cs="Times New Roman"/>
          <w:bCs/>
          <w:color w:val="000000"/>
          <w:sz w:val="24"/>
          <w:szCs w:val="24"/>
          <w:lang w:val="ro-RO"/>
        </w:rPr>
        <w:t>, din care s-a</w:t>
      </w:r>
      <w:r w:rsidR="00FF52C0">
        <w:rPr>
          <w:rFonts w:ascii="Times New Roman" w:eastAsia="Times New Roman" w:hAnsi="Times New Roman" w:cs="Times New Roman"/>
          <w:bCs/>
          <w:color w:val="000000"/>
          <w:sz w:val="24"/>
          <w:szCs w:val="24"/>
          <w:lang w:val="ro-RO"/>
        </w:rPr>
        <w:t>u</w:t>
      </w:r>
      <w:r w:rsidR="00E220F0" w:rsidRPr="00650D66">
        <w:rPr>
          <w:rFonts w:ascii="Times New Roman" w:eastAsia="Times New Roman" w:hAnsi="Times New Roman" w:cs="Times New Roman"/>
          <w:bCs/>
          <w:color w:val="000000"/>
          <w:sz w:val="24"/>
          <w:szCs w:val="24"/>
          <w:lang w:val="ro-RO"/>
        </w:rPr>
        <w:t xml:space="preserve"> executat 3</w:t>
      </w:r>
      <w:r w:rsidR="00FF52C0">
        <w:rPr>
          <w:rFonts w:ascii="Times New Roman" w:eastAsia="Times New Roman" w:hAnsi="Times New Roman" w:cs="Times New Roman"/>
          <w:bCs/>
          <w:color w:val="000000"/>
          <w:sz w:val="24"/>
          <w:szCs w:val="24"/>
          <w:lang w:val="ro-RO"/>
        </w:rPr>
        <w:t>.</w:t>
      </w:r>
      <w:r w:rsidR="00E220F0" w:rsidRPr="00650D66">
        <w:rPr>
          <w:rFonts w:ascii="Times New Roman" w:eastAsia="Times New Roman" w:hAnsi="Times New Roman" w:cs="Times New Roman"/>
          <w:bCs/>
          <w:color w:val="000000"/>
          <w:sz w:val="24"/>
          <w:szCs w:val="24"/>
          <w:lang w:val="ro-RO"/>
        </w:rPr>
        <w:t>177,2 mii lei</w:t>
      </w:r>
      <w:r w:rsidR="006F2070" w:rsidRPr="00650D66">
        <w:rPr>
          <w:rStyle w:val="FootnoteReference"/>
          <w:rFonts w:ascii="Times New Roman" w:eastAsia="Times New Roman" w:hAnsi="Times New Roman" w:cs="Times New Roman"/>
          <w:bCs/>
          <w:color w:val="000000"/>
          <w:sz w:val="24"/>
          <w:szCs w:val="24"/>
          <w:lang w:val="ro-RO"/>
        </w:rPr>
        <w:footnoteReference w:id="71"/>
      </w:r>
      <w:r w:rsidR="00E220F0" w:rsidRPr="00650D66">
        <w:rPr>
          <w:rFonts w:ascii="Times New Roman" w:eastAsia="Times New Roman" w:hAnsi="Times New Roman" w:cs="Times New Roman"/>
          <w:bCs/>
          <w:color w:val="000000"/>
          <w:sz w:val="24"/>
          <w:szCs w:val="24"/>
          <w:lang w:val="ro-RO"/>
        </w:rPr>
        <w:t>.</w:t>
      </w:r>
      <w:r w:rsidR="00CB13D3" w:rsidRPr="00650D66">
        <w:rPr>
          <w:rFonts w:ascii="Times New Roman" w:eastAsia="Times New Roman" w:hAnsi="Times New Roman" w:cs="Times New Roman"/>
          <w:bCs/>
          <w:color w:val="000000"/>
          <w:sz w:val="24"/>
          <w:szCs w:val="24"/>
          <w:lang w:val="ro-RO"/>
        </w:rPr>
        <w:t xml:space="preserve"> </w:t>
      </w:r>
    </w:p>
    <w:p w14:paraId="55485F70" w14:textId="72DEC0B5" w:rsidR="00C44B7E" w:rsidRPr="00650D66" w:rsidRDefault="00160A6D" w:rsidP="00C44B7E">
      <w:pPr>
        <w:tabs>
          <w:tab w:val="left" w:pos="284"/>
        </w:tabs>
        <w:spacing w:after="0" w:line="276" w:lineRule="auto"/>
        <w:contextualSpacing/>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V</w:t>
      </w:r>
      <w:r w:rsidR="00E220F0" w:rsidRPr="00650D66">
        <w:rPr>
          <w:rFonts w:ascii="Times New Roman" w:eastAsia="Times New Roman" w:hAnsi="Times New Roman" w:cs="Times New Roman"/>
          <w:bCs/>
          <w:color w:val="000000"/>
          <w:sz w:val="24"/>
          <w:szCs w:val="24"/>
          <w:lang w:val="ro-RO"/>
        </w:rPr>
        <w:t>erificăril</w:t>
      </w:r>
      <w:r>
        <w:rPr>
          <w:rFonts w:ascii="Times New Roman" w:eastAsia="Times New Roman" w:hAnsi="Times New Roman" w:cs="Times New Roman"/>
          <w:bCs/>
          <w:color w:val="000000"/>
          <w:sz w:val="24"/>
          <w:szCs w:val="24"/>
          <w:lang w:val="ro-RO"/>
        </w:rPr>
        <w:t>e</w:t>
      </w:r>
      <w:r w:rsidR="00E220F0" w:rsidRPr="00650D66">
        <w:rPr>
          <w:rFonts w:ascii="Times New Roman" w:eastAsia="Times New Roman" w:hAnsi="Times New Roman" w:cs="Times New Roman"/>
          <w:bCs/>
          <w:color w:val="000000"/>
          <w:sz w:val="24"/>
          <w:szCs w:val="24"/>
          <w:lang w:val="ro-RO"/>
        </w:rPr>
        <w:t xml:space="preserve"> de audit </w:t>
      </w:r>
      <w:r>
        <w:rPr>
          <w:rFonts w:ascii="Times New Roman" w:eastAsia="Times New Roman" w:hAnsi="Times New Roman" w:cs="Times New Roman"/>
          <w:bCs/>
          <w:color w:val="000000"/>
          <w:sz w:val="24"/>
          <w:szCs w:val="24"/>
          <w:lang w:val="ro-RO"/>
        </w:rPr>
        <w:t>relevă</w:t>
      </w:r>
      <w:r w:rsidR="00E220F0" w:rsidRPr="00650D66">
        <w:rPr>
          <w:rFonts w:ascii="Times New Roman" w:eastAsia="Times New Roman" w:hAnsi="Times New Roman" w:cs="Times New Roman"/>
          <w:bCs/>
          <w:color w:val="000000"/>
          <w:sz w:val="24"/>
          <w:szCs w:val="24"/>
          <w:lang w:val="ro-RO"/>
        </w:rPr>
        <w:t xml:space="preserve"> că câștigătorul cu oferta de 3</w:t>
      </w:r>
      <w:r>
        <w:rPr>
          <w:rFonts w:ascii="Times New Roman" w:eastAsia="Times New Roman" w:hAnsi="Times New Roman" w:cs="Times New Roman"/>
          <w:bCs/>
          <w:color w:val="000000"/>
          <w:sz w:val="24"/>
          <w:szCs w:val="24"/>
          <w:lang w:val="ro-RO"/>
        </w:rPr>
        <w:t>.</w:t>
      </w:r>
      <w:r w:rsidR="00E220F0" w:rsidRPr="00650D66">
        <w:rPr>
          <w:rFonts w:ascii="Times New Roman" w:eastAsia="Times New Roman" w:hAnsi="Times New Roman" w:cs="Times New Roman"/>
          <w:bCs/>
          <w:color w:val="000000"/>
          <w:sz w:val="24"/>
          <w:szCs w:val="24"/>
          <w:lang w:val="ro-RO"/>
        </w:rPr>
        <w:t>207,0 mii lei</w:t>
      </w:r>
      <w:r w:rsidR="005747A7" w:rsidRPr="00650D66">
        <w:rPr>
          <w:rFonts w:ascii="Times New Roman" w:eastAsia="Times New Roman" w:hAnsi="Times New Roman" w:cs="Times New Roman"/>
          <w:bCs/>
          <w:color w:val="000000"/>
          <w:sz w:val="24"/>
          <w:szCs w:val="24"/>
          <w:lang w:val="ro-RO"/>
        </w:rPr>
        <w:t xml:space="preserve"> (fără TVA)</w:t>
      </w:r>
      <w:r w:rsidR="00E220F0" w:rsidRPr="00650D66">
        <w:rPr>
          <w:rFonts w:ascii="Times New Roman" w:eastAsia="Times New Roman" w:hAnsi="Times New Roman" w:cs="Times New Roman"/>
          <w:bCs/>
          <w:color w:val="000000"/>
          <w:sz w:val="24"/>
          <w:szCs w:val="24"/>
          <w:lang w:val="ro-RO"/>
        </w:rPr>
        <w:t xml:space="preserve"> la prima procedură de achiziție organizată de către BNM a depus oferta cu 230,5 mii lei mai puțin</w:t>
      </w:r>
      <w:r>
        <w:rPr>
          <w:rFonts w:ascii="Times New Roman" w:eastAsia="Times New Roman" w:hAnsi="Times New Roman" w:cs="Times New Roman"/>
          <w:bCs/>
          <w:color w:val="000000"/>
          <w:sz w:val="24"/>
          <w:szCs w:val="24"/>
          <w:lang w:val="ro-RO"/>
        </w:rPr>
        <w:t>,</w:t>
      </w:r>
      <w:r w:rsidR="00E220F0" w:rsidRPr="00650D66">
        <w:rPr>
          <w:rFonts w:ascii="Times New Roman" w:eastAsia="Times New Roman" w:hAnsi="Times New Roman" w:cs="Times New Roman"/>
          <w:bCs/>
          <w:color w:val="000000"/>
          <w:sz w:val="24"/>
          <w:szCs w:val="24"/>
          <w:lang w:val="ro-RO"/>
        </w:rPr>
        <w:t xml:space="preserve"> sau în sumă de 2</w:t>
      </w:r>
      <w:r>
        <w:rPr>
          <w:rFonts w:ascii="Times New Roman" w:eastAsia="Times New Roman" w:hAnsi="Times New Roman" w:cs="Times New Roman"/>
          <w:bCs/>
          <w:color w:val="000000"/>
          <w:sz w:val="24"/>
          <w:szCs w:val="24"/>
          <w:lang w:val="ro-RO"/>
        </w:rPr>
        <w:t>.</w:t>
      </w:r>
      <w:r w:rsidR="00E220F0" w:rsidRPr="00650D66">
        <w:rPr>
          <w:rFonts w:ascii="Times New Roman" w:eastAsia="Times New Roman" w:hAnsi="Times New Roman" w:cs="Times New Roman"/>
          <w:bCs/>
          <w:color w:val="000000"/>
          <w:sz w:val="24"/>
          <w:szCs w:val="24"/>
          <w:lang w:val="ro-RO"/>
        </w:rPr>
        <w:t>976,5 mii lei.</w:t>
      </w:r>
      <w:r w:rsidR="0060457B" w:rsidRPr="00650D66">
        <w:rPr>
          <w:rFonts w:ascii="Times New Roman" w:eastAsia="Times New Roman" w:hAnsi="Times New Roman" w:cs="Times New Roman"/>
          <w:bCs/>
          <w:color w:val="000000"/>
          <w:sz w:val="24"/>
          <w:szCs w:val="24"/>
          <w:lang w:val="ro-RO"/>
        </w:rPr>
        <w:t xml:space="preserve"> Totodată, oferta câștigătoare de 3</w:t>
      </w:r>
      <w:r>
        <w:rPr>
          <w:rFonts w:ascii="Times New Roman" w:eastAsia="Times New Roman" w:hAnsi="Times New Roman" w:cs="Times New Roman"/>
          <w:bCs/>
          <w:color w:val="000000"/>
          <w:sz w:val="24"/>
          <w:szCs w:val="24"/>
          <w:lang w:val="ro-RO"/>
        </w:rPr>
        <w:t>.</w:t>
      </w:r>
      <w:r w:rsidR="0060457B" w:rsidRPr="00650D66">
        <w:rPr>
          <w:rFonts w:ascii="Times New Roman" w:eastAsia="Times New Roman" w:hAnsi="Times New Roman" w:cs="Times New Roman"/>
          <w:bCs/>
          <w:color w:val="000000"/>
          <w:sz w:val="24"/>
          <w:szCs w:val="24"/>
          <w:lang w:val="ro-RO"/>
        </w:rPr>
        <w:t xml:space="preserve">207,0 mii lei </w:t>
      </w:r>
      <w:r w:rsidR="00AA12C6" w:rsidRPr="00650D66">
        <w:rPr>
          <w:rFonts w:ascii="Times New Roman" w:eastAsia="Times New Roman" w:hAnsi="Times New Roman" w:cs="Times New Roman"/>
          <w:bCs/>
          <w:color w:val="000000"/>
          <w:sz w:val="24"/>
          <w:szCs w:val="24"/>
          <w:lang w:val="ro-RO"/>
        </w:rPr>
        <w:t xml:space="preserve">este cu </w:t>
      </w:r>
      <w:r w:rsidR="0066657A" w:rsidRPr="00650D66">
        <w:rPr>
          <w:rFonts w:ascii="Times New Roman" w:eastAsia="Times New Roman" w:hAnsi="Times New Roman" w:cs="Times New Roman"/>
          <w:bCs/>
          <w:color w:val="000000"/>
          <w:sz w:val="24"/>
          <w:szCs w:val="24"/>
          <w:lang w:val="ro-RO"/>
        </w:rPr>
        <w:t xml:space="preserve">387,5 mii lei </w:t>
      </w:r>
      <w:r w:rsidR="00AA12C6" w:rsidRPr="00650D66">
        <w:rPr>
          <w:rFonts w:ascii="Times New Roman" w:eastAsia="Times New Roman" w:hAnsi="Times New Roman" w:cs="Times New Roman"/>
          <w:bCs/>
          <w:color w:val="000000"/>
          <w:sz w:val="24"/>
          <w:szCs w:val="24"/>
          <w:lang w:val="ro-RO"/>
        </w:rPr>
        <w:t xml:space="preserve">mai </w:t>
      </w:r>
      <w:r>
        <w:rPr>
          <w:rFonts w:ascii="Times New Roman" w:eastAsia="Times New Roman" w:hAnsi="Times New Roman" w:cs="Times New Roman"/>
          <w:bCs/>
          <w:color w:val="000000"/>
          <w:sz w:val="24"/>
          <w:szCs w:val="24"/>
          <w:lang w:val="ro-RO"/>
        </w:rPr>
        <w:t>mare</w:t>
      </w:r>
      <w:r w:rsidRPr="00650D66">
        <w:rPr>
          <w:rFonts w:ascii="Times New Roman" w:eastAsia="Times New Roman" w:hAnsi="Times New Roman" w:cs="Times New Roman"/>
          <w:bCs/>
          <w:color w:val="000000"/>
          <w:sz w:val="24"/>
          <w:szCs w:val="24"/>
          <w:lang w:val="ro-RO"/>
        </w:rPr>
        <w:t xml:space="preserve"> </w:t>
      </w:r>
      <w:r w:rsidR="00AA12C6" w:rsidRPr="00650D66">
        <w:rPr>
          <w:rFonts w:ascii="Times New Roman" w:eastAsia="Times New Roman" w:hAnsi="Times New Roman" w:cs="Times New Roman"/>
          <w:bCs/>
          <w:color w:val="000000"/>
          <w:sz w:val="24"/>
          <w:szCs w:val="24"/>
          <w:lang w:val="ro-RO"/>
        </w:rPr>
        <w:t>față de oferta descalificată (2</w:t>
      </w:r>
      <w:r>
        <w:rPr>
          <w:rFonts w:ascii="Times New Roman" w:eastAsia="Times New Roman" w:hAnsi="Times New Roman" w:cs="Times New Roman"/>
          <w:bCs/>
          <w:color w:val="000000"/>
          <w:sz w:val="24"/>
          <w:szCs w:val="24"/>
          <w:lang w:val="ro-RO"/>
        </w:rPr>
        <w:t>.</w:t>
      </w:r>
      <w:r w:rsidR="00AA12C6" w:rsidRPr="00650D66">
        <w:rPr>
          <w:rFonts w:ascii="Times New Roman" w:eastAsia="Times New Roman" w:hAnsi="Times New Roman" w:cs="Times New Roman"/>
          <w:bCs/>
          <w:color w:val="000000"/>
          <w:sz w:val="24"/>
          <w:szCs w:val="24"/>
          <w:lang w:val="ro-RO"/>
        </w:rPr>
        <w:t>819,5 mii lei).</w:t>
      </w:r>
    </w:p>
    <w:p w14:paraId="54823B2E" w14:textId="77777777" w:rsidR="009A3ACE" w:rsidRPr="00650D66" w:rsidRDefault="009A3ACE" w:rsidP="00281C2E">
      <w:pPr>
        <w:tabs>
          <w:tab w:val="left" w:pos="284"/>
          <w:tab w:val="left" w:pos="993"/>
        </w:tabs>
        <w:spacing w:after="0" w:line="276" w:lineRule="auto"/>
        <w:jc w:val="both"/>
        <w:rPr>
          <w:rFonts w:ascii="Times New Roman" w:hAnsi="Times New Roman" w:cs="Times New Roman"/>
          <w:bCs/>
          <w:sz w:val="6"/>
          <w:szCs w:val="6"/>
          <w:lang w:val="ro-RO"/>
        </w:rPr>
      </w:pPr>
    </w:p>
    <w:p w14:paraId="23253857" w14:textId="5AD874DA" w:rsidR="005726B7" w:rsidRPr="00650D66" w:rsidRDefault="00160A6D" w:rsidP="005726B7">
      <w:pPr>
        <w:pStyle w:val="ListParagraph"/>
        <w:tabs>
          <w:tab w:val="left" w:pos="284"/>
          <w:tab w:val="left" w:pos="993"/>
        </w:tabs>
        <w:spacing w:after="0" w:line="276" w:lineRule="auto"/>
        <w:ind w:left="0"/>
        <w:jc w:val="both"/>
        <w:rPr>
          <w:rFonts w:ascii="Times New Roman" w:hAnsi="Times New Roman" w:cs="Times New Roman"/>
          <w:sz w:val="24"/>
          <w:szCs w:val="24"/>
          <w:lang w:val="ro-RO"/>
        </w:rPr>
      </w:pPr>
      <w:r>
        <w:rPr>
          <w:rFonts w:ascii="Times New Roman" w:hAnsi="Times New Roman" w:cs="Times New Roman"/>
          <w:bCs/>
          <w:sz w:val="24"/>
          <w:szCs w:val="24"/>
          <w:lang w:val="ro-RO"/>
        </w:rPr>
        <w:t>Abia</w:t>
      </w:r>
      <w:r w:rsidR="00F44DD0" w:rsidRPr="00650D66">
        <w:rPr>
          <w:rFonts w:ascii="Times New Roman" w:hAnsi="Times New Roman" w:cs="Times New Roman"/>
          <w:bCs/>
          <w:sz w:val="24"/>
          <w:szCs w:val="24"/>
          <w:lang w:val="ro-RO"/>
        </w:rPr>
        <w:t xml:space="preserve"> î</w:t>
      </w:r>
      <w:r w:rsidR="00832F91" w:rsidRPr="00650D66">
        <w:rPr>
          <w:rFonts w:ascii="Times New Roman" w:hAnsi="Times New Roman" w:cs="Times New Roman"/>
          <w:bCs/>
          <w:sz w:val="24"/>
          <w:szCs w:val="24"/>
          <w:lang w:val="ro-RO"/>
        </w:rPr>
        <w:t>n anul 2023</w:t>
      </w:r>
      <w:r w:rsidR="00F44DD0" w:rsidRPr="00650D66">
        <w:rPr>
          <w:rFonts w:ascii="Times New Roman" w:hAnsi="Times New Roman" w:cs="Times New Roman"/>
          <w:bCs/>
          <w:sz w:val="24"/>
          <w:szCs w:val="24"/>
          <w:lang w:val="ro-RO"/>
        </w:rPr>
        <w:t xml:space="preserve"> BNM a depus o plângere </w:t>
      </w:r>
      <w:r>
        <w:rPr>
          <w:rFonts w:ascii="Times New Roman" w:hAnsi="Times New Roman" w:cs="Times New Roman"/>
          <w:bCs/>
          <w:sz w:val="24"/>
          <w:szCs w:val="24"/>
          <w:lang w:val="ro-RO"/>
        </w:rPr>
        <w:t>(</w:t>
      </w:r>
      <w:r w:rsidR="00F44DD0" w:rsidRPr="00650D66">
        <w:rPr>
          <w:rFonts w:ascii="Times New Roman" w:hAnsi="Times New Roman" w:cs="Times New Roman"/>
          <w:bCs/>
          <w:sz w:val="24"/>
          <w:szCs w:val="24"/>
          <w:lang w:val="ro-RO"/>
        </w:rPr>
        <w:t>nr.29-007/217/2222</w:t>
      </w:r>
      <w:r>
        <w:rPr>
          <w:rFonts w:ascii="Times New Roman" w:hAnsi="Times New Roman" w:cs="Times New Roman"/>
          <w:bCs/>
          <w:sz w:val="24"/>
          <w:szCs w:val="24"/>
          <w:lang w:val="ro-RO"/>
        </w:rPr>
        <w:t>)</w:t>
      </w:r>
      <w:r w:rsidR="00832F91" w:rsidRPr="00650D66">
        <w:rPr>
          <w:rFonts w:ascii="Times New Roman" w:hAnsi="Times New Roman" w:cs="Times New Roman"/>
          <w:bCs/>
          <w:sz w:val="24"/>
          <w:szCs w:val="24"/>
          <w:lang w:val="ro-RO"/>
        </w:rPr>
        <w:t xml:space="preserve"> </w:t>
      </w:r>
      <w:r w:rsidR="00F44DD0" w:rsidRPr="00650D66">
        <w:rPr>
          <w:rFonts w:ascii="Times New Roman" w:hAnsi="Times New Roman" w:cs="Times New Roman"/>
          <w:bCs/>
          <w:sz w:val="24"/>
          <w:szCs w:val="24"/>
          <w:lang w:val="ro-RO"/>
        </w:rPr>
        <w:t>la</w:t>
      </w:r>
      <w:r w:rsidR="00832F91" w:rsidRPr="00650D66">
        <w:rPr>
          <w:rFonts w:ascii="Times New Roman" w:hAnsi="Times New Roman" w:cs="Times New Roman"/>
          <w:bCs/>
          <w:sz w:val="24"/>
          <w:szCs w:val="24"/>
          <w:lang w:val="ro-RO"/>
        </w:rPr>
        <w:t xml:space="preserve"> Consiliul Concurenței</w:t>
      </w:r>
      <w:r>
        <w:rPr>
          <w:rFonts w:ascii="Times New Roman" w:hAnsi="Times New Roman" w:cs="Times New Roman"/>
          <w:bCs/>
          <w:sz w:val="24"/>
          <w:szCs w:val="24"/>
          <w:lang w:val="ro-RO"/>
        </w:rPr>
        <w:t xml:space="preserve"> cu privire la faptul</w:t>
      </w:r>
      <w:r w:rsidR="00F44DD0" w:rsidRPr="00650D66">
        <w:rPr>
          <w:rFonts w:ascii="Times New Roman" w:hAnsi="Times New Roman" w:cs="Times New Roman"/>
          <w:bCs/>
          <w:sz w:val="24"/>
          <w:szCs w:val="24"/>
          <w:lang w:val="ro-RO"/>
        </w:rPr>
        <w:t xml:space="preserve"> că</w:t>
      </w:r>
      <w:r>
        <w:rPr>
          <w:rFonts w:ascii="Times New Roman" w:hAnsi="Times New Roman" w:cs="Times New Roman"/>
          <w:bCs/>
          <w:sz w:val="24"/>
          <w:szCs w:val="24"/>
          <w:lang w:val="ro-RO"/>
        </w:rPr>
        <w:t>,</w:t>
      </w:r>
      <w:r w:rsidR="00F44DD0" w:rsidRPr="00650D66">
        <w:rPr>
          <w:rFonts w:ascii="Times New Roman" w:hAnsi="Times New Roman" w:cs="Times New Roman"/>
          <w:bCs/>
          <w:sz w:val="24"/>
          <w:szCs w:val="24"/>
          <w:lang w:val="ro-RO"/>
        </w:rPr>
        <w:t xml:space="preserve"> în cadrul procedurii de achiziții publice de tip LD </w:t>
      </w:r>
      <w:r w:rsidR="00F44DD0" w:rsidRPr="00650D66">
        <w:rPr>
          <w:rFonts w:ascii="Times New Roman" w:hAnsi="Times New Roman" w:cs="Times New Roman"/>
          <w:bCs/>
          <w:i/>
          <w:sz w:val="24"/>
          <w:szCs w:val="24"/>
          <w:lang w:val="ro-RO"/>
        </w:rPr>
        <w:t>(construcția sălilor de ședință/lucrări de demontare și montare geamuri)</w:t>
      </w:r>
      <w:r>
        <w:rPr>
          <w:rFonts w:ascii="Times New Roman" w:hAnsi="Times New Roman" w:cs="Times New Roman"/>
          <w:bCs/>
          <w:i/>
          <w:sz w:val="24"/>
          <w:szCs w:val="24"/>
          <w:lang w:val="ro-RO"/>
        </w:rPr>
        <w:t>,</w:t>
      </w:r>
      <w:r w:rsidR="00F44DD0" w:rsidRPr="00650D66">
        <w:rPr>
          <w:rFonts w:ascii="Times New Roman" w:hAnsi="Times New Roman" w:cs="Times New Roman"/>
          <w:bCs/>
          <w:sz w:val="24"/>
          <w:szCs w:val="24"/>
          <w:lang w:val="ro-RO"/>
        </w:rPr>
        <w:t xml:space="preserve"> </w:t>
      </w:r>
      <w:r w:rsidR="00CF4587" w:rsidRPr="00650D66">
        <w:rPr>
          <w:rFonts w:ascii="Times New Roman" w:hAnsi="Times New Roman" w:cs="Times New Roman"/>
          <w:bCs/>
          <w:sz w:val="24"/>
          <w:szCs w:val="24"/>
          <w:lang w:val="ro-RO"/>
        </w:rPr>
        <w:t xml:space="preserve">s-a depistat participarea cu oferte a </w:t>
      </w:r>
      <w:r w:rsidR="00B5604E" w:rsidRPr="00650D66">
        <w:rPr>
          <w:rFonts w:ascii="Times New Roman" w:hAnsi="Times New Roman" w:cs="Times New Roman"/>
          <w:bCs/>
          <w:sz w:val="24"/>
          <w:szCs w:val="24"/>
          <w:lang w:val="ro-RO"/>
        </w:rPr>
        <w:t>două companii</w:t>
      </w:r>
      <w:r w:rsidR="00CF4587" w:rsidRPr="00650D66">
        <w:rPr>
          <w:rFonts w:ascii="Times New Roman" w:hAnsi="Times New Roman" w:cs="Times New Roman"/>
          <w:bCs/>
          <w:sz w:val="24"/>
          <w:szCs w:val="24"/>
          <w:lang w:val="ro-RO"/>
        </w:rPr>
        <w:t xml:space="preserve"> fondate de către același fondator, </w:t>
      </w:r>
      <w:r>
        <w:rPr>
          <w:rFonts w:ascii="Times New Roman" w:hAnsi="Times New Roman" w:cs="Times New Roman"/>
          <w:bCs/>
          <w:sz w:val="24"/>
          <w:szCs w:val="24"/>
          <w:lang w:val="ro-RO"/>
        </w:rPr>
        <w:t xml:space="preserve">ceea ce </w:t>
      </w:r>
      <w:r w:rsidR="00CF4587" w:rsidRPr="00650D66">
        <w:rPr>
          <w:rFonts w:ascii="Times New Roman" w:hAnsi="Times New Roman" w:cs="Times New Roman"/>
          <w:bCs/>
          <w:sz w:val="24"/>
          <w:szCs w:val="24"/>
          <w:lang w:val="ro-RO"/>
        </w:rPr>
        <w:t xml:space="preserve">ridică semne de întrebare </w:t>
      </w:r>
      <w:r>
        <w:rPr>
          <w:rFonts w:ascii="Times New Roman" w:hAnsi="Times New Roman" w:cs="Times New Roman"/>
          <w:bCs/>
          <w:sz w:val="24"/>
          <w:szCs w:val="24"/>
          <w:lang w:val="ro-RO"/>
        </w:rPr>
        <w:t>cu referire la</w:t>
      </w:r>
      <w:r w:rsidR="00CF4587" w:rsidRPr="00650D66">
        <w:rPr>
          <w:rFonts w:ascii="Times New Roman" w:hAnsi="Times New Roman" w:cs="Times New Roman"/>
          <w:bCs/>
          <w:sz w:val="24"/>
          <w:szCs w:val="24"/>
          <w:lang w:val="ro-RO"/>
        </w:rPr>
        <w:t xml:space="preserve"> depuner</w:t>
      </w:r>
      <w:r>
        <w:rPr>
          <w:rFonts w:ascii="Times New Roman" w:hAnsi="Times New Roman" w:cs="Times New Roman"/>
          <w:bCs/>
          <w:sz w:val="24"/>
          <w:szCs w:val="24"/>
          <w:lang w:val="ro-RO"/>
        </w:rPr>
        <w:t>ea</w:t>
      </w:r>
      <w:r w:rsidR="00CF4587" w:rsidRPr="00650D66">
        <w:rPr>
          <w:rFonts w:ascii="Times New Roman" w:hAnsi="Times New Roman" w:cs="Times New Roman"/>
          <w:bCs/>
          <w:sz w:val="24"/>
          <w:szCs w:val="24"/>
          <w:lang w:val="ro-RO"/>
        </w:rPr>
        <w:t xml:space="preserve"> ofertelor trucate</w:t>
      </w:r>
      <w:r w:rsidR="00C603FC" w:rsidRPr="00650D66">
        <w:rPr>
          <w:rFonts w:ascii="Times New Roman" w:hAnsi="Times New Roman" w:cs="Times New Roman"/>
          <w:bCs/>
          <w:sz w:val="24"/>
          <w:szCs w:val="24"/>
          <w:lang w:val="ro-RO"/>
        </w:rPr>
        <w:t xml:space="preserve"> prin denaturarea concurenței</w:t>
      </w:r>
      <w:r w:rsidR="00CF4587" w:rsidRPr="00650D66">
        <w:rPr>
          <w:rFonts w:ascii="Times New Roman" w:hAnsi="Times New Roman" w:cs="Times New Roman"/>
          <w:bCs/>
          <w:sz w:val="24"/>
          <w:szCs w:val="24"/>
          <w:lang w:val="ro-RO"/>
        </w:rPr>
        <w:t>.</w:t>
      </w:r>
      <w:r w:rsidR="005726B7" w:rsidRPr="00650D66">
        <w:rPr>
          <w:rFonts w:ascii="Times New Roman" w:hAnsi="Times New Roman" w:cs="Times New Roman"/>
          <w:iCs/>
          <w:sz w:val="24"/>
          <w:szCs w:val="24"/>
          <w:lang w:val="ro-RO"/>
        </w:rPr>
        <w:t xml:space="preserve"> </w:t>
      </w:r>
      <w:r w:rsidR="003124CE">
        <w:rPr>
          <w:rFonts w:ascii="Times New Roman" w:hAnsi="Times New Roman" w:cs="Times New Roman"/>
          <w:iCs/>
          <w:sz w:val="24"/>
          <w:szCs w:val="24"/>
          <w:lang w:val="ro-RO"/>
        </w:rPr>
        <w:t>A</w:t>
      </w:r>
      <w:r w:rsidR="005726B7" w:rsidRPr="00650D66">
        <w:rPr>
          <w:rFonts w:ascii="Times New Roman" w:hAnsi="Times New Roman" w:cs="Times New Roman"/>
          <w:iCs/>
          <w:sz w:val="24"/>
          <w:szCs w:val="24"/>
          <w:lang w:val="ro-RO"/>
        </w:rPr>
        <w:t xml:space="preserve">rt.4 din Legea concurenței nr.183 din 11.07.2012 definește </w:t>
      </w:r>
      <w:r w:rsidR="005726B7" w:rsidRPr="00991A75">
        <w:rPr>
          <w:rFonts w:ascii="Times New Roman" w:hAnsi="Times New Roman" w:cs="Times New Roman"/>
          <w:iCs/>
          <w:sz w:val="24"/>
          <w:szCs w:val="24"/>
          <w:lang w:val="ro-RO"/>
        </w:rPr>
        <w:t>noțiunea de</w:t>
      </w:r>
      <w:r w:rsidR="005726B7" w:rsidRPr="00650D66">
        <w:rPr>
          <w:rFonts w:ascii="Times New Roman" w:hAnsi="Times New Roman" w:cs="Times New Roman"/>
          <w:i/>
          <w:iCs/>
          <w:sz w:val="24"/>
          <w:szCs w:val="24"/>
          <w:lang w:val="ro-RO"/>
        </w:rPr>
        <w:t xml:space="preserve"> trucare a ofertelor</w:t>
      </w:r>
      <w:r w:rsidR="005726B7" w:rsidRPr="00650D66">
        <w:rPr>
          <w:rFonts w:ascii="Times New Roman" w:hAnsi="Times New Roman" w:cs="Times New Roman"/>
          <w:sz w:val="24"/>
          <w:szCs w:val="24"/>
          <w:lang w:val="ro-RO"/>
        </w:rPr>
        <w:t xml:space="preserve"> ca realizare, prin intermediul licitațiilor sau altor forme de concurs de oferte, a acordurilor anticoncurențiale ale întreprinderilor concurente referitoare la prețuri, la împărțirea piețelor, la sursele de aprovizionare sau la calitatea produselor.</w:t>
      </w:r>
    </w:p>
    <w:p w14:paraId="65EF3945" w14:textId="781C2419" w:rsidR="00CD4EB1" w:rsidRPr="00650D66" w:rsidRDefault="00523B92" w:rsidP="005726B7">
      <w:pPr>
        <w:pStyle w:val="ListParagraph"/>
        <w:tabs>
          <w:tab w:val="left" w:pos="284"/>
          <w:tab w:val="left" w:pos="993"/>
        </w:tabs>
        <w:spacing w:after="0" w:line="276" w:lineRule="auto"/>
        <w:ind w:left="0"/>
        <w:jc w:val="both"/>
        <w:rPr>
          <w:rFonts w:ascii="Times New Roman" w:hAnsi="Times New Roman" w:cs="Times New Roman"/>
          <w:bCs/>
          <w:sz w:val="24"/>
          <w:szCs w:val="24"/>
          <w:lang w:val="ro-RO"/>
        </w:rPr>
      </w:pPr>
      <w:r w:rsidRPr="00650D66">
        <w:rPr>
          <w:rFonts w:ascii="Times New Roman" w:hAnsi="Times New Roman" w:cs="Times New Roman"/>
          <w:sz w:val="24"/>
          <w:szCs w:val="24"/>
          <w:lang w:val="ro-RO"/>
        </w:rPr>
        <w:t xml:space="preserve">Consiliul Concurenței a răspuns BNM că </w:t>
      </w:r>
      <w:r w:rsidR="00B5604E" w:rsidRPr="00650D66">
        <w:rPr>
          <w:rFonts w:ascii="Times New Roman" w:hAnsi="Times New Roman" w:cs="Times New Roman"/>
          <w:bCs/>
          <w:sz w:val="24"/>
          <w:szCs w:val="24"/>
          <w:lang w:val="ro-RO"/>
        </w:rPr>
        <w:t>companiile</w:t>
      </w:r>
      <w:r w:rsidRPr="00650D66">
        <w:rPr>
          <w:rFonts w:ascii="Times New Roman" w:hAnsi="Times New Roman" w:cs="Times New Roman"/>
          <w:bCs/>
          <w:sz w:val="24"/>
          <w:szCs w:val="24"/>
          <w:lang w:val="ro-RO"/>
        </w:rPr>
        <w:t xml:space="preserve"> se încadrează în noțiunea de grup de întreprinderi, </w:t>
      </w:r>
      <w:r w:rsidR="00B5604E" w:rsidRPr="00650D66">
        <w:rPr>
          <w:rFonts w:ascii="Times New Roman" w:hAnsi="Times New Roman" w:cs="Times New Roman"/>
          <w:bCs/>
          <w:sz w:val="24"/>
          <w:szCs w:val="24"/>
          <w:lang w:val="ro-RO"/>
        </w:rPr>
        <w:t>având același fondator</w:t>
      </w:r>
      <w:r w:rsidRPr="00650D66">
        <w:rPr>
          <w:rFonts w:ascii="Times New Roman" w:hAnsi="Times New Roman" w:cs="Times New Roman"/>
          <w:bCs/>
          <w:sz w:val="24"/>
          <w:szCs w:val="24"/>
          <w:lang w:val="ro-RO"/>
        </w:rPr>
        <w:t>, doar că acțiunile întreprinderilor nu pot fi calificate ca acorduri anticoncurențiale.</w:t>
      </w:r>
      <w:r w:rsidR="00F443E5" w:rsidRPr="00650D66">
        <w:rPr>
          <w:rFonts w:ascii="Times New Roman" w:hAnsi="Times New Roman" w:cs="Times New Roman"/>
          <w:bCs/>
          <w:sz w:val="24"/>
          <w:szCs w:val="24"/>
          <w:lang w:val="ro-RO"/>
        </w:rPr>
        <w:t xml:space="preserve"> Totodată, circumstanțele prezentate ar putea constitui temei pentru includerea reclamanților în lista de interdicție a operatorilor economici</w:t>
      </w:r>
      <w:r w:rsidR="00F443E5" w:rsidRPr="00650D66">
        <w:rPr>
          <w:rStyle w:val="FootnoteReference"/>
          <w:rFonts w:ascii="Times New Roman" w:hAnsi="Times New Roman" w:cs="Times New Roman"/>
          <w:bCs/>
          <w:sz w:val="24"/>
          <w:szCs w:val="24"/>
          <w:lang w:val="ro-RO"/>
        </w:rPr>
        <w:footnoteReference w:id="72"/>
      </w:r>
      <w:r w:rsidR="00F443E5" w:rsidRPr="00650D66">
        <w:rPr>
          <w:rFonts w:ascii="Times New Roman" w:hAnsi="Times New Roman" w:cs="Times New Roman"/>
          <w:bCs/>
          <w:sz w:val="24"/>
          <w:szCs w:val="24"/>
          <w:lang w:val="ro-RO"/>
        </w:rPr>
        <w:t>.</w:t>
      </w:r>
      <w:r w:rsidR="003855A9" w:rsidRPr="00650D66">
        <w:rPr>
          <w:rFonts w:ascii="Times New Roman" w:hAnsi="Times New Roman" w:cs="Times New Roman"/>
          <w:bCs/>
          <w:sz w:val="24"/>
          <w:szCs w:val="24"/>
          <w:lang w:val="ro-RO"/>
        </w:rPr>
        <w:t xml:space="preserve"> </w:t>
      </w:r>
      <w:r w:rsidR="003124CE">
        <w:rPr>
          <w:rFonts w:ascii="Times New Roman" w:hAnsi="Times New Roman" w:cs="Times New Roman"/>
          <w:bCs/>
          <w:sz w:val="24"/>
          <w:szCs w:val="24"/>
          <w:lang w:val="ro-RO"/>
        </w:rPr>
        <w:t>Ca u</w:t>
      </w:r>
      <w:r w:rsidR="00CD4EB1" w:rsidRPr="00650D66">
        <w:rPr>
          <w:rFonts w:ascii="Times New Roman" w:hAnsi="Times New Roman" w:cs="Times New Roman"/>
          <w:bCs/>
          <w:sz w:val="24"/>
          <w:szCs w:val="24"/>
          <w:lang w:val="ro-RO"/>
        </w:rPr>
        <w:t>rmare</w:t>
      </w:r>
      <w:r w:rsidR="003124CE">
        <w:rPr>
          <w:rFonts w:ascii="Times New Roman" w:hAnsi="Times New Roman" w:cs="Times New Roman"/>
          <w:bCs/>
          <w:sz w:val="24"/>
          <w:szCs w:val="24"/>
          <w:lang w:val="ro-RO"/>
        </w:rPr>
        <w:t>,</w:t>
      </w:r>
      <w:r w:rsidR="00CD4EB1" w:rsidRPr="00650D66">
        <w:rPr>
          <w:rFonts w:ascii="Times New Roman" w:hAnsi="Times New Roman" w:cs="Times New Roman"/>
          <w:bCs/>
          <w:sz w:val="24"/>
          <w:szCs w:val="24"/>
          <w:lang w:val="ro-RO"/>
        </w:rPr>
        <w:t xml:space="preserve"> BNM a solicitat Agenției Achiziții Publice includerea în lista de inter</w:t>
      </w:r>
      <w:r w:rsidR="00BE6EA2" w:rsidRPr="00650D66">
        <w:rPr>
          <w:rFonts w:ascii="Times New Roman" w:hAnsi="Times New Roman" w:cs="Times New Roman"/>
          <w:bCs/>
          <w:sz w:val="24"/>
          <w:szCs w:val="24"/>
          <w:lang w:val="ro-RO"/>
        </w:rPr>
        <w:t>dicție a operatorilor economici</w:t>
      </w:r>
      <w:r w:rsidR="003124CE">
        <w:rPr>
          <w:rFonts w:ascii="Times New Roman" w:hAnsi="Times New Roman" w:cs="Times New Roman"/>
          <w:bCs/>
          <w:sz w:val="24"/>
          <w:szCs w:val="24"/>
          <w:lang w:val="ro-RO"/>
        </w:rPr>
        <w:t xml:space="preserve"> </w:t>
      </w:r>
      <w:r w:rsidR="003124CE" w:rsidRPr="002132A1">
        <w:rPr>
          <w:rFonts w:ascii="Times New Roman" w:hAnsi="Times New Roman" w:cs="Times New Roman"/>
          <w:bCs/>
          <w:sz w:val="24"/>
          <w:szCs w:val="24"/>
          <w:lang w:val="ro-RO"/>
        </w:rPr>
        <w:t>menționați</w:t>
      </w:r>
      <w:r w:rsidR="00BE6EA2" w:rsidRPr="002132A1">
        <w:rPr>
          <w:rFonts w:ascii="Times New Roman" w:hAnsi="Times New Roman" w:cs="Times New Roman"/>
          <w:bCs/>
          <w:sz w:val="24"/>
          <w:szCs w:val="24"/>
          <w:lang w:val="ro-RO"/>
        </w:rPr>
        <w:t>, d</w:t>
      </w:r>
      <w:r w:rsidR="00583CFA" w:rsidRPr="002132A1">
        <w:rPr>
          <w:rFonts w:ascii="Times New Roman" w:hAnsi="Times New Roman" w:cs="Times New Roman"/>
          <w:bCs/>
          <w:sz w:val="24"/>
          <w:szCs w:val="24"/>
          <w:lang w:val="ro-RO"/>
        </w:rPr>
        <w:t>ar s-a decis de a</w:t>
      </w:r>
      <w:r w:rsidR="00BE6EA2" w:rsidRPr="002132A1">
        <w:rPr>
          <w:rFonts w:ascii="Times New Roman" w:hAnsi="Times New Roman" w:cs="Times New Roman"/>
          <w:bCs/>
          <w:sz w:val="24"/>
          <w:szCs w:val="24"/>
          <w:lang w:val="ro-RO"/>
        </w:rPr>
        <w:t xml:space="preserve"> nu</w:t>
      </w:r>
      <w:r w:rsidR="004D5C5F" w:rsidRPr="002132A1">
        <w:rPr>
          <w:rFonts w:ascii="Times New Roman" w:hAnsi="Times New Roman" w:cs="Times New Roman"/>
          <w:bCs/>
          <w:sz w:val="24"/>
          <w:szCs w:val="24"/>
          <w:lang w:val="ro-RO"/>
        </w:rPr>
        <w:t>-i</w:t>
      </w:r>
      <w:r w:rsidR="00BE6EA2" w:rsidRPr="002132A1">
        <w:rPr>
          <w:rFonts w:ascii="Times New Roman" w:hAnsi="Times New Roman" w:cs="Times New Roman"/>
          <w:bCs/>
          <w:sz w:val="24"/>
          <w:szCs w:val="24"/>
          <w:lang w:val="ro-RO"/>
        </w:rPr>
        <w:t xml:space="preserve"> înscrie în listă</w:t>
      </w:r>
      <w:r w:rsidR="00BE6EA2" w:rsidRPr="002132A1">
        <w:rPr>
          <w:rStyle w:val="FootnoteReference"/>
          <w:rFonts w:ascii="Times New Roman" w:hAnsi="Times New Roman" w:cs="Times New Roman"/>
          <w:bCs/>
          <w:sz w:val="24"/>
          <w:szCs w:val="24"/>
          <w:lang w:val="ro-RO"/>
        </w:rPr>
        <w:footnoteReference w:id="73"/>
      </w:r>
      <w:r w:rsidR="00F26CE9" w:rsidRPr="002132A1">
        <w:rPr>
          <w:rFonts w:ascii="Times New Roman" w:hAnsi="Times New Roman" w:cs="Times New Roman"/>
          <w:bCs/>
          <w:sz w:val="24"/>
          <w:szCs w:val="24"/>
          <w:lang w:val="ro-RO"/>
        </w:rPr>
        <w:t>.</w:t>
      </w:r>
      <w:r w:rsidR="00F26CE9" w:rsidRPr="00650D66">
        <w:rPr>
          <w:rFonts w:ascii="Times New Roman" w:hAnsi="Times New Roman" w:cs="Times New Roman"/>
          <w:bCs/>
          <w:sz w:val="24"/>
          <w:szCs w:val="24"/>
          <w:lang w:val="ro-RO"/>
        </w:rPr>
        <w:t xml:space="preserve"> Totodată, Centrul Național Anticorupție a informat BNM că nu s-au stabilit temeiuri pentru inițierea unor investigații</w:t>
      </w:r>
      <w:r w:rsidR="00656EBD">
        <w:rPr>
          <w:rFonts w:ascii="Times New Roman" w:hAnsi="Times New Roman" w:cs="Times New Roman"/>
          <w:bCs/>
          <w:sz w:val="24"/>
          <w:szCs w:val="24"/>
          <w:lang w:val="ro-RO"/>
        </w:rPr>
        <w:t>;</w:t>
      </w:r>
    </w:p>
    <w:p w14:paraId="2574F9D7" w14:textId="77777777" w:rsidR="00093D69" w:rsidRPr="00650D66" w:rsidRDefault="00093D69" w:rsidP="005726B7">
      <w:pPr>
        <w:pStyle w:val="ListParagraph"/>
        <w:tabs>
          <w:tab w:val="left" w:pos="284"/>
          <w:tab w:val="left" w:pos="993"/>
        </w:tabs>
        <w:spacing w:after="0" w:line="276" w:lineRule="auto"/>
        <w:ind w:left="0"/>
        <w:jc w:val="both"/>
        <w:rPr>
          <w:rFonts w:ascii="Times New Roman" w:hAnsi="Times New Roman" w:cs="Times New Roman"/>
          <w:bCs/>
          <w:sz w:val="6"/>
          <w:szCs w:val="6"/>
          <w:lang w:val="ro-RO"/>
        </w:rPr>
      </w:pPr>
    </w:p>
    <w:p w14:paraId="056F2620" w14:textId="77777777" w:rsidR="006D5D94" w:rsidRDefault="00656EBD" w:rsidP="006D5D94">
      <w:pPr>
        <w:pStyle w:val="ListParagraph"/>
        <w:numPr>
          <w:ilvl w:val="0"/>
          <w:numId w:val="4"/>
        </w:numPr>
        <w:tabs>
          <w:tab w:val="left" w:pos="284"/>
          <w:tab w:val="left" w:pos="851"/>
        </w:tabs>
        <w:spacing w:after="0" w:line="276" w:lineRule="auto"/>
        <w:ind w:left="0" w:firstLine="709"/>
        <w:jc w:val="both"/>
        <w:rPr>
          <w:rFonts w:ascii="Times New Roman" w:eastAsia="Times New Roman" w:hAnsi="Times New Roman" w:cs="Times New Roman"/>
          <w:bCs/>
          <w:color w:val="000000"/>
          <w:sz w:val="24"/>
          <w:szCs w:val="24"/>
          <w:lang w:val="ro-RO"/>
        </w:rPr>
      </w:pPr>
      <w:r>
        <w:rPr>
          <w:rFonts w:ascii="Times New Roman" w:eastAsia="Times New Roman" w:hAnsi="Times New Roman" w:cs="Times New Roman"/>
          <w:bCs/>
          <w:color w:val="000000"/>
          <w:sz w:val="24"/>
          <w:szCs w:val="24"/>
          <w:lang w:val="ro-RO"/>
        </w:rPr>
        <w:t>î</w:t>
      </w:r>
      <w:r w:rsidR="00093D69" w:rsidRPr="00991A75">
        <w:rPr>
          <w:rFonts w:ascii="Times New Roman" w:eastAsia="Times New Roman" w:hAnsi="Times New Roman" w:cs="Times New Roman"/>
          <w:bCs/>
          <w:color w:val="000000"/>
          <w:sz w:val="24"/>
          <w:szCs w:val="24"/>
          <w:lang w:val="ro-RO"/>
        </w:rPr>
        <w:t xml:space="preserve">n anul 2022, </w:t>
      </w:r>
      <w:r w:rsidR="00093D69" w:rsidRPr="00991A75">
        <w:rPr>
          <w:rFonts w:ascii="Times New Roman" w:eastAsia="Times New Roman" w:hAnsi="Times New Roman" w:cs="Times New Roman"/>
          <w:b/>
          <w:bCs/>
          <w:i/>
          <w:color w:val="000000"/>
          <w:sz w:val="24"/>
          <w:szCs w:val="24"/>
          <w:lang w:val="ro-RO"/>
        </w:rPr>
        <w:t>pentru montarea plafoanelor LED și demontare</w:t>
      </w:r>
      <w:r w:rsidR="00093D69" w:rsidRPr="00991A75">
        <w:rPr>
          <w:rFonts w:ascii="Times New Roman" w:eastAsia="Times New Roman" w:hAnsi="Times New Roman" w:cs="Times New Roman"/>
          <w:bCs/>
          <w:color w:val="000000"/>
          <w:sz w:val="24"/>
          <w:szCs w:val="24"/>
          <w:lang w:val="ro-RO"/>
        </w:rPr>
        <w:t xml:space="preserve"> au fost executate cheltuieli în sumă de</w:t>
      </w:r>
      <w:r w:rsidR="00D90D59" w:rsidRPr="00991A75">
        <w:rPr>
          <w:rFonts w:ascii="Times New Roman" w:eastAsia="Times New Roman" w:hAnsi="Times New Roman" w:cs="Times New Roman"/>
          <w:bCs/>
          <w:color w:val="000000"/>
          <w:sz w:val="24"/>
          <w:szCs w:val="24"/>
          <w:lang w:val="ro-RO"/>
        </w:rPr>
        <w:t xml:space="preserve"> 417,9</w:t>
      </w:r>
      <w:r w:rsidR="00093D69" w:rsidRPr="00991A75">
        <w:rPr>
          <w:rFonts w:ascii="Times New Roman" w:eastAsia="Times New Roman" w:hAnsi="Times New Roman" w:cs="Times New Roman"/>
          <w:bCs/>
          <w:color w:val="000000"/>
          <w:sz w:val="24"/>
          <w:szCs w:val="24"/>
          <w:lang w:val="ro-RO"/>
        </w:rPr>
        <w:t xml:space="preserve"> mii lei, con</w:t>
      </w:r>
      <w:r w:rsidR="007C7859" w:rsidRPr="00991A75">
        <w:rPr>
          <w:rFonts w:ascii="Times New Roman" w:eastAsia="Times New Roman" w:hAnsi="Times New Roman" w:cs="Times New Roman"/>
          <w:bCs/>
          <w:color w:val="000000"/>
          <w:sz w:val="24"/>
          <w:szCs w:val="24"/>
          <w:lang w:val="ro-RO"/>
        </w:rPr>
        <w:t xml:space="preserve">form </w:t>
      </w:r>
      <w:r>
        <w:rPr>
          <w:rFonts w:ascii="Times New Roman" w:eastAsia="Times New Roman" w:hAnsi="Times New Roman" w:cs="Times New Roman"/>
          <w:bCs/>
          <w:color w:val="000000"/>
          <w:sz w:val="24"/>
          <w:szCs w:val="24"/>
          <w:lang w:val="ro-RO"/>
        </w:rPr>
        <w:t>C</w:t>
      </w:r>
      <w:r w:rsidR="007C7859" w:rsidRPr="00991A75">
        <w:rPr>
          <w:rFonts w:ascii="Times New Roman" w:eastAsia="Times New Roman" w:hAnsi="Times New Roman" w:cs="Times New Roman"/>
          <w:bCs/>
          <w:color w:val="000000"/>
          <w:sz w:val="24"/>
          <w:szCs w:val="24"/>
          <w:lang w:val="ro-RO"/>
        </w:rPr>
        <w:t>ontractului nr.24/147</w:t>
      </w:r>
      <w:r w:rsidR="00093D69" w:rsidRPr="00991A75">
        <w:rPr>
          <w:rFonts w:ascii="Times New Roman" w:eastAsia="Times New Roman" w:hAnsi="Times New Roman" w:cs="Times New Roman"/>
          <w:bCs/>
          <w:color w:val="000000"/>
          <w:sz w:val="24"/>
          <w:szCs w:val="24"/>
          <w:lang w:val="ro-RO"/>
        </w:rPr>
        <w:t xml:space="preserve">-COP din 21.07.2022. </w:t>
      </w:r>
      <w:r>
        <w:rPr>
          <w:rFonts w:ascii="Times New Roman" w:eastAsia="Times New Roman" w:hAnsi="Times New Roman" w:cs="Times New Roman"/>
          <w:bCs/>
          <w:color w:val="000000"/>
          <w:sz w:val="24"/>
          <w:szCs w:val="24"/>
          <w:lang w:val="ro-RO"/>
        </w:rPr>
        <w:t>În cadrul</w:t>
      </w:r>
      <w:r w:rsidR="00093D69" w:rsidRPr="00991A75">
        <w:rPr>
          <w:rFonts w:ascii="Times New Roman" w:eastAsia="Times New Roman" w:hAnsi="Times New Roman" w:cs="Times New Roman"/>
          <w:bCs/>
          <w:color w:val="000000"/>
          <w:sz w:val="24"/>
          <w:szCs w:val="24"/>
          <w:lang w:val="ro-RO"/>
        </w:rPr>
        <w:t xml:space="preserve"> procedur</w:t>
      </w:r>
      <w:r>
        <w:rPr>
          <w:rFonts w:ascii="Times New Roman" w:eastAsia="Times New Roman" w:hAnsi="Times New Roman" w:cs="Times New Roman"/>
          <w:bCs/>
          <w:color w:val="000000"/>
          <w:sz w:val="24"/>
          <w:szCs w:val="24"/>
          <w:lang w:val="ro-RO"/>
        </w:rPr>
        <w:t>ii</w:t>
      </w:r>
      <w:r w:rsidR="00093D69" w:rsidRPr="00991A75">
        <w:rPr>
          <w:rFonts w:ascii="Times New Roman" w:eastAsia="Times New Roman" w:hAnsi="Times New Roman" w:cs="Times New Roman"/>
          <w:bCs/>
          <w:color w:val="000000"/>
          <w:sz w:val="24"/>
          <w:szCs w:val="24"/>
          <w:lang w:val="ro-RO"/>
        </w:rPr>
        <w:t xml:space="preserve"> de achiziție prin COP au fost </w:t>
      </w:r>
      <w:r w:rsidR="004B57BF" w:rsidRPr="00991A75">
        <w:rPr>
          <w:rFonts w:ascii="Times New Roman" w:eastAsia="Times New Roman" w:hAnsi="Times New Roman" w:cs="Times New Roman"/>
          <w:bCs/>
          <w:color w:val="000000"/>
          <w:sz w:val="24"/>
          <w:szCs w:val="24"/>
          <w:lang w:val="ro-RO"/>
        </w:rPr>
        <w:t>evaluate</w:t>
      </w:r>
      <w:r w:rsidR="00093D69" w:rsidRPr="00991A75">
        <w:rPr>
          <w:rFonts w:ascii="Times New Roman" w:eastAsia="Times New Roman" w:hAnsi="Times New Roman" w:cs="Times New Roman"/>
          <w:bCs/>
          <w:color w:val="000000"/>
          <w:sz w:val="24"/>
          <w:szCs w:val="24"/>
          <w:lang w:val="ro-RO"/>
        </w:rPr>
        <w:t xml:space="preserve"> </w:t>
      </w:r>
      <w:r w:rsidR="00137906" w:rsidRPr="00991A75">
        <w:rPr>
          <w:rFonts w:ascii="Times New Roman" w:eastAsia="Times New Roman" w:hAnsi="Times New Roman" w:cs="Times New Roman"/>
          <w:bCs/>
          <w:color w:val="000000"/>
          <w:sz w:val="24"/>
          <w:szCs w:val="24"/>
          <w:lang w:val="ro-RO"/>
        </w:rPr>
        <w:t>3 oferte (</w:t>
      </w:r>
      <w:r>
        <w:rPr>
          <w:rFonts w:ascii="Times New Roman" w:eastAsia="Times New Roman" w:hAnsi="Times New Roman" w:cs="Times New Roman"/>
          <w:bCs/>
          <w:color w:val="000000"/>
          <w:sz w:val="24"/>
          <w:szCs w:val="24"/>
          <w:lang w:val="ro-RO"/>
        </w:rPr>
        <w:t xml:space="preserve">de </w:t>
      </w:r>
      <w:r w:rsidR="00137906" w:rsidRPr="00991A75">
        <w:rPr>
          <w:rFonts w:ascii="Times New Roman" w:eastAsia="Times New Roman" w:hAnsi="Times New Roman" w:cs="Times New Roman"/>
          <w:bCs/>
          <w:color w:val="000000"/>
          <w:sz w:val="24"/>
          <w:szCs w:val="24"/>
          <w:lang w:val="ro-RO"/>
        </w:rPr>
        <w:t>299,0 mii</w:t>
      </w:r>
      <w:r w:rsidR="00093D69" w:rsidRPr="00991A75">
        <w:rPr>
          <w:rFonts w:ascii="Times New Roman" w:eastAsia="Times New Roman" w:hAnsi="Times New Roman" w:cs="Times New Roman"/>
          <w:bCs/>
          <w:color w:val="000000"/>
          <w:sz w:val="24"/>
          <w:szCs w:val="24"/>
          <w:lang w:val="ro-RO"/>
        </w:rPr>
        <w:t xml:space="preserve"> lei, </w:t>
      </w:r>
      <w:r w:rsidR="00137906" w:rsidRPr="00991A75">
        <w:rPr>
          <w:rFonts w:ascii="Times New Roman" w:eastAsia="Times New Roman" w:hAnsi="Times New Roman" w:cs="Times New Roman"/>
          <w:bCs/>
          <w:color w:val="000000"/>
          <w:sz w:val="24"/>
          <w:szCs w:val="24"/>
          <w:lang w:val="ro-RO"/>
        </w:rPr>
        <w:t>304,4 mii</w:t>
      </w:r>
      <w:r w:rsidR="00093D69" w:rsidRPr="00991A75">
        <w:rPr>
          <w:rFonts w:ascii="Times New Roman" w:eastAsia="Times New Roman" w:hAnsi="Times New Roman" w:cs="Times New Roman"/>
          <w:bCs/>
          <w:color w:val="000000"/>
          <w:sz w:val="24"/>
          <w:szCs w:val="24"/>
          <w:lang w:val="ro-RO"/>
        </w:rPr>
        <w:t xml:space="preserve"> lei</w:t>
      </w:r>
      <w:r>
        <w:rPr>
          <w:rFonts w:ascii="Times New Roman" w:eastAsia="Times New Roman" w:hAnsi="Times New Roman" w:cs="Times New Roman"/>
          <w:bCs/>
          <w:color w:val="000000"/>
          <w:sz w:val="24"/>
          <w:szCs w:val="24"/>
          <w:lang w:val="ro-RO"/>
        </w:rPr>
        <w:t xml:space="preserve"> și</w:t>
      </w:r>
      <w:r w:rsidR="00093D69" w:rsidRPr="00991A75">
        <w:rPr>
          <w:rFonts w:ascii="Times New Roman" w:eastAsia="Times New Roman" w:hAnsi="Times New Roman" w:cs="Times New Roman"/>
          <w:bCs/>
          <w:color w:val="000000"/>
          <w:sz w:val="24"/>
          <w:szCs w:val="24"/>
          <w:lang w:val="ro-RO"/>
        </w:rPr>
        <w:t xml:space="preserve"> </w:t>
      </w:r>
      <w:r>
        <w:rPr>
          <w:rFonts w:ascii="Times New Roman" w:eastAsia="Times New Roman" w:hAnsi="Times New Roman" w:cs="Times New Roman"/>
          <w:bCs/>
          <w:color w:val="000000"/>
          <w:sz w:val="24"/>
          <w:szCs w:val="24"/>
          <w:lang w:val="ro-RO"/>
        </w:rPr>
        <w:t xml:space="preserve">de </w:t>
      </w:r>
      <w:r w:rsidR="00137906" w:rsidRPr="00991A75">
        <w:rPr>
          <w:rFonts w:ascii="Times New Roman" w:eastAsia="Times New Roman" w:hAnsi="Times New Roman" w:cs="Times New Roman"/>
          <w:bCs/>
          <w:color w:val="000000"/>
          <w:sz w:val="24"/>
          <w:szCs w:val="24"/>
          <w:lang w:val="ro-RO"/>
        </w:rPr>
        <w:t>348,3 mii</w:t>
      </w:r>
      <w:r w:rsidR="00093D69" w:rsidRPr="00991A75">
        <w:rPr>
          <w:rFonts w:ascii="Times New Roman" w:eastAsia="Times New Roman" w:hAnsi="Times New Roman" w:cs="Times New Roman"/>
          <w:bCs/>
          <w:color w:val="000000"/>
          <w:sz w:val="24"/>
          <w:szCs w:val="24"/>
          <w:lang w:val="ro-RO"/>
        </w:rPr>
        <w:t xml:space="preserve"> lei)</w:t>
      </w:r>
      <w:r w:rsidR="00636B87" w:rsidRPr="00991A75">
        <w:rPr>
          <w:rFonts w:ascii="Times New Roman" w:eastAsia="Times New Roman" w:hAnsi="Times New Roman" w:cs="Times New Roman"/>
          <w:bCs/>
          <w:color w:val="000000"/>
          <w:sz w:val="24"/>
          <w:szCs w:val="24"/>
          <w:lang w:val="ro-RO"/>
        </w:rPr>
        <w:t xml:space="preserve">, fiind selectată oferta cu 49,3 mii lei mai </w:t>
      </w:r>
      <w:r w:rsidR="0037256C">
        <w:rPr>
          <w:rFonts w:ascii="Times New Roman" w:eastAsia="Times New Roman" w:hAnsi="Times New Roman" w:cs="Times New Roman"/>
          <w:bCs/>
          <w:color w:val="000000"/>
          <w:sz w:val="24"/>
          <w:szCs w:val="24"/>
          <w:lang w:val="ro-RO"/>
        </w:rPr>
        <w:t>mare</w:t>
      </w:r>
      <w:r w:rsidR="00093D69" w:rsidRPr="00991A75">
        <w:rPr>
          <w:rFonts w:ascii="Times New Roman" w:eastAsia="Times New Roman" w:hAnsi="Times New Roman" w:cs="Times New Roman"/>
          <w:bCs/>
          <w:color w:val="000000"/>
          <w:sz w:val="24"/>
          <w:szCs w:val="24"/>
          <w:lang w:val="ro-RO"/>
        </w:rPr>
        <w:t xml:space="preserve">. Ofertele </w:t>
      </w:r>
      <w:r w:rsidR="0037256C">
        <w:rPr>
          <w:rFonts w:ascii="Times New Roman" w:eastAsia="Times New Roman" w:hAnsi="Times New Roman" w:cs="Times New Roman"/>
          <w:bCs/>
          <w:color w:val="000000"/>
          <w:sz w:val="24"/>
          <w:szCs w:val="24"/>
          <w:lang w:val="ro-RO"/>
        </w:rPr>
        <w:t>cu</w:t>
      </w:r>
      <w:r w:rsidR="00093D69" w:rsidRPr="00991A75">
        <w:rPr>
          <w:rFonts w:ascii="Times New Roman" w:eastAsia="Times New Roman" w:hAnsi="Times New Roman" w:cs="Times New Roman"/>
          <w:bCs/>
          <w:color w:val="000000"/>
          <w:sz w:val="24"/>
          <w:szCs w:val="24"/>
          <w:lang w:val="ro-RO"/>
        </w:rPr>
        <w:t xml:space="preserve"> prețuri mai mici au fost respinse deoarece nu au corespuns cerințelor </w:t>
      </w:r>
      <w:r>
        <w:rPr>
          <w:rFonts w:ascii="Times New Roman" w:eastAsia="Times New Roman" w:hAnsi="Times New Roman" w:cs="Times New Roman"/>
          <w:bCs/>
          <w:color w:val="000000"/>
          <w:sz w:val="24"/>
          <w:szCs w:val="24"/>
          <w:lang w:val="ro-RO"/>
        </w:rPr>
        <w:t>din</w:t>
      </w:r>
      <w:r w:rsidR="00093D69" w:rsidRPr="00991A75">
        <w:rPr>
          <w:rFonts w:ascii="Times New Roman" w:eastAsia="Times New Roman" w:hAnsi="Times New Roman" w:cs="Times New Roman"/>
          <w:bCs/>
          <w:color w:val="000000"/>
          <w:sz w:val="24"/>
          <w:szCs w:val="24"/>
          <w:lang w:val="ro-RO"/>
        </w:rPr>
        <w:t xml:space="preserve"> documentația de atribuire și nu a</w:t>
      </w:r>
      <w:r>
        <w:rPr>
          <w:rFonts w:ascii="Times New Roman" w:eastAsia="Times New Roman" w:hAnsi="Times New Roman" w:cs="Times New Roman"/>
          <w:bCs/>
          <w:color w:val="000000"/>
          <w:sz w:val="24"/>
          <w:szCs w:val="24"/>
          <w:lang w:val="ro-RO"/>
        </w:rPr>
        <w:t>u</w:t>
      </w:r>
      <w:r w:rsidR="00093D69" w:rsidRPr="00991A75">
        <w:rPr>
          <w:rFonts w:ascii="Times New Roman" w:eastAsia="Times New Roman" w:hAnsi="Times New Roman" w:cs="Times New Roman"/>
          <w:bCs/>
          <w:color w:val="000000"/>
          <w:sz w:val="24"/>
          <w:szCs w:val="24"/>
          <w:lang w:val="ro-RO"/>
        </w:rPr>
        <w:t xml:space="preserve"> îndeplinit cerințele de calificare și selecție.</w:t>
      </w:r>
      <w:r w:rsidR="00B51852" w:rsidRPr="00991A75">
        <w:rPr>
          <w:rFonts w:ascii="Times New Roman" w:eastAsia="Times New Roman" w:hAnsi="Times New Roman" w:cs="Times New Roman"/>
          <w:bCs/>
          <w:color w:val="000000"/>
          <w:sz w:val="24"/>
          <w:szCs w:val="24"/>
          <w:lang w:val="ro-RO"/>
        </w:rPr>
        <w:t xml:space="preserve"> Auditul relevă că valoarea estimată a achiziției în sumă de 350,0 mii lei a permis selectarea unei oferte mai mari</w:t>
      </w:r>
      <w:r w:rsidR="0037256C">
        <w:rPr>
          <w:rFonts w:ascii="Times New Roman" w:eastAsia="Times New Roman" w:hAnsi="Times New Roman" w:cs="Times New Roman"/>
          <w:bCs/>
          <w:color w:val="000000"/>
          <w:sz w:val="24"/>
          <w:szCs w:val="24"/>
          <w:lang w:val="ro-RO"/>
        </w:rPr>
        <w:t>;</w:t>
      </w:r>
    </w:p>
    <w:p w14:paraId="622B16CC" w14:textId="77777777" w:rsidR="006D5D94" w:rsidRDefault="0037256C" w:rsidP="006D5D94">
      <w:pPr>
        <w:pStyle w:val="ListParagraph"/>
        <w:numPr>
          <w:ilvl w:val="0"/>
          <w:numId w:val="4"/>
        </w:numPr>
        <w:tabs>
          <w:tab w:val="left" w:pos="284"/>
          <w:tab w:val="left" w:pos="851"/>
        </w:tabs>
        <w:spacing w:after="0" w:line="276" w:lineRule="auto"/>
        <w:ind w:left="0" w:firstLine="709"/>
        <w:jc w:val="both"/>
        <w:rPr>
          <w:rFonts w:ascii="Times New Roman" w:eastAsia="Times New Roman" w:hAnsi="Times New Roman" w:cs="Times New Roman"/>
          <w:bCs/>
          <w:color w:val="000000"/>
          <w:sz w:val="24"/>
          <w:szCs w:val="24"/>
          <w:lang w:val="ro-RO"/>
        </w:rPr>
      </w:pPr>
      <w:r w:rsidRPr="006D5D94">
        <w:rPr>
          <w:rFonts w:ascii="Times New Roman" w:eastAsia="Times New Roman" w:hAnsi="Times New Roman" w:cs="Times New Roman"/>
          <w:bCs/>
          <w:color w:val="000000"/>
          <w:sz w:val="24"/>
          <w:szCs w:val="24"/>
          <w:lang w:val="ro-RO"/>
        </w:rPr>
        <w:t>î</w:t>
      </w:r>
      <w:r w:rsidR="00875512" w:rsidRPr="006D5D94">
        <w:rPr>
          <w:rFonts w:ascii="Times New Roman" w:eastAsia="Times New Roman" w:hAnsi="Times New Roman" w:cs="Times New Roman"/>
          <w:bCs/>
          <w:color w:val="000000"/>
          <w:sz w:val="24"/>
          <w:szCs w:val="24"/>
          <w:lang w:val="ro-RO"/>
        </w:rPr>
        <w:t xml:space="preserve">n anul 2022, </w:t>
      </w:r>
      <w:r w:rsidR="00875512" w:rsidRPr="006D5D94">
        <w:rPr>
          <w:rFonts w:ascii="Times New Roman" w:eastAsia="Times New Roman" w:hAnsi="Times New Roman" w:cs="Times New Roman"/>
          <w:b/>
          <w:bCs/>
          <w:i/>
          <w:color w:val="000000"/>
          <w:sz w:val="24"/>
          <w:szCs w:val="24"/>
          <w:lang w:val="ro-RO"/>
        </w:rPr>
        <w:t>pentru lucrări de reparație a grupurilor sanitare din sediul BNM</w:t>
      </w:r>
      <w:r w:rsidR="00875512" w:rsidRPr="006D5D94">
        <w:rPr>
          <w:rFonts w:ascii="Times New Roman" w:eastAsia="Times New Roman" w:hAnsi="Times New Roman" w:cs="Times New Roman"/>
          <w:bCs/>
          <w:color w:val="000000"/>
          <w:sz w:val="24"/>
          <w:szCs w:val="24"/>
          <w:lang w:val="ro-RO"/>
        </w:rPr>
        <w:t xml:space="preserve"> </w:t>
      </w:r>
      <w:r w:rsidR="00C47DA4" w:rsidRPr="006D5D94">
        <w:rPr>
          <w:rFonts w:ascii="Times New Roman" w:eastAsia="Times New Roman" w:hAnsi="Times New Roman" w:cs="Times New Roman"/>
          <w:bCs/>
          <w:color w:val="000000"/>
          <w:sz w:val="24"/>
          <w:szCs w:val="24"/>
          <w:lang w:val="ro-RO"/>
        </w:rPr>
        <w:t xml:space="preserve">au fost executate cheltuieli în sumă de </w:t>
      </w:r>
      <w:r w:rsidR="00875512" w:rsidRPr="006D5D94">
        <w:rPr>
          <w:rFonts w:ascii="Times New Roman" w:eastAsia="Times New Roman" w:hAnsi="Times New Roman" w:cs="Times New Roman"/>
          <w:bCs/>
          <w:color w:val="000000"/>
          <w:sz w:val="24"/>
          <w:szCs w:val="24"/>
          <w:lang w:val="ro-RO"/>
        </w:rPr>
        <w:t>1</w:t>
      </w:r>
      <w:r w:rsidRPr="006D5D94">
        <w:rPr>
          <w:rFonts w:ascii="Times New Roman" w:eastAsia="Times New Roman" w:hAnsi="Times New Roman" w:cs="Times New Roman"/>
          <w:bCs/>
          <w:color w:val="000000"/>
          <w:sz w:val="24"/>
          <w:szCs w:val="24"/>
          <w:lang w:val="ro-RO"/>
        </w:rPr>
        <w:t>.</w:t>
      </w:r>
      <w:r w:rsidR="00875512" w:rsidRPr="006D5D94">
        <w:rPr>
          <w:rFonts w:ascii="Times New Roman" w:eastAsia="Times New Roman" w:hAnsi="Times New Roman" w:cs="Times New Roman"/>
          <w:bCs/>
          <w:color w:val="000000"/>
          <w:sz w:val="24"/>
          <w:szCs w:val="24"/>
          <w:lang w:val="ro-RO"/>
        </w:rPr>
        <w:t xml:space="preserve">202,87 mii lei, conform </w:t>
      </w:r>
      <w:r w:rsidR="00656EBD" w:rsidRPr="006D5D94">
        <w:rPr>
          <w:rFonts w:ascii="Times New Roman" w:eastAsia="Times New Roman" w:hAnsi="Times New Roman" w:cs="Times New Roman"/>
          <w:bCs/>
          <w:color w:val="000000"/>
          <w:sz w:val="24"/>
          <w:szCs w:val="24"/>
          <w:lang w:val="ro-RO"/>
        </w:rPr>
        <w:t>C</w:t>
      </w:r>
      <w:r w:rsidR="00875512" w:rsidRPr="006D5D94">
        <w:rPr>
          <w:rFonts w:ascii="Times New Roman" w:eastAsia="Times New Roman" w:hAnsi="Times New Roman" w:cs="Times New Roman"/>
          <w:bCs/>
          <w:color w:val="000000"/>
          <w:sz w:val="24"/>
          <w:szCs w:val="24"/>
          <w:lang w:val="ro-RO"/>
        </w:rPr>
        <w:t>ontractului nr.24/145/2021</w:t>
      </w:r>
      <w:r w:rsidRPr="006D5D94">
        <w:rPr>
          <w:rFonts w:ascii="Times New Roman" w:eastAsia="Times New Roman" w:hAnsi="Times New Roman" w:cs="Times New Roman"/>
          <w:bCs/>
          <w:color w:val="000000"/>
          <w:sz w:val="24"/>
          <w:szCs w:val="24"/>
          <w:lang w:val="ro-RO"/>
        </w:rPr>
        <w:t>-</w:t>
      </w:r>
      <w:r w:rsidR="00875512" w:rsidRPr="006D5D94">
        <w:rPr>
          <w:rFonts w:ascii="Times New Roman" w:eastAsia="Times New Roman" w:hAnsi="Times New Roman" w:cs="Times New Roman"/>
          <w:bCs/>
          <w:color w:val="000000"/>
          <w:sz w:val="24"/>
          <w:szCs w:val="24"/>
          <w:lang w:val="ro-RO"/>
        </w:rPr>
        <w:t>LD din 01.11.2021, în sumă de 2</w:t>
      </w:r>
      <w:r w:rsidRPr="006D5D94">
        <w:rPr>
          <w:rFonts w:ascii="Times New Roman" w:eastAsia="Times New Roman" w:hAnsi="Times New Roman" w:cs="Times New Roman"/>
          <w:bCs/>
          <w:color w:val="000000"/>
          <w:sz w:val="24"/>
          <w:szCs w:val="24"/>
          <w:lang w:val="ro-RO"/>
        </w:rPr>
        <w:t>.</w:t>
      </w:r>
      <w:r w:rsidR="00875512" w:rsidRPr="006D5D94">
        <w:rPr>
          <w:rFonts w:ascii="Times New Roman" w:eastAsia="Times New Roman" w:hAnsi="Times New Roman" w:cs="Times New Roman"/>
          <w:bCs/>
          <w:color w:val="000000"/>
          <w:sz w:val="24"/>
          <w:szCs w:val="24"/>
          <w:lang w:val="ro-RO"/>
        </w:rPr>
        <w:t>360,99 mii lei.</w:t>
      </w:r>
      <w:r w:rsidR="00C47DA4" w:rsidRPr="006D5D94">
        <w:rPr>
          <w:rFonts w:ascii="Times New Roman" w:eastAsia="Times New Roman" w:hAnsi="Times New Roman" w:cs="Times New Roman"/>
          <w:bCs/>
          <w:color w:val="000000"/>
          <w:sz w:val="24"/>
          <w:szCs w:val="24"/>
          <w:lang w:val="ro-RO"/>
        </w:rPr>
        <w:t xml:space="preserve"> </w:t>
      </w:r>
      <w:r w:rsidRPr="006D5D94">
        <w:rPr>
          <w:rFonts w:ascii="Times New Roman" w:eastAsia="Times New Roman" w:hAnsi="Times New Roman" w:cs="Times New Roman"/>
          <w:bCs/>
          <w:color w:val="000000"/>
          <w:sz w:val="24"/>
          <w:szCs w:val="24"/>
          <w:lang w:val="ro-RO"/>
        </w:rPr>
        <w:t>În cadrul</w:t>
      </w:r>
      <w:r w:rsidR="003023E4" w:rsidRPr="006D5D94">
        <w:rPr>
          <w:rFonts w:ascii="Times New Roman" w:eastAsia="Times New Roman" w:hAnsi="Times New Roman" w:cs="Times New Roman"/>
          <w:bCs/>
          <w:color w:val="000000"/>
          <w:sz w:val="24"/>
          <w:szCs w:val="24"/>
          <w:lang w:val="ro-RO"/>
        </w:rPr>
        <w:t xml:space="preserve"> procedur</w:t>
      </w:r>
      <w:r w:rsidRPr="006D5D94">
        <w:rPr>
          <w:rFonts w:ascii="Times New Roman" w:eastAsia="Times New Roman" w:hAnsi="Times New Roman" w:cs="Times New Roman"/>
          <w:bCs/>
          <w:color w:val="000000"/>
          <w:sz w:val="24"/>
          <w:szCs w:val="24"/>
          <w:lang w:val="ro-RO"/>
        </w:rPr>
        <w:t>ii</w:t>
      </w:r>
      <w:r w:rsidR="003023E4" w:rsidRPr="006D5D94">
        <w:rPr>
          <w:rFonts w:ascii="Times New Roman" w:eastAsia="Times New Roman" w:hAnsi="Times New Roman" w:cs="Times New Roman"/>
          <w:bCs/>
          <w:color w:val="000000"/>
          <w:sz w:val="24"/>
          <w:szCs w:val="24"/>
          <w:lang w:val="ro-RO"/>
        </w:rPr>
        <w:t xml:space="preserve"> de achiziție prin LD din 29 iunie 2021</w:t>
      </w:r>
      <w:r w:rsidR="00672ABC" w:rsidRPr="006D5D94">
        <w:rPr>
          <w:rFonts w:ascii="Times New Roman" w:eastAsia="Times New Roman" w:hAnsi="Times New Roman" w:cs="Times New Roman"/>
          <w:bCs/>
          <w:color w:val="000000"/>
          <w:sz w:val="24"/>
          <w:szCs w:val="24"/>
          <w:lang w:val="ro-RO"/>
        </w:rPr>
        <w:t>, pentru acest lot</w:t>
      </w:r>
      <w:r w:rsidR="003023E4" w:rsidRPr="006D5D94">
        <w:rPr>
          <w:rFonts w:ascii="Times New Roman" w:eastAsia="Times New Roman" w:hAnsi="Times New Roman" w:cs="Times New Roman"/>
          <w:bCs/>
          <w:color w:val="000000"/>
          <w:sz w:val="24"/>
          <w:szCs w:val="24"/>
          <w:lang w:val="ro-RO"/>
        </w:rPr>
        <w:t xml:space="preserve"> au fost </w:t>
      </w:r>
      <w:r w:rsidR="00191C9E" w:rsidRPr="006D5D94">
        <w:rPr>
          <w:rFonts w:ascii="Times New Roman" w:eastAsia="Times New Roman" w:hAnsi="Times New Roman" w:cs="Times New Roman"/>
          <w:bCs/>
          <w:color w:val="000000"/>
          <w:sz w:val="24"/>
          <w:szCs w:val="24"/>
          <w:lang w:val="ro-RO"/>
        </w:rPr>
        <w:t>evaluate</w:t>
      </w:r>
      <w:r w:rsidR="003023E4" w:rsidRPr="006D5D94">
        <w:rPr>
          <w:rFonts w:ascii="Times New Roman" w:eastAsia="Times New Roman" w:hAnsi="Times New Roman" w:cs="Times New Roman"/>
          <w:bCs/>
          <w:color w:val="000000"/>
          <w:sz w:val="24"/>
          <w:szCs w:val="24"/>
          <w:lang w:val="ro-RO"/>
        </w:rPr>
        <w:t xml:space="preserve"> </w:t>
      </w:r>
      <w:r w:rsidR="00DA5DAE" w:rsidRPr="006D5D94">
        <w:rPr>
          <w:rFonts w:ascii="Times New Roman" w:eastAsia="Times New Roman" w:hAnsi="Times New Roman" w:cs="Times New Roman"/>
          <w:bCs/>
          <w:color w:val="000000"/>
          <w:sz w:val="24"/>
          <w:szCs w:val="24"/>
          <w:lang w:val="ro-RO"/>
        </w:rPr>
        <w:t>2</w:t>
      </w:r>
      <w:r w:rsidR="003023E4" w:rsidRPr="006D5D94">
        <w:rPr>
          <w:rFonts w:ascii="Times New Roman" w:eastAsia="Times New Roman" w:hAnsi="Times New Roman" w:cs="Times New Roman"/>
          <w:bCs/>
          <w:color w:val="000000"/>
          <w:sz w:val="24"/>
          <w:szCs w:val="24"/>
          <w:lang w:val="ro-RO"/>
        </w:rPr>
        <w:t xml:space="preserve"> oferte (</w:t>
      </w:r>
      <w:r w:rsidRPr="006D5D94">
        <w:rPr>
          <w:rFonts w:ascii="Times New Roman" w:eastAsia="Times New Roman" w:hAnsi="Times New Roman" w:cs="Times New Roman"/>
          <w:bCs/>
          <w:color w:val="000000"/>
          <w:sz w:val="24"/>
          <w:szCs w:val="24"/>
          <w:lang w:val="ro-RO"/>
        </w:rPr>
        <w:t xml:space="preserve">de </w:t>
      </w:r>
      <w:r w:rsidR="00B5604E" w:rsidRPr="006D5D94">
        <w:rPr>
          <w:rFonts w:ascii="Times New Roman" w:eastAsia="Times New Roman" w:hAnsi="Times New Roman" w:cs="Times New Roman"/>
          <w:bCs/>
          <w:color w:val="000000"/>
          <w:sz w:val="24"/>
          <w:szCs w:val="24"/>
          <w:lang w:val="ro-RO"/>
        </w:rPr>
        <w:t>966,7 mii lei</w:t>
      </w:r>
      <w:r w:rsidRPr="006D5D94">
        <w:rPr>
          <w:rFonts w:ascii="Times New Roman" w:eastAsia="Times New Roman" w:hAnsi="Times New Roman" w:cs="Times New Roman"/>
          <w:bCs/>
          <w:color w:val="000000"/>
          <w:sz w:val="24"/>
          <w:szCs w:val="24"/>
          <w:lang w:val="ro-RO"/>
        </w:rPr>
        <w:t xml:space="preserve"> și de</w:t>
      </w:r>
      <w:r w:rsidR="003023E4" w:rsidRPr="006D5D94">
        <w:rPr>
          <w:rFonts w:ascii="Times New Roman" w:eastAsia="Times New Roman" w:hAnsi="Times New Roman" w:cs="Times New Roman"/>
          <w:bCs/>
          <w:color w:val="000000"/>
          <w:sz w:val="24"/>
          <w:szCs w:val="24"/>
          <w:lang w:val="ro-RO"/>
        </w:rPr>
        <w:t xml:space="preserve"> 1</w:t>
      </w:r>
      <w:r w:rsidRPr="006D5D94">
        <w:rPr>
          <w:rFonts w:ascii="Times New Roman" w:eastAsia="Times New Roman" w:hAnsi="Times New Roman" w:cs="Times New Roman"/>
          <w:bCs/>
          <w:color w:val="000000"/>
          <w:sz w:val="24"/>
          <w:szCs w:val="24"/>
          <w:lang w:val="ro-RO"/>
        </w:rPr>
        <w:t>.</w:t>
      </w:r>
      <w:r w:rsidR="003023E4" w:rsidRPr="006D5D94">
        <w:rPr>
          <w:rFonts w:ascii="Times New Roman" w:eastAsia="Times New Roman" w:hAnsi="Times New Roman" w:cs="Times New Roman"/>
          <w:bCs/>
          <w:color w:val="000000"/>
          <w:sz w:val="24"/>
          <w:szCs w:val="24"/>
          <w:lang w:val="ro-RO"/>
        </w:rPr>
        <w:t>126,2 mii</w:t>
      </w:r>
      <w:r w:rsidR="009B27FC" w:rsidRPr="006D5D94">
        <w:rPr>
          <w:rFonts w:ascii="Times New Roman" w:eastAsia="Times New Roman" w:hAnsi="Times New Roman" w:cs="Times New Roman"/>
          <w:bCs/>
          <w:color w:val="000000"/>
          <w:sz w:val="24"/>
          <w:szCs w:val="24"/>
          <w:lang w:val="ro-RO"/>
        </w:rPr>
        <w:t xml:space="preserve"> lei)</w:t>
      </w:r>
      <w:r w:rsidRPr="006D5D94">
        <w:rPr>
          <w:rFonts w:ascii="Times New Roman" w:eastAsia="Times New Roman" w:hAnsi="Times New Roman" w:cs="Times New Roman"/>
          <w:bCs/>
          <w:color w:val="000000"/>
          <w:sz w:val="24"/>
          <w:szCs w:val="24"/>
          <w:lang w:val="ro-RO"/>
        </w:rPr>
        <w:t>,</w:t>
      </w:r>
      <w:r w:rsidR="00672ABC" w:rsidRPr="006D5D94">
        <w:rPr>
          <w:rFonts w:ascii="Times New Roman" w:eastAsia="Times New Roman" w:hAnsi="Times New Roman" w:cs="Times New Roman"/>
          <w:bCs/>
          <w:color w:val="000000"/>
          <w:sz w:val="24"/>
          <w:szCs w:val="24"/>
          <w:lang w:val="ro-RO"/>
        </w:rPr>
        <w:t xml:space="preserve"> fiind selectată oferta cu 159,5 mii lei mai mult</w:t>
      </w:r>
      <w:r w:rsidR="009B27FC" w:rsidRPr="006D5D94">
        <w:rPr>
          <w:rFonts w:ascii="Times New Roman" w:eastAsia="Times New Roman" w:hAnsi="Times New Roman" w:cs="Times New Roman"/>
          <w:bCs/>
          <w:color w:val="000000"/>
          <w:sz w:val="24"/>
          <w:szCs w:val="24"/>
          <w:lang w:val="ro-RO"/>
        </w:rPr>
        <w:t xml:space="preserve">. </w:t>
      </w:r>
      <w:r w:rsidR="00C35A72" w:rsidRPr="006D5D94">
        <w:rPr>
          <w:rFonts w:ascii="Times New Roman" w:eastAsia="Times New Roman" w:hAnsi="Times New Roman" w:cs="Times New Roman"/>
          <w:bCs/>
          <w:color w:val="000000"/>
          <w:sz w:val="24"/>
          <w:szCs w:val="24"/>
          <w:lang w:val="ro-RO"/>
        </w:rPr>
        <w:t xml:space="preserve">S-a decis reevaluarea și respingerea </w:t>
      </w:r>
      <w:r w:rsidR="00B5604E" w:rsidRPr="006D5D94">
        <w:rPr>
          <w:rFonts w:ascii="Times New Roman" w:eastAsia="Times New Roman" w:hAnsi="Times New Roman" w:cs="Times New Roman"/>
          <w:bCs/>
          <w:color w:val="000000"/>
          <w:sz w:val="24"/>
          <w:szCs w:val="24"/>
          <w:lang w:val="ro-RO"/>
        </w:rPr>
        <w:t>unei oferte</w:t>
      </w:r>
      <w:r w:rsidR="00C35A72" w:rsidRPr="006D5D94">
        <w:rPr>
          <w:rFonts w:ascii="Times New Roman" w:eastAsia="Times New Roman" w:hAnsi="Times New Roman" w:cs="Times New Roman"/>
          <w:bCs/>
          <w:color w:val="000000"/>
          <w:sz w:val="24"/>
          <w:szCs w:val="24"/>
          <w:lang w:val="ro-RO"/>
        </w:rPr>
        <w:t xml:space="preserve"> din motivele </w:t>
      </w:r>
      <w:r w:rsidR="00C35A72" w:rsidRPr="006D5D94">
        <w:rPr>
          <w:rFonts w:ascii="Times New Roman" w:eastAsia="Times New Roman" w:hAnsi="Times New Roman" w:cs="Times New Roman"/>
          <w:bCs/>
          <w:color w:val="000000"/>
          <w:sz w:val="24"/>
          <w:szCs w:val="24"/>
          <w:lang w:val="ro-RO"/>
        </w:rPr>
        <w:lastRenderedPageBreak/>
        <w:t xml:space="preserve">invocate în </w:t>
      </w:r>
      <w:r w:rsidR="009B27FC" w:rsidRPr="006D5D94">
        <w:rPr>
          <w:rFonts w:ascii="Times New Roman" w:eastAsia="Times New Roman" w:hAnsi="Times New Roman" w:cs="Times New Roman"/>
          <w:bCs/>
          <w:color w:val="000000"/>
          <w:sz w:val="24"/>
          <w:szCs w:val="24"/>
          <w:lang w:val="ro-RO"/>
        </w:rPr>
        <w:t>Decizia ANSC nr.03D-596-21 din 24.08.2021</w:t>
      </w:r>
      <w:r w:rsidR="001C6795" w:rsidRPr="006D5D94">
        <w:rPr>
          <w:rFonts w:ascii="Times New Roman" w:eastAsia="Times New Roman" w:hAnsi="Times New Roman" w:cs="Times New Roman"/>
          <w:bCs/>
          <w:color w:val="000000"/>
          <w:sz w:val="24"/>
          <w:szCs w:val="24"/>
          <w:lang w:val="ro-RO"/>
        </w:rPr>
        <w:t>, dar valoarea estimată în sumă de 1</w:t>
      </w:r>
      <w:r w:rsidRPr="006D5D94">
        <w:rPr>
          <w:rFonts w:ascii="Times New Roman" w:eastAsia="Times New Roman" w:hAnsi="Times New Roman" w:cs="Times New Roman"/>
          <w:bCs/>
          <w:color w:val="000000"/>
          <w:sz w:val="24"/>
          <w:szCs w:val="24"/>
          <w:lang w:val="ro-RO"/>
        </w:rPr>
        <w:t>.</w:t>
      </w:r>
      <w:r w:rsidR="001C6795" w:rsidRPr="006D5D94">
        <w:rPr>
          <w:rFonts w:ascii="Times New Roman" w:eastAsia="Times New Roman" w:hAnsi="Times New Roman" w:cs="Times New Roman"/>
          <w:bCs/>
          <w:color w:val="000000"/>
          <w:sz w:val="24"/>
          <w:szCs w:val="24"/>
          <w:lang w:val="ro-RO"/>
        </w:rPr>
        <w:t>500,0 mii lei a permis selectarea ofertei mai mari</w:t>
      </w:r>
      <w:r w:rsidRPr="006D5D94">
        <w:rPr>
          <w:rFonts w:ascii="Times New Roman" w:eastAsia="Times New Roman" w:hAnsi="Times New Roman" w:cs="Times New Roman"/>
          <w:bCs/>
          <w:color w:val="000000"/>
          <w:sz w:val="24"/>
          <w:szCs w:val="24"/>
          <w:lang w:val="ro-RO"/>
        </w:rPr>
        <w:t>;</w:t>
      </w:r>
    </w:p>
    <w:p w14:paraId="495CB1E6" w14:textId="700DF2DE" w:rsidR="00034490" w:rsidRPr="006D5D94" w:rsidRDefault="0037256C" w:rsidP="006D5D94">
      <w:pPr>
        <w:pStyle w:val="ListParagraph"/>
        <w:numPr>
          <w:ilvl w:val="0"/>
          <w:numId w:val="4"/>
        </w:numPr>
        <w:tabs>
          <w:tab w:val="left" w:pos="284"/>
          <w:tab w:val="left" w:pos="851"/>
        </w:tabs>
        <w:spacing w:after="0" w:line="276" w:lineRule="auto"/>
        <w:ind w:left="0" w:firstLine="709"/>
        <w:jc w:val="both"/>
        <w:rPr>
          <w:rFonts w:ascii="Times New Roman" w:eastAsia="Times New Roman" w:hAnsi="Times New Roman" w:cs="Times New Roman"/>
          <w:bCs/>
          <w:color w:val="000000"/>
          <w:sz w:val="24"/>
          <w:szCs w:val="24"/>
          <w:lang w:val="ro-RO"/>
        </w:rPr>
      </w:pPr>
      <w:r w:rsidRPr="006D5D94">
        <w:rPr>
          <w:rFonts w:ascii="Times New Roman" w:eastAsia="Times New Roman" w:hAnsi="Times New Roman" w:cs="Times New Roman"/>
          <w:bCs/>
          <w:color w:val="000000"/>
          <w:sz w:val="24"/>
          <w:szCs w:val="24"/>
          <w:lang w:val="ro-RO"/>
        </w:rPr>
        <w:t>î</w:t>
      </w:r>
      <w:r w:rsidR="008B5EBF" w:rsidRPr="006D5D94">
        <w:rPr>
          <w:rFonts w:ascii="Times New Roman" w:eastAsia="Times New Roman" w:hAnsi="Times New Roman" w:cs="Times New Roman"/>
          <w:bCs/>
          <w:color w:val="000000"/>
          <w:sz w:val="24"/>
          <w:szCs w:val="24"/>
          <w:lang w:val="ro-RO"/>
        </w:rPr>
        <w:t xml:space="preserve">n anul 2022, </w:t>
      </w:r>
      <w:r w:rsidR="008B5EBF" w:rsidRPr="006D5D94">
        <w:rPr>
          <w:rFonts w:ascii="Times New Roman" w:eastAsia="Times New Roman" w:hAnsi="Times New Roman" w:cs="Times New Roman"/>
          <w:b/>
          <w:bCs/>
          <w:i/>
          <w:color w:val="000000"/>
          <w:sz w:val="24"/>
          <w:szCs w:val="24"/>
          <w:lang w:val="ro-RO"/>
        </w:rPr>
        <w:t>pentru lucrări de reparație a depozitului, inclusiv a acoperișului</w:t>
      </w:r>
      <w:r w:rsidRPr="006D5D94">
        <w:rPr>
          <w:rFonts w:ascii="Times New Roman" w:eastAsia="Times New Roman" w:hAnsi="Times New Roman" w:cs="Times New Roman"/>
          <w:b/>
          <w:bCs/>
          <w:i/>
          <w:color w:val="000000"/>
          <w:sz w:val="24"/>
          <w:szCs w:val="24"/>
          <w:lang w:val="ro-RO"/>
        </w:rPr>
        <w:t>,</w:t>
      </w:r>
      <w:r w:rsidR="008B5EBF" w:rsidRPr="006D5D94">
        <w:rPr>
          <w:rFonts w:ascii="Times New Roman" w:eastAsia="Times New Roman" w:hAnsi="Times New Roman" w:cs="Times New Roman"/>
          <w:bCs/>
          <w:color w:val="000000"/>
          <w:sz w:val="24"/>
          <w:szCs w:val="24"/>
          <w:lang w:val="ro-RO"/>
        </w:rPr>
        <w:t xml:space="preserve"> au fost executate cheltuieli în sumă de 168,1 mii lei, conform </w:t>
      </w:r>
      <w:r w:rsidR="00656EBD" w:rsidRPr="006D5D94">
        <w:rPr>
          <w:rFonts w:ascii="Times New Roman" w:eastAsia="Times New Roman" w:hAnsi="Times New Roman" w:cs="Times New Roman"/>
          <w:bCs/>
          <w:color w:val="000000"/>
          <w:sz w:val="24"/>
          <w:szCs w:val="24"/>
          <w:lang w:val="ro-RO"/>
        </w:rPr>
        <w:t>C</w:t>
      </w:r>
      <w:r w:rsidR="008B5EBF" w:rsidRPr="006D5D94">
        <w:rPr>
          <w:rFonts w:ascii="Times New Roman" w:eastAsia="Times New Roman" w:hAnsi="Times New Roman" w:cs="Times New Roman"/>
          <w:bCs/>
          <w:color w:val="000000"/>
          <w:sz w:val="24"/>
          <w:szCs w:val="24"/>
          <w:lang w:val="ro-RO"/>
        </w:rPr>
        <w:t>ontractului de valoare mică nr.</w:t>
      </w:r>
      <w:r w:rsidR="00AE7C89" w:rsidRPr="006D5D94">
        <w:rPr>
          <w:rFonts w:ascii="Times New Roman" w:eastAsia="Times New Roman" w:hAnsi="Times New Roman" w:cs="Times New Roman"/>
          <w:bCs/>
          <w:color w:val="000000"/>
          <w:sz w:val="24"/>
          <w:szCs w:val="24"/>
          <w:lang w:val="ro-RO"/>
        </w:rPr>
        <w:t>24/235</w:t>
      </w:r>
      <w:r w:rsidR="008B5EBF" w:rsidRPr="006D5D94">
        <w:rPr>
          <w:rFonts w:ascii="Times New Roman" w:eastAsia="Times New Roman" w:hAnsi="Times New Roman" w:cs="Times New Roman"/>
          <w:bCs/>
          <w:color w:val="000000"/>
          <w:sz w:val="24"/>
          <w:szCs w:val="24"/>
          <w:lang w:val="ro-RO"/>
        </w:rPr>
        <w:t xml:space="preserve"> din 24.11.2022.</w:t>
      </w:r>
    </w:p>
    <w:p w14:paraId="0421A4FE" w14:textId="77777777" w:rsidR="00211BBC" w:rsidRPr="00650D66" w:rsidRDefault="00211BBC" w:rsidP="00793983">
      <w:pPr>
        <w:tabs>
          <w:tab w:val="left" w:pos="284"/>
        </w:tabs>
        <w:spacing w:after="0" w:line="276" w:lineRule="auto"/>
        <w:contextualSpacing/>
        <w:jc w:val="both"/>
        <w:rPr>
          <w:rFonts w:ascii="Times New Roman" w:eastAsia="Times New Roman" w:hAnsi="Times New Roman" w:cs="Times New Roman"/>
          <w:bCs/>
          <w:color w:val="000000"/>
          <w:sz w:val="6"/>
          <w:szCs w:val="6"/>
          <w:lang w:val="ro-RO"/>
        </w:rPr>
      </w:pPr>
    </w:p>
    <w:p w14:paraId="19C34EFC" w14:textId="226BA408" w:rsidR="00211BBC" w:rsidRPr="00650D66" w:rsidRDefault="00700C24" w:rsidP="00793983">
      <w:pPr>
        <w:tabs>
          <w:tab w:val="left" w:pos="284"/>
        </w:tabs>
        <w:spacing w:after="0" w:line="276" w:lineRule="auto"/>
        <w:contextualSpacing/>
        <w:jc w:val="both"/>
        <w:rPr>
          <w:rFonts w:ascii="Times New Roman" w:eastAsia="Times New Roman" w:hAnsi="Times New Roman" w:cs="Times New Roman"/>
          <w:bCs/>
          <w:color w:val="000000"/>
          <w:sz w:val="24"/>
          <w:szCs w:val="24"/>
          <w:lang w:val="ro-RO"/>
        </w:rPr>
      </w:pPr>
      <w:r w:rsidRPr="00650D66">
        <w:rPr>
          <w:rFonts w:ascii="Times New Roman" w:eastAsia="Times New Roman" w:hAnsi="Times New Roman" w:cs="Times New Roman"/>
          <w:bCs/>
          <w:color w:val="000000"/>
          <w:sz w:val="24"/>
          <w:szCs w:val="24"/>
          <w:lang w:val="ro-RO"/>
        </w:rPr>
        <w:t>Mai multe lucrări de reparație planificate în anul 2022 au fost amânate pentru anul următor. Astfel, î</w:t>
      </w:r>
      <w:r w:rsidR="00211BBC" w:rsidRPr="00650D66">
        <w:rPr>
          <w:rFonts w:ascii="Times New Roman" w:eastAsia="Times New Roman" w:hAnsi="Times New Roman" w:cs="Times New Roman"/>
          <w:bCs/>
          <w:color w:val="000000"/>
          <w:sz w:val="24"/>
          <w:szCs w:val="24"/>
          <w:lang w:val="ro-RO"/>
        </w:rPr>
        <w:t>n anul 2022 au fost planificate 3,1 mil. lei pentru reparația acoperișului și încăperilor casei de odihnă ,,La Nistru”</w:t>
      </w:r>
      <w:r w:rsidR="0037256C">
        <w:rPr>
          <w:rFonts w:ascii="Times New Roman" w:eastAsia="Times New Roman" w:hAnsi="Times New Roman" w:cs="Times New Roman"/>
          <w:bCs/>
          <w:color w:val="000000"/>
          <w:sz w:val="24"/>
          <w:szCs w:val="24"/>
          <w:lang w:val="ro-RO"/>
        </w:rPr>
        <w:t>,</w:t>
      </w:r>
      <w:r w:rsidR="00211BBC" w:rsidRPr="00650D66">
        <w:rPr>
          <w:rFonts w:ascii="Times New Roman" w:eastAsia="Times New Roman" w:hAnsi="Times New Roman" w:cs="Times New Roman"/>
          <w:bCs/>
          <w:color w:val="000000"/>
          <w:sz w:val="24"/>
          <w:szCs w:val="24"/>
          <w:lang w:val="ro-RO"/>
        </w:rPr>
        <w:t xml:space="preserve"> dar achiziția a fos</w:t>
      </w:r>
      <w:r w:rsidR="000F0A98" w:rsidRPr="00650D66">
        <w:rPr>
          <w:rFonts w:ascii="Times New Roman" w:eastAsia="Times New Roman" w:hAnsi="Times New Roman" w:cs="Times New Roman"/>
          <w:bCs/>
          <w:color w:val="000000"/>
          <w:sz w:val="24"/>
          <w:szCs w:val="24"/>
          <w:lang w:val="ro-RO"/>
        </w:rPr>
        <w:t>t transferată pentru anul 2023,</w:t>
      </w:r>
      <w:r w:rsidR="00211BBC" w:rsidRPr="00650D66">
        <w:rPr>
          <w:rFonts w:ascii="Times New Roman" w:eastAsia="Times New Roman" w:hAnsi="Times New Roman" w:cs="Times New Roman"/>
          <w:bCs/>
          <w:color w:val="000000"/>
          <w:sz w:val="24"/>
          <w:szCs w:val="24"/>
          <w:lang w:val="ro-RO"/>
        </w:rPr>
        <w:t xml:space="preserve"> fiind încheiat și executat </w:t>
      </w:r>
      <w:r w:rsidR="0037256C">
        <w:rPr>
          <w:rFonts w:ascii="Times New Roman" w:eastAsia="Times New Roman" w:hAnsi="Times New Roman" w:cs="Times New Roman"/>
          <w:bCs/>
          <w:color w:val="000000"/>
          <w:sz w:val="24"/>
          <w:szCs w:val="24"/>
          <w:lang w:val="ro-RO"/>
        </w:rPr>
        <w:t>C</w:t>
      </w:r>
      <w:r w:rsidR="00211BBC" w:rsidRPr="00650D66">
        <w:rPr>
          <w:rFonts w:ascii="Times New Roman" w:eastAsia="Times New Roman" w:hAnsi="Times New Roman" w:cs="Times New Roman"/>
          <w:bCs/>
          <w:color w:val="000000"/>
          <w:sz w:val="24"/>
          <w:szCs w:val="24"/>
          <w:lang w:val="ro-RO"/>
        </w:rPr>
        <w:t>ontractul de valoare mică nr.24/236 din 24.11.2022</w:t>
      </w:r>
      <w:r w:rsidR="0037256C">
        <w:rPr>
          <w:rFonts w:ascii="Times New Roman" w:eastAsia="Times New Roman" w:hAnsi="Times New Roman" w:cs="Times New Roman"/>
          <w:bCs/>
          <w:color w:val="000000"/>
          <w:sz w:val="24"/>
          <w:szCs w:val="24"/>
          <w:lang w:val="ro-RO"/>
        </w:rPr>
        <w:t>,</w:t>
      </w:r>
      <w:r w:rsidR="00211BBC" w:rsidRPr="00650D66">
        <w:rPr>
          <w:rFonts w:ascii="Times New Roman" w:eastAsia="Times New Roman" w:hAnsi="Times New Roman" w:cs="Times New Roman"/>
          <w:bCs/>
          <w:color w:val="000000"/>
          <w:sz w:val="24"/>
          <w:szCs w:val="24"/>
          <w:lang w:val="ro-RO"/>
        </w:rPr>
        <w:t xml:space="preserve"> în sumă de 33,6 mii lei</w:t>
      </w:r>
      <w:r w:rsidR="0037256C">
        <w:rPr>
          <w:rFonts w:ascii="Times New Roman" w:eastAsia="Times New Roman" w:hAnsi="Times New Roman" w:cs="Times New Roman"/>
          <w:bCs/>
          <w:color w:val="000000"/>
          <w:sz w:val="24"/>
          <w:szCs w:val="24"/>
          <w:lang w:val="ro-RO"/>
        </w:rPr>
        <w:t>,</w:t>
      </w:r>
      <w:r w:rsidR="00211BBC" w:rsidRPr="00650D66">
        <w:rPr>
          <w:rFonts w:ascii="Times New Roman" w:eastAsia="Times New Roman" w:hAnsi="Times New Roman" w:cs="Times New Roman"/>
          <w:bCs/>
          <w:color w:val="000000"/>
          <w:sz w:val="24"/>
          <w:szCs w:val="24"/>
          <w:lang w:val="ro-RO"/>
        </w:rPr>
        <w:t xml:space="preserve"> pentru reparația unei părți a acoperișului.</w:t>
      </w:r>
      <w:r w:rsidRPr="00650D66">
        <w:rPr>
          <w:rFonts w:ascii="Times New Roman" w:eastAsia="Times New Roman" w:hAnsi="Times New Roman" w:cs="Times New Roman"/>
          <w:bCs/>
          <w:color w:val="000000"/>
          <w:sz w:val="24"/>
          <w:szCs w:val="24"/>
          <w:lang w:val="ro-RO"/>
        </w:rPr>
        <w:t xml:space="preserve"> Totodată, </w:t>
      </w:r>
      <w:r w:rsidR="00C31690">
        <w:rPr>
          <w:rFonts w:ascii="Times New Roman" w:eastAsia="Times New Roman" w:hAnsi="Times New Roman" w:cs="Times New Roman"/>
          <w:bCs/>
          <w:color w:val="000000"/>
          <w:sz w:val="24"/>
          <w:szCs w:val="24"/>
          <w:lang w:val="ro-RO"/>
        </w:rPr>
        <w:t xml:space="preserve">procedurile de achiziții </w:t>
      </w:r>
      <w:r w:rsidR="0037256C">
        <w:rPr>
          <w:rFonts w:ascii="Times New Roman" w:eastAsia="Times New Roman" w:hAnsi="Times New Roman" w:cs="Times New Roman"/>
          <w:bCs/>
          <w:color w:val="000000"/>
          <w:sz w:val="24"/>
          <w:szCs w:val="24"/>
          <w:lang w:val="ro-RO"/>
        </w:rPr>
        <w:t xml:space="preserve">de lucrări </w:t>
      </w:r>
      <w:r w:rsidRPr="00650D66">
        <w:rPr>
          <w:rFonts w:ascii="Times New Roman" w:eastAsia="Times New Roman" w:hAnsi="Times New Roman" w:cs="Times New Roman"/>
          <w:bCs/>
          <w:color w:val="000000"/>
          <w:sz w:val="24"/>
          <w:szCs w:val="24"/>
          <w:lang w:val="ro-RO"/>
        </w:rPr>
        <w:t>pentru reparația scărilor la intrarea în sediul BNM,</w:t>
      </w:r>
      <w:r w:rsidR="00EE1217" w:rsidRPr="00650D66">
        <w:rPr>
          <w:rFonts w:ascii="Times New Roman" w:eastAsia="Times New Roman" w:hAnsi="Times New Roman" w:cs="Times New Roman"/>
          <w:bCs/>
          <w:color w:val="000000"/>
          <w:sz w:val="24"/>
          <w:szCs w:val="24"/>
          <w:lang w:val="ro-RO"/>
        </w:rPr>
        <w:t xml:space="preserve"> </w:t>
      </w:r>
      <w:r w:rsidR="00D74137">
        <w:rPr>
          <w:rFonts w:ascii="Times New Roman" w:eastAsia="Times New Roman" w:hAnsi="Times New Roman" w:cs="Times New Roman"/>
          <w:bCs/>
          <w:color w:val="000000"/>
          <w:sz w:val="24"/>
          <w:szCs w:val="24"/>
          <w:lang w:val="ro-RO"/>
        </w:rPr>
        <w:t xml:space="preserve">de </w:t>
      </w:r>
      <w:r w:rsidR="00EE1217" w:rsidRPr="00650D66">
        <w:rPr>
          <w:rFonts w:ascii="Times New Roman" w:eastAsia="Times New Roman" w:hAnsi="Times New Roman" w:cs="Times New Roman"/>
          <w:bCs/>
          <w:color w:val="000000"/>
          <w:sz w:val="24"/>
          <w:szCs w:val="24"/>
          <w:lang w:val="ro-RO"/>
        </w:rPr>
        <w:t>canalizare</w:t>
      </w:r>
      <w:r w:rsidRPr="00650D66">
        <w:rPr>
          <w:rFonts w:ascii="Times New Roman" w:eastAsia="Times New Roman" w:hAnsi="Times New Roman" w:cs="Times New Roman"/>
          <w:bCs/>
          <w:color w:val="000000"/>
          <w:sz w:val="24"/>
          <w:szCs w:val="24"/>
          <w:lang w:val="ro-RO"/>
        </w:rPr>
        <w:t xml:space="preserve"> etc.</w:t>
      </w:r>
      <w:r w:rsidR="00C31690">
        <w:rPr>
          <w:rFonts w:ascii="Times New Roman" w:eastAsia="Times New Roman" w:hAnsi="Times New Roman" w:cs="Times New Roman"/>
          <w:bCs/>
          <w:color w:val="000000"/>
          <w:sz w:val="24"/>
          <w:szCs w:val="24"/>
          <w:lang w:val="ro-RO"/>
        </w:rPr>
        <w:t>, au fost transferate pentru anul 2023.</w:t>
      </w:r>
    </w:p>
    <w:p w14:paraId="74B9E18D" w14:textId="77777777" w:rsidR="0049587C" w:rsidRPr="00650D66" w:rsidRDefault="0049587C" w:rsidP="00793983">
      <w:pPr>
        <w:tabs>
          <w:tab w:val="left" w:pos="284"/>
        </w:tabs>
        <w:spacing w:after="0" w:line="276" w:lineRule="auto"/>
        <w:contextualSpacing/>
        <w:jc w:val="both"/>
        <w:rPr>
          <w:rFonts w:ascii="Times New Roman" w:eastAsia="Times New Roman" w:hAnsi="Times New Roman" w:cs="Times New Roman"/>
          <w:bCs/>
          <w:color w:val="000000"/>
          <w:sz w:val="6"/>
          <w:szCs w:val="6"/>
          <w:lang w:val="ro-RO"/>
        </w:rPr>
      </w:pPr>
    </w:p>
    <w:p w14:paraId="1A0ECD6B" w14:textId="5EBABB88" w:rsidR="00AD01DB" w:rsidRPr="00650D66" w:rsidRDefault="0049587C" w:rsidP="00793983">
      <w:pPr>
        <w:tabs>
          <w:tab w:val="left" w:pos="284"/>
        </w:tabs>
        <w:spacing w:after="0" w:line="276" w:lineRule="auto"/>
        <w:contextualSpacing/>
        <w:jc w:val="both"/>
        <w:rPr>
          <w:rFonts w:ascii="Times New Roman" w:eastAsia="Times New Roman" w:hAnsi="Times New Roman" w:cs="Times New Roman"/>
          <w:bCs/>
          <w:color w:val="000000"/>
          <w:sz w:val="24"/>
          <w:szCs w:val="24"/>
          <w:lang w:val="ro-RO"/>
        </w:rPr>
      </w:pPr>
      <w:r w:rsidRPr="00650D66">
        <w:rPr>
          <w:rFonts w:ascii="Times New Roman" w:eastAsia="Times New Roman" w:hAnsi="Times New Roman" w:cs="Times New Roman"/>
          <w:bCs/>
          <w:color w:val="000000"/>
          <w:sz w:val="24"/>
          <w:szCs w:val="24"/>
          <w:lang w:val="ro-RO"/>
        </w:rPr>
        <w:t xml:space="preserve">Auditul </w:t>
      </w:r>
      <w:r w:rsidR="00515B3F" w:rsidRPr="00650D66">
        <w:rPr>
          <w:rFonts w:ascii="Times New Roman" w:eastAsia="Times New Roman" w:hAnsi="Times New Roman" w:cs="Times New Roman"/>
          <w:bCs/>
          <w:color w:val="000000"/>
          <w:sz w:val="24"/>
          <w:szCs w:val="24"/>
          <w:lang w:val="ro-RO"/>
        </w:rPr>
        <w:t xml:space="preserve">a </w:t>
      </w:r>
      <w:r w:rsidR="00515B3F" w:rsidRPr="0028112A">
        <w:rPr>
          <w:rFonts w:ascii="Times New Roman" w:eastAsia="Times New Roman" w:hAnsi="Times New Roman" w:cs="Times New Roman"/>
          <w:bCs/>
          <w:color w:val="000000"/>
          <w:sz w:val="24"/>
          <w:szCs w:val="24"/>
          <w:lang w:val="ro-RO"/>
        </w:rPr>
        <w:t>constatat că</w:t>
      </w:r>
      <w:r w:rsidRPr="0028112A">
        <w:rPr>
          <w:rFonts w:ascii="Times New Roman" w:eastAsia="Times New Roman" w:hAnsi="Times New Roman" w:cs="Times New Roman"/>
          <w:bCs/>
          <w:color w:val="000000"/>
          <w:sz w:val="24"/>
          <w:szCs w:val="24"/>
          <w:lang w:val="ro-RO"/>
        </w:rPr>
        <w:t xml:space="preserve">, </w:t>
      </w:r>
      <w:r w:rsidR="00216FF3" w:rsidRPr="0028112A">
        <w:rPr>
          <w:rFonts w:ascii="Times New Roman" w:eastAsia="Times New Roman" w:hAnsi="Times New Roman" w:cs="Times New Roman"/>
          <w:bCs/>
          <w:color w:val="000000"/>
          <w:sz w:val="24"/>
          <w:szCs w:val="24"/>
          <w:lang w:val="ro-RO"/>
        </w:rPr>
        <w:t xml:space="preserve">cheltuielile pentru </w:t>
      </w:r>
      <w:r w:rsidR="00CB0FA2" w:rsidRPr="0028112A">
        <w:rPr>
          <w:rFonts w:ascii="Times New Roman" w:eastAsia="Times New Roman" w:hAnsi="Times New Roman" w:cs="Times New Roman"/>
          <w:bCs/>
          <w:color w:val="000000"/>
          <w:sz w:val="24"/>
          <w:szCs w:val="24"/>
          <w:lang w:val="ro-RO"/>
        </w:rPr>
        <w:t>montarea ferestrelor</w:t>
      </w:r>
      <w:r w:rsidRPr="0028112A">
        <w:rPr>
          <w:rFonts w:ascii="Times New Roman" w:eastAsia="Times New Roman" w:hAnsi="Times New Roman" w:cs="Times New Roman"/>
          <w:bCs/>
          <w:color w:val="000000"/>
          <w:sz w:val="24"/>
          <w:szCs w:val="24"/>
          <w:lang w:val="ro-RO"/>
        </w:rPr>
        <w:t xml:space="preserve"> </w:t>
      </w:r>
      <w:r w:rsidR="00431848" w:rsidRPr="0028112A">
        <w:rPr>
          <w:rFonts w:ascii="Times New Roman" w:eastAsia="Times New Roman" w:hAnsi="Times New Roman" w:cs="Times New Roman"/>
          <w:bCs/>
          <w:color w:val="000000"/>
          <w:sz w:val="24"/>
          <w:szCs w:val="24"/>
          <w:lang w:val="ro-RO"/>
        </w:rPr>
        <w:t xml:space="preserve">în sumă de </w:t>
      </w:r>
      <w:r w:rsidR="001B23C9" w:rsidRPr="0028112A">
        <w:rPr>
          <w:rFonts w:ascii="Times New Roman" w:eastAsia="Times New Roman" w:hAnsi="Times New Roman" w:cs="Times New Roman"/>
          <w:bCs/>
          <w:color w:val="000000"/>
          <w:sz w:val="24"/>
          <w:szCs w:val="24"/>
          <w:lang w:val="ro-RO"/>
        </w:rPr>
        <w:t>3</w:t>
      </w:r>
      <w:r w:rsidR="00D74137">
        <w:rPr>
          <w:rFonts w:ascii="Times New Roman" w:eastAsia="Times New Roman" w:hAnsi="Times New Roman" w:cs="Times New Roman"/>
          <w:bCs/>
          <w:color w:val="000000"/>
          <w:sz w:val="24"/>
          <w:szCs w:val="24"/>
          <w:lang w:val="ro-RO"/>
        </w:rPr>
        <w:t>.</w:t>
      </w:r>
      <w:r w:rsidR="001B23C9" w:rsidRPr="0028112A">
        <w:rPr>
          <w:rFonts w:ascii="Times New Roman" w:eastAsia="Times New Roman" w:hAnsi="Times New Roman" w:cs="Times New Roman"/>
          <w:bCs/>
          <w:color w:val="000000"/>
          <w:sz w:val="24"/>
          <w:szCs w:val="24"/>
          <w:lang w:val="ro-RO"/>
        </w:rPr>
        <w:t xml:space="preserve">177,2 </w:t>
      </w:r>
      <w:r w:rsidR="00431848" w:rsidRPr="0028112A">
        <w:rPr>
          <w:rFonts w:ascii="Times New Roman" w:eastAsia="Times New Roman" w:hAnsi="Times New Roman" w:cs="Times New Roman"/>
          <w:bCs/>
          <w:color w:val="000000"/>
          <w:sz w:val="24"/>
          <w:szCs w:val="24"/>
          <w:lang w:val="ro-RO"/>
        </w:rPr>
        <w:t xml:space="preserve">mii lei </w:t>
      </w:r>
      <w:r w:rsidR="00216FF3" w:rsidRPr="0028112A">
        <w:rPr>
          <w:rFonts w:ascii="Times New Roman" w:eastAsia="Times New Roman" w:hAnsi="Times New Roman" w:cs="Times New Roman"/>
          <w:bCs/>
          <w:color w:val="000000"/>
          <w:sz w:val="24"/>
          <w:szCs w:val="24"/>
          <w:lang w:val="ro-RO"/>
        </w:rPr>
        <w:t xml:space="preserve">efectuate în perioada auditată </w:t>
      </w:r>
      <w:r w:rsidRPr="0028112A">
        <w:rPr>
          <w:rFonts w:ascii="Times New Roman" w:eastAsia="Times New Roman" w:hAnsi="Times New Roman" w:cs="Times New Roman"/>
          <w:bCs/>
          <w:color w:val="000000"/>
          <w:sz w:val="24"/>
          <w:szCs w:val="24"/>
          <w:lang w:val="ro-RO"/>
        </w:rPr>
        <w:t>se reflectă la cheltuieli administrative ș</w:t>
      </w:r>
      <w:r w:rsidR="00733F0C" w:rsidRPr="0028112A">
        <w:rPr>
          <w:rFonts w:ascii="Times New Roman" w:eastAsia="Times New Roman" w:hAnsi="Times New Roman" w:cs="Times New Roman"/>
          <w:bCs/>
          <w:color w:val="000000"/>
          <w:sz w:val="24"/>
          <w:szCs w:val="24"/>
          <w:lang w:val="ro-RO"/>
        </w:rPr>
        <w:t xml:space="preserve">i </w:t>
      </w:r>
      <w:r w:rsidR="00515B3F" w:rsidRPr="0028112A">
        <w:rPr>
          <w:rFonts w:ascii="Times New Roman" w:eastAsia="Times New Roman" w:hAnsi="Times New Roman" w:cs="Times New Roman"/>
          <w:bCs/>
          <w:color w:val="000000"/>
          <w:sz w:val="24"/>
          <w:szCs w:val="24"/>
          <w:lang w:val="ro-RO"/>
        </w:rPr>
        <w:t xml:space="preserve">nu majorează valoarea bunului. </w:t>
      </w:r>
      <w:r w:rsidR="00D74137">
        <w:rPr>
          <w:rFonts w:ascii="Times New Roman" w:eastAsia="Times New Roman" w:hAnsi="Times New Roman" w:cs="Times New Roman"/>
          <w:bCs/>
          <w:color w:val="000000"/>
          <w:sz w:val="24"/>
          <w:szCs w:val="24"/>
          <w:lang w:val="ro-RO"/>
        </w:rPr>
        <w:t>P</w:t>
      </w:r>
      <w:r w:rsidR="00515B3F" w:rsidRPr="0028112A">
        <w:rPr>
          <w:rFonts w:ascii="Times New Roman" w:eastAsia="Times New Roman" w:hAnsi="Times New Roman" w:cs="Times New Roman"/>
          <w:bCs/>
          <w:color w:val="000000"/>
          <w:sz w:val="24"/>
          <w:szCs w:val="24"/>
          <w:lang w:val="ro-RO"/>
        </w:rPr>
        <w:t>otrivit prevederilor IAS 16 ,,</w:t>
      </w:r>
      <w:r w:rsidR="007D27DD" w:rsidRPr="0028112A">
        <w:rPr>
          <w:rFonts w:ascii="Times New Roman" w:eastAsia="Times New Roman" w:hAnsi="Times New Roman" w:cs="Times New Roman"/>
          <w:bCs/>
          <w:color w:val="000000"/>
          <w:sz w:val="24"/>
          <w:szCs w:val="24"/>
          <w:lang w:val="ro-RO"/>
        </w:rPr>
        <w:t>Imobilizări corporale</w:t>
      </w:r>
      <w:r w:rsidR="00515B3F" w:rsidRPr="0028112A">
        <w:rPr>
          <w:rFonts w:ascii="Times New Roman" w:eastAsia="Times New Roman" w:hAnsi="Times New Roman" w:cs="Times New Roman"/>
          <w:bCs/>
          <w:color w:val="000000"/>
          <w:sz w:val="24"/>
          <w:szCs w:val="24"/>
          <w:lang w:val="ro-RO"/>
        </w:rPr>
        <w:t>” și Politicilor contabile, o entitate recunoaște</w:t>
      </w:r>
      <w:r w:rsidR="00515B3F" w:rsidRPr="00650D66">
        <w:rPr>
          <w:rFonts w:ascii="Times New Roman" w:eastAsia="Times New Roman" w:hAnsi="Times New Roman" w:cs="Times New Roman"/>
          <w:bCs/>
          <w:color w:val="000000"/>
          <w:sz w:val="24"/>
          <w:szCs w:val="24"/>
          <w:lang w:val="ro-RO"/>
        </w:rPr>
        <w:t xml:space="preserve"> în valoarea contabilă </w:t>
      </w:r>
      <w:r w:rsidR="007D27DD" w:rsidRPr="00650D66">
        <w:rPr>
          <w:rFonts w:ascii="Times New Roman" w:eastAsia="Times New Roman" w:hAnsi="Times New Roman" w:cs="Times New Roman"/>
          <w:bCs/>
          <w:color w:val="000000"/>
          <w:sz w:val="24"/>
          <w:szCs w:val="24"/>
          <w:lang w:val="ro-RO"/>
        </w:rPr>
        <w:t>a unui element de imobilizări co</w:t>
      </w:r>
      <w:r w:rsidR="00E97DD1" w:rsidRPr="00650D66">
        <w:rPr>
          <w:rFonts w:ascii="Times New Roman" w:eastAsia="Times New Roman" w:hAnsi="Times New Roman" w:cs="Times New Roman"/>
          <w:bCs/>
          <w:color w:val="000000"/>
          <w:sz w:val="24"/>
          <w:szCs w:val="24"/>
          <w:lang w:val="ro-RO"/>
        </w:rPr>
        <w:t>rporale costul părții înlocuite a unui astfel de element atunci când acel cost este suportat, dacă sunt îndeplinite criteriile de recunoaștere.</w:t>
      </w:r>
      <w:r w:rsidR="00075332" w:rsidRPr="00650D66">
        <w:rPr>
          <w:rFonts w:ascii="Times New Roman" w:eastAsia="Times New Roman" w:hAnsi="Times New Roman" w:cs="Times New Roman"/>
          <w:bCs/>
          <w:color w:val="000000"/>
          <w:sz w:val="24"/>
          <w:szCs w:val="24"/>
          <w:lang w:val="ro-RO"/>
        </w:rPr>
        <w:t xml:space="preserve"> Totodată, costul unui element de imobilizări corporale trebuie recunoscut ca activ dacă este probabilă generarea de beneficii economice viitoare aferente elementului pentru entitate și costul elementului poate fi evaluat în mod fiabil.</w:t>
      </w:r>
    </w:p>
    <w:p w14:paraId="44EB4AA0" w14:textId="77777777" w:rsidR="007F6C79" w:rsidRPr="00650D66" w:rsidRDefault="007F6C79" w:rsidP="00793983">
      <w:pPr>
        <w:tabs>
          <w:tab w:val="left" w:pos="284"/>
        </w:tabs>
        <w:spacing w:after="0" w:line="276" w:lineRule="auto"/>
        <w:contextualSpacing/>
        <w:jc w:val="both"/>
        <w:rPr>
          <w:rFonts w:ascii="Times New Roman" w:eastAsia="Times New Roman" w:hAnsi="Times New Roman" w:cs="Times New Roman"/>
          <w:bCs/>
          <w:color w:val="000000"/>
          <w:sz w:val="24"/>
          <w:szCs w:val="24"/>
          <w:lang w:val="ro-RO"/>
        </w:rPr>
      </w:pPr>
    </w:p>
    <w:p w14:paraId="119AC447" w14:textId="06803EBF" w:rsidR="00C969DA" w:rsidRPr="00650D66" w:rsidRDefault="0090590D" w:rsidP="00FF5F88">
      <w:pPr>
        <w:pStyle w:val="ListParagraph"/>
        <w:tabs>
          <w:tab w:val="left" w:pos="142"/>
        </w:tabs>
        <w:spacing w:after="0" w:line="276" w:lineRule="auto"/>
        <w:ind w:left="0"/>
        <w:jc w:val="both"/>
        <w:outlineLvl w:val="1"/>
        <w:rPr>
          <w:rFonts w:ascii="Times New Roman" w:hAnsi="Times New Roman" w:cs="Times New Roman"/>
          <w:bCs/>
          <w:i/>
          <w:iCs/>
          <w:color w:val="000000" w:themeColor="text1"/>
          <w:sz w:val="24"/>
          <w:lang w:val="ro-RO"/>
        </w:rPr>
      </w:pPr>
      <w:bookmarkStart w:id="21" w:name="_Toc159413645"/>
      <w:r w:rsidRPr="00650D66">
        <w:rPr>
          <w:rFonts w:ascii="Times New Roman" w:hAnsi="Times New Roman" w:cs="Times New Roman"/>
          <w:b/>
          <w:bCs/>
          <w:iCs/>
          <w:color w:val="000000" w:themeColor="text1"/>
          <w:sz w:val="24"/>
          <w:lang w:val="ro-RO"/>
        </w:rPr>
        <w:t>4.4</w:t>
      </w:r>
      <w:r w:rsidR="00E511D1">
        <w:rPr>
          <w:rFonts w:ascii="Times New Roman" w:hAnsi="Times New Roman" w:cs="Times New Roman"/>
          <w:b/>
          <w:bCs/>
          <w:iCs/>
          <w:color w:val="000000" w:themeColor="text1"/>
          <w:sz w:val="24"/>
          <w:lang w:val="ro-RO"/>
        </w:rPr>
        <w:t>.</w:t>
      </w:r>
      <w:r w:rsidRPr="00650D66">
        <w:rPr>
          <w:rFonts w:ascii="Times New Roman" w:hAnsi="Times New Roman" w:cs="Times New Roman"/>
          <w:b/>
          <w:bCs/>
          <w:iCs/>
          <w:color w:val="000000" w:themeColor="text1"/>
          <w:sz w:val="24"/>
          <w:lang w:val="ro-RO"/>
        </w:rPr>
        <w:t xml:space="preserve"> </w:t>
      </w:r>
      <w:r w:rsidR="00793568" w:rsidRPr="00650D66">
        <w:rPr>
          <w:rFonts w:ascii="Times New Roman" w:hAnsi="Times New Roman" w:cs="Times New Roman"/>
          <w:b/>
          <w:bCs/>
          <w:iCs/>
          <w:color w:val="000000" w:themeColor="text1"/>
          <w:sz w:val="24"/>
          <w:lang w:val="ro-RO"/>
        </w:rPr>
        <w:t xml:space="preserve">În condițiile neatribuirii BNM </w:t>
      </w:r>
      <w:r w:rsidR="00DC72F7">
        <w:rPr>
          <w:rFonts w:ascii="Times New Roman" w:hAnsi="Times New Roman" w:cs="Times New Roman"/>
          <w:b/>
          <w:bCs/>
          <w:iCs/>
          <w:color w:val="000000" w:themeColor="text1"/>
          <w:sz w:val="24"/>
          <w:lang w:val="ro-RO"/>
        </w:rPr>
        <w:t xml:space="preserve">a </w:t>
      </w:r>
      <w:r w:rsidR="00793568" w:rsidRPr="00650D66">
        <w:rPr>
          <w:rFonts w:ascii="Times New Roman" w:hAnsi="Times New Roman" w:cs="Times New Roman"/>
          <w:b/>
          <w:bCs/>
          <w:iCs/>
          <w:color w:val="000000" w:themeColor="text1"/>
          <w:sz w:val="24"/>
          <w:lang w:val="ro-RO"/>
        </w:rPr>
        <w:t xml:space="preserve">prevederilor Legii nr.229 din 23.09.2010, sistemul de control financiar intern în procesul de planificare și executare a devizelor de cheltuieli și a alocațiilor pentru investiții a </w:t>
      </w:r>
      <w:r w:rsidR="001F0B4D" w:rsidRPr="00650D66">
        <w:rPr>
          <w:rFonts w:ascii="Times New Roman" w:hAnsi="Times New Roman" w:cs="Times New Roman"/>
          <w:b/>
          <w:bCs/>
          <w:iCs/>
          <w:color w:val="000000" w:themeColor="text1"/>
          <w:sz w:val="24"/>
          <w:lang w:val="ro-RO"/>
        </w:rPr>
        <w:t xml:space="preserve">fost organizat </w:t>
      </w:r>
      <w:r w:rsidR="00E928AE" w:rsidRPr="00650D66">
        <w:rPr>
          <w:rFonts w:ascii="Times New Roman" w:hAnsi="Times New Roman" w:cs="Times New Roman"/>
          <w:b/>
          <w:bCs/>
          <w:iCs/>
          <w:color w:val="000000" w:themeColor="text1"/>
          <w:sz w:val="24"/>
          <w:lang w:val="ro-RO"/>
        </w:rPr>
        <w:t>conform reglementărilor interne bazate pe managementul riscurilor, având potențial de îmbunătățire.</w:t>
      </w:r>
      <w:bookmarkEnd w:id="21"/>
    </w:p>
    <w:p w14:paraId="79689DB3" w14:textId="4182E4C4" w:rsidR="00F16877" w:rsidRPr="00650D66" w:rsidRDefault="00343773" w:rsidP="00FF5F88">
      <w:pPr>
        <w:tabs>
          <w:tab w:val="left" w:pos="426"/>
        </w:tabs>
        <w:spacing w:line="276" w:lineRule="auto"/>
        <w:contextualSpacing/>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Prevederile Legii nr.229 din 23.09.2010</w:t>
      </w:r>
      <w:r w:rsidRPr="00650D66">
        <w:rPr>
          <w:rFonts w:ascii="Times New Roman" w:hAnsi="Times New Roman" w:cs="Times New Roman"/>
          <w:bCs/>
          <w:iCs/>
          <w:color w:val="000000" w:themeColor="text1"/>
          <w:sz w:val="24"/>
          <w:vertAlign w:val="superscript"/>
          <w:lang w:val="ro-RO"/>
        </w:rPr>
        <w:footnoteReference w:id="74"/>
      </w:r>
      <w:r w:rsidRPr="00650D66">
        <w:rPr>
          <w:rFonts w:ascii="Times New Roman" w:hAnsi="Times New Roman" w:cs="Times New Roman"/>
          <w:bCs/>
          <w:iCs/>
          <w:color w:val="000000" w:themeColor="text1"/>
          <w:sz w:val="24"/>
          <w:lang w:val="ro-RO"/>
        </w:rPr>
        <w:t xml:space="preserve"> </w:t>
      </w:r>
      <w:r w:rsidRPr="00650D66">
        <w:rPr>
          <w:rFonts w:ascii="Times New Roman" w:hAnsi="Times New Roman" w:cs="Times New Roman"/>
          <w:sz w:val="24"/>
          <w:szCs w:val="24"/>
          <w:lang w:val="ro-RO"/>
        </w:rPr>
        <w:t>nu s</w:t>
      </w:r>
      <w:r w:rsidR="00DC72F7">
        <w:rPr>
          <w:rFonts w:ascii="Times New Roman" w:hAnsi="Times New Roman" w:cs="Times New Roman"/>
          <w:sz w:val="24"/>
          <w:szCs w:val="24"/>
          <w:lang w:val="ro-RO"/>
        </w:rPr>
        <w:t>u</w:t>
      </w:r>
      <w:r w:rsidRPr="00650D66">
        <w:rPr>
          <w:rFonts w:ascii="Times New Roman" w:hAnsi="Times New Roman" w:cs="Times New Roman"/>
          <w:sz w:val="24"/>
          <w:szCs w:val="24"/>
          <w:lang w:val="ro-RO"/>
        </w:rPr>
        <w:t xml:space="preserve">nt aplicabile de către BNM. Astfel, potrivit art.26, alin.(1), lit. b) din Legea nr.548/1995, Consiliul de supraveghere adoptă standardele sistemului de control intern, verifică și evaluează în mod continuu funcționarea sistemului de control intern și a elementelor acestuia. </w:t>
      </w:r>
    </w:p>
    <w:p w14:paraId="3D76C7ED" w14:textId="77777777" w:rsidR="0024075C" w:rsidRPr="00650D66" w:rsidRDefault="0024075C" w:rsidP="00343773">
      <w:pPr>
        <w:tabs>
          <w:tab w:val="left" w:pos="426"/>
        </w:tabs>
        <w:spacing w:line="276" w:lineRule="auto"/>
        <w:contextualSpacing/>
        <w:jc w:val="both"/>
        <w:rPr>
          <w:rFonts w:ascii="Times New Roman" w:hAnsi="Times New Roman" w:cs="Times New Roman"/>
          <w:sz w:val="6"/>
          <w:szCs w:val="6"/>
          <w:lang w:val="ro-RO"/>
        </w:rPr>
      </w:pPr>
    </w:p>
    <w:p w14:paraId="10E09828" w14:textId="7A27AA74" w:rsidR="00CB7671" w:rsidRPr="00650D66" w:rsidRDefault="00CB7671" w:rsidP="00CB7671">
      <w:pPr>
        <w:tabs>
          <w:tab w:val="left" w:pos="426"/>
        </w:tabs>
        <w:spacing w:line="276" w:lineRule="auto"/>
        <w:contextualSpacing/>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Auditul a constatat că BNM</w:t>
      </w:r>
      <w:r w:rsidR="00DC72F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ținând cont de practicile internaționale acceptate în acest domeniu, a elaborat și </w:t>
      </w:r>
      <w:r w:rsidR="00DC72F7">
        <w:rPr>
          <w:rFonts w:ascii="Times New Roman" w:hAnsi="Times New Roman" w:cs="Times New Roman"/>
          <w:sz w:val="24"/>
          <w:szCs w:val="24"/>
          <w:lang w:val="ro-RO"/>
        </w:rPr>
        <w:t xml:space="preserve">a </w:t>
      </w:r>
      <w:r w:rsidRPr="00650D66">
        <w:rPr>
          <w:rFonts w:ascii="Times New Roman" w:hAnsi="Times New Roman" w:cs="Times New Roman"/>
          <w:sz w:val="24"/>
          <w:szCs w:val="24"/>
          <w:lang w:val="ro-RO"/>
        </w:rPr>
        <w:t>aprobat</w:t>
      </w:r>
      <w:r w:rsidR="00DC72F7">
        <w:rPr>
          <w:rFonts w:ascii="Times New Roman" w:hAnsi="Times New Roman" w:cs="Times New Roman"/>
          <w:sz w:val="24"/>
          <w:szCs w:val="24"/>
          <w:lang w:val="ro-RO"/>
        </w:rPr>
        <w:t xml:space="preserve">, </w:t>
      </w:r>
      <w:r w:rsidR="00DC72F7" w:rsidRPr="00650D66">
        <w:rPr>
          <w:rFonts w:ascii="Times New Roman" w:hAnsi="Times New Roman" w:cs="Times New Roman"/>
          <w:sz w:val="24"/>
          <w:szCs w:val="24"/>
          <w:lang w:val="ro-RO"/>
        </w:rPr>
        <w:t>de către Consiliul de administrație</w:t>
      </w:r>
      <w:r w:rsidR="00DC72F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Regulamentul privind Sistemul de Control Intern în cadrul BNM</w:t>
      </w:r>
      <w:r w:rsidRPr="00650D66">
        <w:rPr>
          <w:rFonts w:ascii="Times New Roman" w:hAnsi="Times New Roman" w:cs="Times New Roman"/>
          <w:sz w:val="24"/>
          <w:szCs w:val="24"/>
          <w:vertAlign w:val="superscript"/>
          <w:lang w:val="ro-RO"/>
        </w:rPr>
        <w:footnoteReference w:id="75"/>
      </w:r>
      <w:r w:rsidRPr="00650D66">
        <w:rPr>
          <w:rFonts w:ascii="Times New Roman" w:hAnsi="Times New Roman" w:cs="Times New Roman"/>
          <w:sz w:val="24"/>
          <w:szCs w:val="24"/>
          <w:lang w:val="ro-RO"/>
        </w:rPr>
        <w:t xml:space="preserve"> din anul 2010. Potrivit motivației</w:t>
      </w:r>
      <w:r w:rsidR="000572DC" w:rsidRPr="00650D66">
        <w:rPr>
          <w:rFonts w:ascii="Times New Roman" w:hAnsi="Times New Roman" w:cs="Times New Roman"/>
          <w:sz w:val="24"/>
          <w:szCs w:val="24"/>
          <w:lang w:val="ro-RO"/>
        </w:rPr>
        <w:t xml:space="preserve"> BNM, </w:t>
      </w:r>
      <w:r w:rsidR="00DC72F7">
        <w:rPr>
          <w:rFonts w:ascii="Times New Roman" w:hAnsi="Times New Roman" w:cs="Times New Roman"/>
          <w:sz w:val="24"/>
          <w:szCs w:val="24"/>
          <w:lang w:val="ro-RO"/>
        </w:rPr>
        <w:t xml:space="preserve">actualmente </w:t>
      </w:r>
      <w:r w:rsidR="000572DC" w:rsidRPr="00650D66">
        <w:rPr>
          <w:rFonts w:ascii="Times New Roman" w:hAnsi="Times New Roman" w:cs="Times New Roman"/>
          <w:sz w:val="24"/>
          <w:szCs w:val="24"/>
          <w:lang w:val="ro-RO"/>
        </w:rPr>
        <w:t xml:space="preserve">Regulamentul SCI </w:t>
      </w:r>
      <w:r w:rsidRPr="00650D66">
        <w:rPr>
          <w:rFonts w:ascii="Times New Roman" w:hAnsi="Times New Roman" w:cs="Times New Roman"/>
          <w:sz w:val="24"/>
          <w:szCs w:val="24"/>
          <w:lang w:val="ro-RO"/>
        </w:rPr>
        <w:t>este în proces de elaborare în</w:t>
      </w:r>
      <w:r w:rsidR="00DC72F7">
        <w:rPr>
          <w:rFonts w:ascii="Times New Roman" w:hAnsi="Times New Roman" w:cs="Times New Roman"/>
          <w:sz w:val="24"/>
          <w:szCs w:val="24"/>
          <w:lang w:val="ro-RO"/>
        </w:rPr>
        <w:t>tr-o</w:t>
      </w:r>
      <w:r w:rsidRPr="00650D66">
        <w:rPr>
          <w:rFonts w:ascii="Times New Roman" w:hAnsi="Times New Roman" w:cs="Times New Roman"/>
          <w:sz w:val="24"/>
          <w:szCs w:val="24"/>
          <w:lang w:val="ro-RO"/>
        </w:rPr>
        <w:t xml:space="preserve"> redacție nouă, pentru alinierea</w:t>
      </w:r>
      <w:r w:rsidR="000572DC" w:rsidRPr="00650D66">
        <w:rPr>
          <w:rFonts w:ascii="Times New Roman" w:hAnsi="Times New Roman" w:cs="Times New Roman"/>
          <w:sz w:val="24"/>
          <w:szCs w:val="24"/>
          <w:lang w:val="ro-RO"/>
        </w:rPr>
        <w:t xml:space="preserve"> acestuia la ultimele evoluții î</w:t>
      </w:r>
      <w:r w:rsidRPr="00650D66">
        <w:rPr>
          <w:rFonts w:ascii="Times New Roman" w:hAnsi="Times New Roman" w:cs="Times New Roman"/>
          <w:sz w:val="24"/>
          <w:szCs w:val="24"/>
          <w:lang w:val="ro-RO"/>
        </w:rPr>
        <w:t>n standardele internaționale și cele mai bune practici d</w:t>
      </w:r>
      <w:r w:rsidR="00DC72F7">
        <w:rPr>
          <w:rFonts w:ascii="Times New Roman" w:hAnsi="Times New Roman" w:cs="Times New Roman"/>
          <w:sz w:val="24"/>
          <w:szCs w:val="24"/>
          <w:lang w:val="ro-RO"/>
        </w:rPr>
        <w:t>in</w:t>
      </w:r>
      <w:r w:rsidRPr="00650D66">
        <w:rPr>
          <w:rFonts w:ascii="Times New Roman" w:hAnsi="Times New Roman" w:cs="Times New Roman"/>
          <w:sz w:val="24"/>
          <w:szCs w:val="24"/>
          <w:lang w:val="ro-RO"/>
        </w:rPr>
        <w:t xml:space="preserve"> domeniu.</w:t>
      </w:r>
    </w:p>
    <w:p w14:paraId="1339EDD5" w14:textId="77777777" w:rsidR="00CB7671" w:rsidRPr="00650D66" w:rsidRDefault="00CB7671" w:rsidP="00CB7671">
      <w:pPr>
        <w:tabs>
          <w:tab w:val="left" w:pos="426"/>
        </w:tabs>
        <w:spacing w:line="276" w:lineRule="auto"/>
        <w:contextualSpacing/>
        <w:jc w:val="both"/>
        <w:rPr>
          <w:rFonts w:ascii="Times New Roman" w:hAnsi="Times New Roman" w:cs="Times New Roman"/>
          <w:sz w:val="6"/>
          <w:szCs w:val="6"/>
          <w:lang w:val="ro-RO"/>
        </w:rPr>
      </w:pPr>
    </w:p>
    <w:p w14:paraId="3065B9CE" w14:textId="7A7BCF2A" w:rsidR="00CB7671" w:rsidRPr="00650D66" w:rsidRDefault="00CB7671" w:rsidP="00CB7671">
      <w:pPr>
        <w:tabs>
          <w:tab w:val="left" w:pos="426"/>
        </w:tabs>
        <w:spacing w:line="276" w:lineRule="auto"/>
        <w:contextualSpacing/>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Astfel, BNM aliniază guvernarea sistemului de control intern și gestiunea riscurilor operaționale la standardele internaționale COSO, ISO 31000, la bunele practici în domeniu, inclusiv ale Grupului Internațional de Lucru privind Riscul Operațional în Băncile Centrale (International </w:t>
      </w:r>
      <w:proofErr w:type="spellStart"/>
      <w:r w:rsidRPr="00650D66">
        <w:rPr>
          <w:rFonts w:ascii="Times New Roman" w:hAnsi="Times New Roman" w:cs="Times New Roman"/>
          <w:sz w:val="24"/>
          <w:szCs w:val="24"/>
          <w:lang w:val="ro-RO"/>
        </w:rPr>
        <w:t>Operational</w:t>
      </w:r>
      <w:proofErr w:type="spellEnd"/>
      <w:r w:rsidRPr="00650D66">
        <w:rPr>
          <w:rFonts w:ascii="Times New Roman" w:hAnsi="Times New Roman" w:cs="Times New Roman"/>
          <w:sz w:val="24"/>
          <w:szCs w:val="24"/>
          <w:lang w:val="ro-RO"/>
        </w:rPr>
        <w:t xml:space="preserve"> </w:t>
      </w:r>
      <w:proofErr w:type="spellStart"/>
      <w:r w:rsidRPr="00650D66">
        <w:rPr>
          <w:rFonts w:ascii="Times New Roman" w:hAnsi="Times New Roman" w:cs="Times New Roman"/>
          <w:sz w:val="24"/>
          <w:szCs w:val="24"/>
          <w:lang w:val="ro-RO"/>
        </w:rPr>
        <w:t>Risk</w:t>
      </w:r>
      <w:proofErr w:type="spellEnd"/>
      <w:r w:rsidRPr="00650D66">
        <w:rPr>
          <w:rFonts w:ascii="Times New Roman" w:hAnsi="Times New Roman" w:cs="Times New Roman"/>
          <w:sz w:val="24"/>
          <w:szCs w:val="24"/>
          <w:lang w:val="ro-RO"/>
        </w:rPr>
        <w:t xml:space="preserve"> </w:t>
      </w:r>
      <w:proofErr w:type="spellStart"/>
      <w:r w:rsidRPr="00650D66">
        <w:rPr>
          <w:rFonts w:ascii="Times New Roman" w:hAnsi="Times New Roman" w:cs="Times New Roman"/>
          <w:sz w:val="24"/>
          <w:szCs w:val="24"/>
          <w:lang w:val="ro-RO"/>
        </w:rPr>
        <w:t>Working</w:t>
      </w:r>
      <w:proofErr w:type="spellEnd"/>
      <w:r w:rsidRPr="00650D66">
        <w:rPr>
          <w:rFonts w:ascii="Times New Roman" w:hAnsi="Times New Roman" w:cs="Times New Roman"/>
          <w:sz w:val="24"/>
          <w:szCs w:val="24"/>
          <w:lang w:val="ro-RO"/>
        </w:rPr>
        <w:t xml:space="preserve"> Group (IORWG), fiind membr</w:t>
      </w:r>
      <w:r w:rsidR="008301BB">
        <w:rPr>
          <w:rFonts w:ascii="Times New Roman" w:hAnsi="Times New Roman" w:cs="Times New Roman"/>
          <w:sz w:val="24"/>
          <w:szCs w:val="24"/>
          <w:lang w:val="ro-RO"/>
        </w:rPr>
        <w:t>ă</w:t>
      </w:r>
      <w:r w:rsidRPr="00650D66">
        <w:rPr>
          <w:rFonts w:ascii="Times New Roman" w:hAnsi="Times New Roman" w:cs="Times New Roman"/>
          <w:sz w:val="24"/>
          <w:szCs w:val="24"/>
          <w:lang w:val="ro-RO"/>
        </w:rPr>
        <w:t xml:space="preserve"> a acestuia. Din anul 2018, BNM este evaluat de IORWG</w:t>
      </w:r>
      <w:r w:rsidRPr="00650D66">
        <w:rPr>
          <w:rFonts w:ascii="Times New Roman" w:hAnsi="Times New Roman" w:cs="Times New Roman"/>
          <w:sz w:val="24"/>
          <w:szCs w:val="24"/>
          <w:vertAlign w:val="superscript"/>
          <w:lang w:val="ro-RO"/>
        </w:rPr>
        <w:footnoteReference w:id="76"/>
      </w:r>
      <w:r w:rsidRPr="00650D66">
        <w:rPr>
          <w:rFonts w:ascii="Times New Roman" w:hAnsi="Times New Roman" w:cs="Times New Roman"/>
          <w:sz w:val="24"/>
          <w:szCs w:val="24"/>
          <w:lang w:val="ro-RO"/>
        </w:rPr>
        <w:t>, ca rezultat nivelul maturității gestiunii riscurilor operaționale a înregistrat o creștere în anul 2022</w:t>
      </w:r>
      <w:r w:rsidR="003F382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de </w:t>
      </w:r>
      <w:r w:rsidRPr="00444A65">
        <w:rPr>
          <w:rFonts w:ascii="Times New Roman" w:hAnsi="Times New Roman" w:cs="Times New Roman"/>
          <w:sz w:val="24"/>
          <w:szCs w:val="24"/>
          <w:lang w:val="ro-RO"/>
        </w:rPr>
        <w:t xml:space="preserve">82,52 </w:t>
      </w:r>
      <w:r w:rsidR="00444A65">
        <w:rPr>
          <w:rFonts w:ascii="Times New Roman" w:hAnsi="Times New Roman" w:cs="Times New Roman"/>
          <w:sz w:val="24"/>
          <w:szCs w:val="24"/>
          <w:lang w:val="ro-RO"/>
        </w:rPr>
        <w:t>puncte</w:t>
      </w:r>
      <w:r w:rsidR="003F3827" w:rsidRPr="00444A65">
        <w:rPr>
          <w:rFonts w:ascii="Times New Roman" w:hAnsi="Times New Roman" w:cs="Times New Roman"/>
          <w:sz w:val="24"/>
          <w:szCs w:val="24"/>
          <w:lang w:val="ro-RO"/>
        </w:rPr>
        <w:t xml:space="preserve">, </w:t>
      </w:r>
      <w:r w:rsidRPr="00444A65">
        <w:rPr>
          <w:rFonts w:ascii="Times New Roman" w:hAnsi="Times New Roman" w:cs="Times New Roman"/>
          <w:sz w:val="24"/>
          <w:szCs w:val="24"/>
          <w:lang w:val="ro-RO"/>
        </w:rPr>
        <w:t>față de anul 2019</w:t>
      </w:r>
      <w:r w:rsidRPr="00650D66">
        <w:rPr>
          <w:rFonts w:ascii="Times New Roman" w:hAnsi="Times New Roman" w:cs="Times New Roman"/>
          <w:sz w:val="24"/>
          <w:szCs w:val="24"/>
          <w:lang w:val="ro-RO"/>
        </w:rPr>
        <w:t xml:space="preserve"> (70,0).</w:t>
      </w:r>
    </w:p>
    <w:p w14:paraId="4995DADE" w14:textId="77777777" w:rsidR="00CB7671" w:rsidRPr="00650D66" w:rsidRDefault="00CB7671" w:rsidP="00CB7671">
      <w:pPr>
        <w:tabs>
          <w:tab w:val="left" w:pos="426"/>
        </w:tabs>
        <w:spacing w:line="276" w:lineRule="auto"/>
        <w:contextualSpacing/>
        <w:jc w:val="both"/>
        <w:rPr>
          <w:rFonts w:ascii="Times New Roman" w:hAnsi="Times New Roman" w:cs="Times New Roman"/>
          <w:sz w:val="6"/>
          <w:szCs w:val="6"/>
          <w:lang w:val="ro-RO"/>
        </w:rPr>
      </w:pPr>
    </w:p>
    <w:p w14:paraId="14FA57FC" w14:textId="315637D9" w:rsidR="00BB60F2" w:rsidRPr="00650D66" w:rsidRDefault="00CB7671" w:rsidP="006A6528">
      <w:pPr>
        <w:tabs>
          <w:tab w:val="left" w:pos="426"/>
        </w:tabs>
        <w:spacing w:after="0" w:line="276" w:lineRule="auto"/>
        <w:contextualSpacing/>
        <w:jc w:val="both"/>
        <w:rPr>
          <w:rFonts w:ascii="Times New Roman" w:hAnsi="Times New Roman" w:cs="Times New Roman"/>
          <w:color w:val="000000" w:themeColor="text1"/>
          <w:sz w:val="24"/>
          <w:szCs w:val="24"/>
          <w:lang w:val="ro-RO"/>
        </w:rPr>
      </w:pPr>
      <w:r w:rsidRPr="00650D66">
        <w:rPr>
          <w:rFonts w:ascii="Times New Roman" w:hAnsi="Times New Roman" w:cs="Times New Roman"/>
          <w:sz w:val="24"/>
          <w:szCs w:val="24"/>
          <w:lang w:val="ro-RO"/>
        </w:rPr>
        <w:t>Conform reglementărilor interne, conducătorii subdiviziunilor structurale ale BNM sunt responsabili pentru elaborarea, implementarea și menținerea sistemului de control intern adecvat</w:t>
      </w:r>
      <w:r w:rsidR="003F3827">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care să evalueze și să reducă riscurile aferente. </w:t>
      </w:r>
      <w:r w:rsidR="00D743DB" w:rsidRPr="00650D66">
        <w:rPr>
          <w:rFonts w:ascii="Times New Roman" w:hAnsi="Times New Roman" w:cs="Times New Roman"/>
          <w:sz w:val="24"/>
          <w:szCs w:val="24"/>
          <w:lang w:val="ro-RO"/>
        </w:rPr>
        <w:t xml:space="preserve">Cartografierea proceselor este realizată prin </w:t>
      </w:r>
      <w:r w:rsidR="00D743DB" w:rsidRPr="00650D66">
        <w:rPr>
          <w:rFonts w:ascii="Times New Roman" w:hAnsi="Times New Roman" w:cs="Times New Roman"/>
          <w:sz w:val="24"/>
          <w:szCs w:val="24"/>
          <w:lang w:val="ro-RO"/>
        </w:rPr>
        <w:lastRenderedPageBreak/>
        <w:t xml:space="preserve">intermediul aplicației </w:t>
      </w:r>
      <w:r w:rsidR="007E7CA1" w:rsidRPr="00650D66">
        <w:rPr>
          <w:rFonts w:ascii="Times New Roman" w:hAnsi="Times New Roman" w:cs="Times New Roman"/>
          <w:color w:val="000000" w:themeColor="text1"/>
          <w:sz w:val="24"/>
          <w:szCs w:val="24"/>
          <w:lang w:val="ro-RO"/>
        </w:rPr>
        <w:t>exploatat</w:t>
      </w:r>
      <w:r w:rsidR="003F3827">
        <w:rPr>
          <w:rFonts w:ascii="Times New Roman" w:hAnsi="Times New Roman" w:cs="Times New Roman"/>
          <w:color w:val="000000" w:themeColor="text1"/>
          <w:sz w:val="24"/>
          <w:szCs w:val="24"/>
          <w:lang w:val="ro-RO"/>
        </w:rPr>
        <w:t>e</w:t>
      </w:r>
      <w:r w:rsidR="007E7CA1" w:rsidRPr="00650D66">
        <w:rPr>
          <w:rFonts w:ascii="Times New Roman" w:hAnsi="Times New Roman" w:cs="Times New Roman"/>
          <w:color w:val="000000" w:themeColor="text1"/>
          <w:sz w:val="24"/>
          <w:szCs w:val="24"/>
          <w:lang w:val="ro-RO"/>
        </w:rPr>
        <w:t xml:space="preserve"> gratuit </w:t>
      </w:r>
      <w:r w:rsidR="00685B4C" w:rsidRPr="00650D66">
        <w:rPr>
          <w:rFonts w:ascii="Times New Roman" w:hAnsi="Times New Roman" w:cs="Times New Roman"/>
          <w:sz w:val="24"/>
          <w:szCs w:val="24"/>
          <w:lang w:val="ro-RO"/>
        </w:rPr>
        <w:t>,,</w:t>
      </w:r>
      <w:r w:rsidR="00D743DB" w:rsidRPr="00650D66">
        <w:rPr>
          <w:rFonts w:ascii="Times New Roman" w:hAnsi="Times New Roman" w:cs="Times New Roman"/>
          <w:sz w:val="24"/>
          <w:szCs w:val="24"/>
          <w:lang w:val="ro-RO"/>
        </w:rPr>
        <w:t>ARIS</w:t>
      </w:r>
      <w:r w:rsidR="00685B4C" w:rsidRPr="00650D66">
        <w:rPr>
          <w:rFonts w:ascii="Times New Roman" w:hAnsi="Times New Roman" w:cs="Times New Roman"/>
          <w:sz w:val="24"/>
          <w:szCs w:val="24"/>
          <w:lang w:val="ro-RO"/>
        </w:rPr>
        <w:t>”</w:t>
      </w:r>
      <w:r w:rsidR="00D743DB" w:rsidRPr="00650D66">
        <w:rPr>
          <w:rFonts w:ascii="Times New Roman" w:hAnsi="Times New Roman" w:cs="Times New Roman"/>
          <w:sz w:val="24"/>
          <w:szCs w:val="24"/>
          <w:lang w:val="ro-RO"/>
        </w:rPr>
        <w:t>.</w:t>
      </w:r>
      <w:r w:rsidR="000C4DBE" w:rsidRPr="00650D66">
        <w:rPr>
          <w:rFonts w:ascii="Times New Roman" w:hAnsi="Times New Roman" w:cs="Times New Roman"/>
          <w:color w:val="000000" w:themeColor="text1"/>
          <w:sz w:val="24"/>
          <w:szCs w:val="24"/>
          <w:lang w:val="ro-RO"/>
        </w:rPr>
        <w:t xml:space="preserve"> </w:t>
      </w:r>
      <w:r w:rsidR="00EA02A5" w:rsidRPr="00650D66">
        <w:rPr>
          <w:rFonts w:ascii="Times New Roman" w:hAnsi="Times New Roman" w:cs="Times New Roman"/>
          <w:color w:val="000000" w:themeColor="text1"/>
          <w:sz w:val="24"/>
          <w:szCs w:val="24"/>
          <w:lang w:val="ro-RO"/>
        </w:rPr>
        <w:t>În perioada auditată, a</w:t>
      </w:r>
      <w:r w:rsidR="00BB60F2" w:rsidRPr="00650D66">
        <w:rPr>
          <w:rFonts w:ascii="Times New Roman" w:hAnsi="Times New Roman" w:cs="Times New Roman"/>
          <w:color w:val="000000" w:themeColor="text1"/>
          <w:sz w:val="24"/>
          <w:szCs w:val="24"/>
          <w:lang w:val="ro-RO"/>
        </w:rPr>
        <w:t xml:space="preserve">u fost aprobate alocații pentru investiții </w:t>
      </w:r>
      <w:r w:rsidR="008D37F9">
        <w:rPr>
          <w:rFonts w:ascii="Times New Roman" w:hAnsi="Times New Roman" w:cs="Times New Roman"/>
          <w:color w:val="000000" w:themeColor="text1"/>
          <w:sz w:val="24"/>
          <w:szCs w:val="24"/>
          <w:lang w:val="ro-RO"/>
        </w:rPr>
        <w:t>în vederea</w:t>
      </w:r>
      <w:r w:rsidR="00EA02A5" w:rsidRPr="00650D66">
        <w:rPr>
          <w:rFonts w:ascii="Times New Roman" w:hAnsi="Times New Roman" w:cs="Times New Roman"/>
          <w:color w:val="000000" w:themeColor="text1"/>
          <w:sz w:val="24"/>
          <w:szCs w:val="24"/>
          <w:lang w:val="ro-RO"/>
        </w:rPr>
        <w:t xml:space="preserve"> procur</w:t>
      </w:r>
      <w:r w:rsidR="008D37F9">
        <w:rPr>
          <w:rFonts w:ascii="Times New Roman" w:hAnsi="Times New Roman" w:cs="Times New Roman"/>
          <w:color w:val="000000" w:themeColor="text1"/>
          <w:sz w:val="24"/>
          <w:szCs w:val="24"/>
          <w:lang w:val="ro-RO"/>
        </w:rPr>
        <w:t>ării</w:t>
      </w:r>
      <w:r w:rsidR="00BB60F2" w:rsidRPr="00650D66">
        <w:rPr>
          <w:rFonts w:ascii="Times New Roman" w:hAnsi="Times New Roman" w:cs="Times New Roman"/>
          <w:color w:val="000000" w:themeColor="text1"/>
          <w:sz w:val="24"/>
          <w:szCs w:val="24"/>
          <w:lang w:val="ro-RO"/>
        </w:rPr>
        <w:t xml:space="preserve"> ,,sistemul</w:t>
      </w:r>
      <w:r w:rsidR="00EA02A5" w:rsidRPr="00650D66">
        <w:rPr>
          <w:rFonts w:ascii="Times New Roman" w:hAnsi="Times New Roman" w:cs="Times New Roman"/>
          <w:color w:val="000000" w:themeColor="text1"/>
          <w:sz w:val="24"/>
          <w:szCs w:val="24"/>
          <w:lang w:val="ro-RO"/>
        </w:rPr>
        <w:t>ui</w:t>
      </w:r>
      <w:r w:rsidR="00BB60F2" w:rsidRPr="00650D66">
        <w:rPr>
          <w:rFonts w:ascii="Times New Roman" w:hAnsi="Times New Roman" w:cs="Times New Roman"/>
          <w:color w:val="000000" w:themeColor="text1"/>
          <w:sz w:val="24"/>
          <w:szCs w:val="24"/>
          <w:lang w:val="ro-RO"/>
        </w:rPr>
        <w:t xml:space="preserve"> de gestionare a proceselor”</w:t>
      </w:r>
      <w:r w:rsidR="003F3827">
        <w:rPr>
          <w:rFonts w:ascii="Times New Roman" w:hAnsi="Times New Roman" w:cs="Times New Roman"/>
          <w:color w:val="000000" w:themeColor="text1"/>
          <w:sz w:val="24"/>
          <w:szCs w:val="24"/>
          <w:lang w:val="ro-RO"/>
        </w:rPr>
        <w:t>,</w:t>
      </w:r>
      <w:r w:rsidR="00BB60F2" w:rsidRPr="00650D66">
        <w:rPr>
          <w:rFonts w:ascii="Times New Roman" w:hAnsi="Times New Roman" w:cs="Times New Roman"/>
          <w:color w:val="000000" w:themeColor="text1"/>
          <w:sz w:val="24"/>
          <w:szCs w:val="24"/>
          <w:lang w:val="ro-RO"/>
        </w:rPr>
        <w:t xml:space="preserve"> </w:t>
      </w:r>
      <w:r w:rsidR="007650A0" w:rsidRPr="00650D66">
        <w:rPr>
          <w:rFonts w:ascii="Times New Roman" w:hAnsi="Times New Roman" w:cs="Times New Roman"/>
          <w:color w:val="000000" w:themeColor="text1"/>
          <w:sz w:val="24"/>
          <w:szCs w:val="24"/>
          <w:lang w:val="ro-RO"/>
        </w:rPr>
        <w:t>în majorare din anul 2019 de la 1</w:t>
      </w:r>
      <w:r w:rsidR="003F3827">
        <w:rPr>
          <w:rFonts w:ascii="Times New Roman" w:hAnsi="Times New Roman" w:cs="Times New Roman"/>
          <w:color w:val="000000" w:themeColor="text1"/>
          <w:sz w:val="24"/>
          <w:szCs w:val="24"/>
          <w:lang w:val="ro-RO"/>
        </w:rPr>
        <w:t>.</w:t>
      </w:r>
      <w:r w:rsidR="007650A0" w:rsidRPr="00650D66">
        <w:rPr>
          <w:rFonts w:ascii="Times New Roman" w:hAnsi="Times New Roman" w:cs="Times New Roman"/>
          <w:color w:val="000000" w:themeColor="text1"/>
          <w:sz w:val="24"/>
          <w:szCs w:val="24"/>
          <w:lang w:val="ro-RO"/>
        </w:rPr>
        <w:t>805,0 mii lei până la 1</w:t>
      </w:r>
      <w:r w:rsidR="003F3827">
        <w:rPr>
          <w:rFonts w:ascii="Times New Roman" w:hAnsi="Times New Roman" w:cs="Times New Roman"/>
          <w:color w:val="000000" w:themeColor="text1"/>
          <w:sz w:val="24"/>
          <w:szCs w:val="24"/>
          <w:lang w:val="ro-RO"/>
        </w:rPr>
        <w:t>.</w:t>
      </w:r>
      <w:r w:rsidR="007650A0" w:rsidRPr="00650D66">
        <w:rPr>
          <w:rFonts w:ascii="Times New Roman" w:hAnsi="Times New Roman" w:cs="Times New Roman"/>
          <w:color w:val="000000" w:themeColor="text1"/>
          <w:sz w:val="24"/>
          <w:szCs w:val="24"/>
          <w:lang w:val="ro-RO"/>
        </w:rPr>
        <w:t>938,0 mii lei</w:t>
      </w:r>
      <w:r w:rsidR="003F3827">
        <w:rPr>
          <w:rFonts w:ascii="Times New Roman" w:hAnsi="Times New Roman" w:cs="Times New Roman"/>
          <w:color w:val="000000" w:themeColor="text1"/>
          <w:sz w:val="24"/>
          <w:szCs w:val="24"/>
          <w:lang w:val="ro-RO"/>
        </w:rPr>
        <w:t>,</w:t>
      </w:r>
      <w:r w:rsidR="007650A0" w:rsidRPr="00650D66">
        <w:rPr>
          <w:rFonts w:ascii="Times New Roman" w:hAnsi="Times New Roman" w:cs="Times New Roman"/>
          <w:color w:val="000000" w:themeColor="text1"/>
          <w:sz w:val="24"/>
          <w:szCs w:val="24"/>
          <w:lang w:val="ro-RO"/>
        </w:rPr>
        <w:t xml:space="preserve"> sau cu 133,0 mii lei mai mult în anul 2022, </w:t>
      </w:r>
      <w:r w:rsidR="003F3827">
        <w:rPr>
          <w:rFonts w:ascii="Times New Roman" w:hAnsi="Times New Roman" w:cs="Times New Roman"/>
          <w:color w:val="000000" w:themeColor="text1"/>
          <w:sz w:val="24"/>
          <w:szCs w:val="24"/>
          <w:lang w:val="ro-RO"/>
        </w:rPr>
        <w:t xml:space="preserve">luând în calcul </w:t>
      </w:r>
      <w:r w:rsidR="0067194E" w:rsidRPr="00650D66">
        <w:rPr>
          <w:rFonts w:ascii="Times New Roman" w:hAnsi="Times New Roman" w:cs="Times New Roman"/>
          <w:color w:val="000000" w:themeColor="text1"/>
          <w:sz w:val="24"/>
          <w:szCs w:val="24"/>
          <w:lang w:val="ro-RO"/>
        </w:rPr>
        <w:t xml:space="preserve">diferențele de curs valutar, lipsa furnizorilor de servicii de implementare a </w:t>
      </w:r>
      <w:r w:rsidR="003F3827">
        <w:rPr>
          <w:rFonts w:ascii="Times New Roman" w:hAnsi="Times New Roman" w:cs="Times New Roman"/>
          <w:color w:val="000000" w:themeColor="text1"/>
          <w:sz w:val="24"/>
          <w:szCs w:val="24"/>
          <w:lang w:val="ro-RO"/>
        </w:rPr>
        <w:t xml:space="preserve">unor </w:t>
      </w:r>
      <w:r w:rsidR="0067194E" w:rsidRPr="00650D66">
        <w:rPr>
          <w:rFonts w:ascii="Times New Roman" w:hAnsi="Times New Roman" w:cs="Times New Roman"/>
          <w:color w:val="000000" w:themeColor="text1"/>
          <w:sz w:val="24"/>
          <w:szCs w:val="24"/>
          <w:lang w:val="ro-RO"/>
        </w:rPr>
        <w:t xml:space="preserve">astfel de sisteme în RM, </w:t>
      </w:r>
      <w:r w:rsidR="008D37F9">
        <w:rPr>
          <w:rFonts w:ascii="Times New Roman" w:hAnsi="Times New Roman" w:cs="Times New Roman"/>
          <w:color w:val="000000" w:themeColor="text1"/>
          <w:sz w:val="24"/>
          <w:szCs w:val="24"/>
          <w:lang w:val="ro-RO"/>
        </w:rPr>
        <w:t>însă acestea nu au fost</w:t>
      </w:r>
      <w:r w:rsidR="007650A0" w:rsidRPr="00650D66">
        <w:rPr>
          <w:rFonts w:ascii="Times New Roman" w:hAnsi="Times New Roman" w:cs="Times New Roman"/>
          <w:color w:val="000000" w:themeColor="text1"/>
          <w:sz w:val="24"/>
          <w:szCs w:val="24"/>
          <w:lang w:val="ro-RO"/>
        </w:rPr>
        <w:t xml:space="preserve"> executate. Astfel, au fost aprobate alocații:</w:t>
      </w:r>
    </w:p>
    <w:p w14:paraId="15D70FF3" w14:textId="01D74260" w:rsidR="008D37F9" w:rsidRDefault="008D37F9" w:rsidP="00991A75">
      <w:pPr>
        <w:pStyle w:val="ListParagraph"/>
        <w:numPr>
          <w:ilvl w:val="0"/>
          <w:numId w:val="24"/>
        </w:numPr>
        <w:tabs>
          <w:tab w:val="left" w:pos="426"/>
          <w:tab w:val="left" w:pos="993"/>
        </w:tabs>
        <w:spacing w:after="0" w:line="276" w:lineRule="auto"/>
        <w:ind w:left="0" w:firstLine="0"/>
        <w:jc w:val="both"/>
        <w:rPr>
          <w:rFonts w:ascii="Times New Roman" w:hAnsi="Times New Roman" w:cs="Times New Roman"/>
          <w:color w:val="000000" w:themeColor="text1"/>
          <w:sz w:val="24"/>
          <w:szCs w:val="24"/>
          <w:lang w:val="ro-RO"/>
        </w:rPr>
      </w:pPr>
      <w:r w:rsidRPr="008D37F9">
        <w:rPr>
          <w:rFonts w:ascii="Times New Roman" w:hAnsi="Times New Roman" w:cs="Times New Roman"/>
          <w:color w:val="000000" w:themeColor="text1"/>
          <w:sz w:val="24"/>
          <w:szCs w:val="24"/>
          <w:lang w:val="ro-RO"/>
        </w:rPr>
        <w:t>î</w:t>
      </w:r>
      <w:r w:rsidR="000C4DBE" w:rsidRPr="008D37F9">
        <w:rPr>
          <w:rFonts w:ascii="Times New Roman" w:hAnsi="Times New Roman" w:cs="Times New Roman"/>
          <w:color w:val="000000" w:themeColor="text1"/>
          <w:sz w:val="24"/>
          <w:szCs w:val="24"/>
          <w:lang w:val="ro-RO"/>
        </w:rPr>
        <w:t xml:space="preserve">n anul 2019 </w:t>
      </w:r>
      <w:r w:rsidRPr="008D37F9">
        <w:rPr>
          <w:rFonts w:ascii="Times New Roman" w:hAnsi="Times New Roman" w:cs="Times New Roman"/>
          <w:color w:val="000000" w:themeColor="text1"/>
          <w:sz w:val="24"/>
          <w:szCs w:val="24"/>
          <w:lang w:val="ro-RO"/>
        </w:rPr>
        <w:t>–</w:t>
      </w:r>
      <w:r w:rsidR="00BB60F2" w:rsidRPr="008D37F9">
        <w:rPr>
          <w:rFonts w:ascii="Times New Roman" w:hAnsi="Times New Roman" w:cs="Times New Roman"/>
          <w:color w:val="000000" w:themeColor="text1"/>
          <w:sz w:val="24"/>
          <w:szCs w:val="24"/>
          <w:lang w:val="ro-RO"/>
        </w:rPr>
        <w:t xml:space="preserve"> în sumă de 1</w:t>
      </w:r>
      <w:r>
        <w:rPr>
          <w:rFonts w:ascii="Times New Roman" w:hAnsi="Times New Roman" w:cs="Times New Roman"/>
          <w:color w:val="000000" w:themeColor="text1"/>
          <w:sz w:val="24"/>
          <w:szCs w:val="24"/>
          <w:lang w:val="ro-RO"/>
        </w:rPr>
        <w:t>.</w:t>
      </w:r>
      <w:r w:rsidR="00BB60F2" w:rsidRPr="008D37F9">
        <w:rPr>
          <w:rFonts w:ascii="Times New Roman" w:hAnsi="Times New Roman" w:cs="Times New Roman"/>
          <w:color w:val="000000" w:themeColor="text1"/>
          <w:sz w:val="24"/>
          <w:szCs w:val="24"/>
          <w:lang w:val="ro-RO"/>
        </w:rPr>
        <w:t xml:space="preserve">805,0 mii lei; </w:t>
      </w:r>
      <w:r>
        <w:rPr>
          <w:rFonts w:ascii="Times New Roman" w:hAnsi="Times New Roman" w:cs="Times New Roman"/>
          <w:color w:val="000000" w:themeColor="text1"/>
          <w:sz w:val="24"/>
          <w:szCs w:val="24"/>
          <w:lang w:val="ro-RO"/>
        </w:rPr>
        <w:t>l</w:t>
      </w:r>
      <w:r w:rsidR="000C4DBE" w:rsidRPr="008D37F9">
        <w:rPr>
          <w:rFonts w:ascii="Times New Roman" w:hAnsi="Times New Roman" w:cs="Times New Roman"/>
          <w:color w:val="000000" w:themeColor="text1"/>
          <w:sz w:val="24"/>
          <w:szCs w:val="24"/>
          <w:lang w:val="ro-RO"/>
        </w:rPr>
        <w:t>a planific</w:t>
      </w:r>
      <w:r>
        <w:rPr>
          <w:rFonts w:ascii="Times New Roman" w:hAnsi="Times New Roman" w:cs="Times New Roman"/>
          <w:color w:val="000000" w:themeColor="text1"/>
          <w:sz w:val="24"/>
          <w:szCs w:val="24"/>
          <w:lang w:val="ro-RO"/>
        </w:rPr>
        <w:t>area</w:t>
      </w:r>
      <w:r w:rsidR="000C4DBE" w:rsidRPr="008D37F9">
        <w:rPr>
          <w:rFonts w:ascii="Times New Roman" w:hAnsi="Times New Roman" w:cs="Times New Roman"/>
          <w:color w:val="000000" w:themeColor="text1"/>
          <w:sz w:val="24"/>
          <w:szCs w:val="24"/>
          <w:lang w:val="ro-RO"/>
        </w:rPr>
        <w:t xml:space="preserve"> achiziției au existat dificultăți de lucru cu aplicația existentă</w:t>
      </w:r>
      <w:r w:rsidR="007E7CA1" w:rsidRPr="008D37F9">
        <w:rPr>
          <w:rFonts w:ascii="Times New Roman" w:hAnsi="Times New Roman" w:cs="Times New Roman"/>
          <w:color w:val="000000" w:themeColor="text1"/>
          <w:sz w:val="24"/>
          <w:szCs w:val="24"/>
          <w:lang w:val="ro-RO"/>
        </w:rPr>
        <w:t xml:space="preserve"> </w:t>
      </w:r>
      <w:r w:rsidR="000C4DBE" w:rsidRPr="008D37F9">
        <w:rPr>
          <w:rFonts w:ascii="Times New Roman" w:hAnsi="Times New Roman" w:cs="Times New Roman"/>
          <w:sz w:val="24"/>
          <w:szCs w:val="24"/>
          <w:lang w:val="ro-RO"/>
        </w:rPr>
        <w:t>,,ARIS”</w:t>
      </w:r>
      <w:r w:rsidR="000C4DBE" w:rsidRPr="008D37F9">
        <w:rPr>
          <w:rFonts w:ascii="Times New Roman" w:hAnsi="Times New Roman" w:cs="Times New Roman"/>
          <w:color w:val="000000" w:themeColor="text1"/>
          <w:sz w:val="24"/>
          <w:szCs w:val="24"/>
          <w:lang w:val="ro-RO"/>
        </w:rPr>
        <w:t>, inclusiv incidente de pierdere a informației. Ulterior situația s-a ameliorat</w:t>
      </w:r>
      <w:r w:rsidR="00BB60F2" w:rsidRPr="008D37F9">
        <w:rPr>
          <w:rFonts w:ascii="Times New Roman" w:hAnsi="Times New Roman" w:cs="Times New Roman"/>
          <w:color w:val="000000" w:themeColor="text1"/>
          <w:sz w:val="24"/>
          <w:szCs w:val="24"/>
          <w:lang w:val="ro-RO"/>
        </w:rPr>
        <w:t xml:space="preserve"> și</w:t>
      </w:r>
      <w:r w:rsidR="000C4DBE" w:rsidRPr="008D37F9">
        <w:rPr>
          <w:rFonts w:ascii="Times New Roman" w:hAnsi="Times New Roman" w:cs="Times New Roman"/>
          <w:color w:val="000000" w:themeColor="text1"/>
          <w:sz w:val="24"/>
          <w:szCs w:val="24"/>
          <w:lang w:val="ro-RO"/>
        </w:rPr>
        <w:t xml:space="preserve"> s-a decis </w:t>
      </w:r>
      <w:r w:rsidR="00D53070" w:rsidRPr="008D37F9">
        <w:rPr>
          <w:rFonts w:ascii="Times New Roman" w:hAnsi="Times New Roman" w:cs="Times New Roman"/>
          <w:color w:val="000000" w:themeColor="text1"/>
          <w:sz w:val="24"/>
          <w:szCs w:val="24"/>
          <w:lang w:val="ro-RO"/>
        </w:rPr>
        <w:t>amânarea</w:t>
      </w:r>
      <w:r w:rsidR="000C4DBE" w:rsidRPr="008D37F9">
        <w:rPr>
          <w:rFonts w:ascii="Times New Roman" w:hAnsi="Times New Roman" w:cs="Times New Roman"/>
          <w:color w:val="000000" w:themeColor="text1"/>
          <w:sz w:val="24"/>
          <w:szCs w:val="24"/>
          <w:lang w:val="ro-RO"/>
        </w:rPr>
        <w:t xml:space="preserve"> achiziției</w:t>
      </w:r>
      <w:r>
        <w:rPr>
          <w:rFonts w:ascii="Times New Roman" w:hAnsi="Times New Roman" w:cs="Times New Roman"/>
          <w:color w:val="000000" w:themeColor="text1"/>
          <w:sz w:val="24"/>
          <w:szCs w:val="24"/>
          <w:lang w:val="ro-RO"/>
        </w:rPr>
        <w:t>;</w:t>
      </w:r>
    </w:p>
    <w:p w14:paraId="33554CD4" w14:textId="508E3894" w:rsidR="008D37F9" w:rsidRDefault="00CC64DC" w:rsidP="00991A75">
      <w:pPr>
        <w:pStyle w:val="ListParagraph"/>
        <w:tabs>
          <w:tab w:val="left" w:pos="426"/>
          <w:tab w:val="left" w:pos="993"/>
        </w:tabs>
        <w:spacing w:after="0" w:line="276" w:lineRule="auto"/>
        <w:ind w:left="0"/>
        <w:jc w:val="both"/>
        <w:rPr>
          <w:rFonts w:ascii="Times New Roman" w:hAnsi="Times New Roman" w:cs="Times New Roman"/>
          <w:color w:val="000000" w:themeColor="text1"/>
          <w:sz w:val="24"/>
          <w:szCs w:val="24"/>
          <w:lang w:val="ro-RO"/>
        </w:rPr>
      </w:pPr>
      <w:r w:rsidRPr="008D37F9">
        <w:rPr>
          <w:rFonts w:ascii="Times New Roman" w:hAnsi="Times New Roman" w:cs="Times New Roman"/>
          <w:color w:val="000000" w:themeColor="text1"/>
          <w:sz w:val="24"/>
          <w:szCs w:val="24"/>
          <w:lang w:val="ro-RO"/>
        </w:rPr>
        <w:t xml:space="preserve"> </w:t>
      </w:r>
      <w:r w:rsidRPr="008D37F9">
        <w:rPr>
          <w:rFonts w:ascii="Times New Roman" w:hAnsi="Times New Roman" w:cs="Times New Roman"/>
          <w:b/>
          <w:color w:val="000000" w:themeColor="text1"/>
          <w:sz w:val="24"/>
          <w:szCs w:val="24"/>
          <w:lang w:val="ro-RO"/>
        </w:rPr>
        <w:t>(ii)</w:t>
      </w:r>
      <w:r w:rsidRPr="008D37F9">
        <w:rPr>
          <w:rFonts w:ascii="Times New Roman" w:hAnsi="Times New Roman" w:cs="Times New Roman"/>
          <w:color w:val="000000" w:themeColor="text1"/>
          <w:sz w:val="24"/>
          <w:szCs w:val="24"/>
          <w:lang w:val="ro-RO"/>
        </w:rPr>
        <w:t xml:space="preserve"> </w:t>
      </w:r>
      <w:r w:rsidR="008D37F9">
        <w:rPr>
          <w:rFonts w:ascii="Times New Roman" w:hAnsi="Times New Roman" w:cs="Times New Roman"/>
          <w:color w:val="000000" w:themeColor="text1"/>
          <w:sz w:val="24"/>
          <w:szCs w:val="24"/>
          <w:lang w:val="ro-RO"/>
        </w:rPr>
        <w:t>î</w:t>
      </w:r>
      <w:r w:rsidR="00BB60F2" w:rsidRPr="008D37F9">
        <w:rPr>
          <w:rFonts w:ascii="Times New Roman" w:hAnsi="Times New Roman" w:cs="Times New Roman"/>
          <w:color w:val="000000" w:themeColor="text1"/>
          <w:sz w:val="24"/>
          <w:szCs w:val="24"/>
          <w:lang w:val="ro-RO"/>
        </w:rPr>
        <w:t>n anul 2020 –</w:t>
      </w:r>
      <w:r w:rsidR="00E94FF3" w:rsidRPr="008D37F9">
        <w:rPr>
          <w:rFonts w:ascii="Times New Roman" w:hAnsi="Times New Roman" w:cs="Times New Roman"/>
          <w:color w:val="000000" w:themeColor="text1"/>
          <w:sz w:val="24"/>
          <w:szCs w:val="24"/>
          <w:lang w:val="ro-RO"/>
        </w:rPr>
        <w:t xml:space="preserve"> </w:t>
      </w:r>
      <w:r w:rsidR="00BB60F2" w:rsidRPr="008D37F9">
        <w:rPr>
          <w:rFonts w:ascii="Times New Roman" w:hAnsi="Times New Roman" w:cs="Times New Roman"/>
          <w:color w:val="000000" w:themeColor="text1"/>
          <w:sz w:val="24"/>
          <w:szCs w:val="24"/>
          <w:lang w:val="ro-RO"/>
        </w:rPr>
        <w:t>în sumă de 1</w:t>
      </w:r>
      <w:r w:rsidR="008D37F9">
        <w:rPr>
          <w:rFonts w:ascii="Times New Roman" w:hAnsi="Times New Roman" w:cs="Times New Roman"/>
          <w:color w:val="000000" w:themeColor="text1"/>
          <w:sz w:val="24"/>
          <w:szCs w:val="24"/>
          <w:lang w:val="ro-RO"/>
        </w:rPr>
        <w:t>.</w:t>
      </w:r>
      <w:r w:rsidR="00BB60F2" w:rsidRPr="008D37F9">
        <w:rPr>
          <w:rFonts w:ascii="Times New Roman" w:hAnsi="Times New Roman" w:cs="Times New Roman"/>
          <w:color w:val="000000" w:themeColor="text1"/>
          <w:sz w:val="24"/>
          <w:szCs w:val="24"/>
          <w:lang w:val="ro-RO"/>
        </w:rPr>
        <w:t xml:space="preserve">828,0 mii lei; </w:t>
      </w:r>
      <w:r w:rsidR="008D37F9">
        <w:rPr>
          <w:rFonts w:ascii="Times New Roman" w:hAnsi="Times New Roman" w:cs="Times New Roman"/>
          <w:color w:val="000000" w:themeColor="text1"/>
          <w:sz w:val="24"/>
          <w:szCs w:val="24"/>
          <w:lang w:val="ro-RO"/>
        </w:rPr>
        <w:t>p</w:t>
      </w:r>
      <w:r w:rsidR="00C66FF9" w:rsidRPr="008D37F9">
        <w:rPr>
          <w:rFonts w:ascii="Times New Roman" w:hAnsi="Times New Roman" w:cs="Times New Roman"/>
          <w:color w:val="000000" w:themeColor="text1"/>
          <w:sz w:val="24"/>
          <w:szCs w:val="24"/>
          <w:lang w:val="ro-RO"/>
        </w:rPr>
        <w:t>rocedura de achiziție a fost transferată</w:t>
      </w:r>
      <w:r w:rsidR="008D37F9">
        <w:rPr>
          <w:rFonts w:ascii="Times New Roman" w:hAnsi="Times New Roman" w:cs="Times New Roman"/>
          <w:color w:val="000000" w:themeColor="text1"/>
          <w:sz w:val="24"/>
          <w:szCs w:val="24"/>
          <w:lang w:val="ro-RO"/>
        </w:rPr>
        <w:t>,</w:t>
      </w:r>
      <w:r w:rsidR="00C66FF9" w:rsidRPr="008D37F9">
        <w:rPr>
          <w:rFonts w:ascii="Times New Roman" w:hAnsi="Times New Roman" w:cs="Times New Roman"/>
          <w:color w:val="000000" w:themeColor="text1"/>
          <w:sz w:val="24"/>
          <w:szCs w:val="24"/>
          <w:lang w:val="ro-RO"/>
        </w:rPr>
        <w:t xml:space="preserve"> printre factori</w:t>
      </w:r>
      <w:r w:rsidR="008D37F9">
        <w:rPr>
          <w:rFonts w:ascii="Times New Roman" w:hAnsi="Times New Roman" w:cs="Times New Roman"/>
          <w:color w:val="000000" w:themeColor="text1"/>
          <w:sz w:val="24"/>
          <w:szCs w:val="24"/>
          <w:lang w:val="ro-RO"/>
        </w:rPr>
        <w:t>i care au influențat acest transfer</w:t>
      </w:r>
      <w:r w:rsidR="00C66FF9" w:rsidRPr="008D37F9">
        <w:rPr>
          <w:rFonts w:ascii="Times New Roman" w:hAnsi="Times New Roman" w:cs="Times New Roman"/>
          <w:color w:val="000000" w:themeColor="text1"/>
          <w:sz w:val="24"/>
          <w:szCs w:val="24"/>
          <w:lang w:val="ro-RO"/>
        </w:rPr>
        <w:t xml:space="preserve"> fiind: realocarea resurselor </w:t>
      </w:r>
      <w:r w:rsidR="005908CC">
        <w:rPr>
          <w:rFonts w:ascii="Times New Roman" w:hAnsi="Times New Roman" w:cs="Times New Roman"/>
          <w:color w:val="000000" w:themeColor="text1"/>
          <w:sz w:val="24"/>
          <w:szCs w:val="24"/>
          <w:lang w:val="ro-RO"/>
        </w:rPr>
        <w:t>la</w:t>
      </w:r>
      <w:r w:rsidR="00C66FF9" w:rsidRPr="008D37F9">
        <w:rPr>
          <w:rFonts w:ascii="Times New Roman" w:hAnsi="Times New Roman" w:cs="Times New Roman"/>
          <w:color w:val="000000" w:themeColor="text1"/>
          <w:sz w:val="24"/>
          <w:szCs w:val="24"/>
          <w:lang w:val="ro-RO"/>
        </w:rPr>
        <w:t xml:space="preserve"> alte proiecte/activități de importanță majoră pentru BNM, situația generată de COVID-19, lipsa de resurse umane</w:t>
      </w:r>
      <w:r w:rsidR="008D37F9">
        <w:rPr>
          <w:rFonts w:ascii="Times New Roman" w:hAnsi="Times New Roman" w:cs="Times New Roman"/>
          <w:color w:val="000000" w:themeColor="text1"/>
          <w:sz w:val="24"/>
          <w:szCs w:val="24"/>
          <w:lang w:val="ro-RO"/>
        </w:rPr>
        <w:t>;</w:t>
      </w:r>
    </w:p>
    <w:p w14:paraId="02283B54" w14:textId="1DE2C99A" w:rsidR="005908CC" w:rsidRDefault="00CC64DC" w:rsidP="00991A75">
      <w:pPr>
        <w:pStyle w:val="ListParagraph"/>
        <w:tabs>
          <w:tab w:val="left" w:pos="426"/>
          <w:tab w:val="left" w:pos="993"/>
        </w:tabs>
        <w:spacing w:after="0" w:line="276" w:lineRule="auto"/>
        <w:ind w:left="0"/>
        <w:jc w:val="both"/>
        <w:rPr>
          <w:rFonts w:ascii="Times New Roman" w:hAnsi="Times New Roman" w:cs="Times New Roman"/>
          <w:color w:val="000000" w:themeColor="text1"/>
          <w:sz w:val="24"/>
          <w:szCs w:val="24"/>
          <w:lang w:val="ro-RO"/>
        </w:rPr>
      </w:pPr>
      <w:r w:rsidRPr="008D37F9">
        <w:rPr>
          <w:rFonts w:ascii="Times New Roman" w:hAnsi="Times New Roman" w:cs="Times New Roman"/>
          <w:color w:val="000000" w:themeColor="text1"/>
          <w:sz w:val="24"/>
          <w:szCs w:val="24"/>
          <w:lang w:val="ro-RO"/>
        </w:rPr>
        <w:t xml:space="preserve"> </w:t>
      </w:r>
      <w:r w:rsidRPr="008D37F9">
        <w:rPr>
          <w:rFonts w:ascii="Times New Roman" w:hAnsi="Times New Roman" w:cs="Times New Roman"/>
          <w:b/>
          <w:color w:val="000000" w:themeColor="text1"/>
          <w:sz w:val="24"/>
          <w:szCs w:val="24"/>
          <w:lang w:val="ro-RO"/>
        </w:rPr>
        <w:t>(iii)</w:t>
      </w:r>
      <w:r w:rsidRPr="008D37F9">
        <w:rPr>
          <w:rFonts w:ascii="Times New Roman" w:hAnsi="Times New Roman" w:cs="Times New Roman"/>
          <w:color w:val="000000" w:themeColor="text1"/>
          <w:sz w:val="24"/>
          <w:szCs w:val="24"/>
          <w:lang w:val="ro-RO"/>
        </w:rPr>
        <w:t xml:space="preserve"> </w:t>
      </w:r>
      <w:r w:rsidR="005908CC">
        <w:rPr>
          <w:rFonts w:ascii="Times New Roman" w:hAnsi="Times New Roman" w:cs="Times New Roman"/>
          <w:color w:val="000000" w:themeColor="text1"/>
          <w:sz w:val="24"/>
          <w:szCs w:val="24"/>
          <w:lang w:val="ro-RO"/>
        </w:rPr>
        <w:t>î</w:t>
      </w:r>
      <w:r w:rsidR="00C66FF9" w:rsidRPr="008D37F9">
        <w:rPr>
          <w:rFonts w:ascii="Times New Roman" w:hAnsi="Times New Roman" w:cs="Times New Roman"/>
          <w:color w:val="000000" w:themeColor="text1"/>
          <w:sz w:val="24"/>
          <w:szCs w:val="24"/>
          <w:lang w:val="ro-RO"/>
        </w:rPr>
        <w:t xml:space="preserve">n anul 2021 </w:t>
      </w:r>
      <w:r w:rsidR="005908CC" w:rsidRPr="008D37F9">
        <w:rPr>
          <w:rFonts w:ascii="Times New Roman" w:hAnsi="Times New Roman" w:cs="Times New Roman"/>
          <w:color w:val="000000" w:themeColor="text1"/>
          <w:sz w:val="24"/>
          <w:szCs w:val="24"/>
          <w:lang w:val="ro-RO"/>
        </w:rPr>
        <w:t>–</w:t>
      </w:r>
      <w:r w:rsidR="00C66FF9" w:rsidRPr="008D37F9">
        <w:rPr>
          <w:rFonts w:ascii="Times New Roman" w:hAnsi="Times New Roman" w:cs="Times New Roman"/>
          <w:color w:val="000000" w:themeColor="text1"/>
          <w:sz w:val="24"/>
          <w:szCs w:val="24"/>
          <w:lang w:val="ro-RO"/>
        </w:rPr>
        <w:t xml:space="preserve"> </w:t>
      </w:r>
      <w:r w:rsidR="00C61328" w:rsidRPr="008D37F9">
        <w:rPr>
          <w:rFonts w:ascii="Times New Roman" w:hAnsi="Times New Roman" w:cs="Times New Roman"/>
          <w:color w:val="000000" w:themeColor="text1"/>
          <w:sz w:val="24"/>
          <w:szCs w:val="24"/>
          <w:lang w:val="ro-RO"/>
        </w:rPr>
        <w:t>în sumă de 1</w:t>
      </w:r>
      <w:r w:rsidR="005908CC">
        <w:rPr>
          <w:rFonts w:ascii="Times New Roman" w:hAnsi="Times New Roman" w:cs="Times New Roman"/>
          <w:color w:val="000000" w:themeColor="text1"/>
          <w:sz w:val="24"/>
          <w:szCs w:val="24"/>
          <w:lang w:val="ro-RO"/>
        </w:rPr>
        <w:t>.</w:t>
      </w:r>
      <w:r w:rsidR="00C61328" w:rsidRPr="008D37F9">
        <w:rPr>
          <w:rFonts w:ascii="Times New Roman" w:hAnsi="Times New Roman" w:cs="Times New Roman"/>
          <w:color w:val="000000" w:themeColor="text1"/>
          <w:sz w:val="24"/>
          <w:szCs w:val="24"/>
          <w:lang w:val="ro-RO"/>
        </w:rPr>
        <w:t xml:space="preserve">936,0 mii lei; </w:t>
      </w:r>
      <w:r w:rsidR="005908CC">
        <w:rPr>
          <w:rFonts w:ascii="Times New Roman" w:hAnsi="Times New Roman" w:cs="Times New Roman"/>
          <w:color w:val="000000" w:themeColor="text1"/>
          <w:sz w:val="24"/>
          <w:szCs w:val="24"/>
          <w:lang w:val="ro-RO"/>
        </w:rPr>
        <w:t>i</w:t>
      </w:r>
      <w:r w:rsidR="00C61328" w:rsidRPr="008D37F9">
        <w:rPr>
          <w:rFonts w:ascii="Times New Roman" w:hAnsi="Times New Roman" w:cs="Times New Roman"/>
          <w:color w:val="000000" w:themeColor="text1"/>
          <w:sz w:val="24"/>
          <w:szCs w:val="24"/>
          <w:lang w:val="ro-RO"/>
        </w:rPr>
        <w:t>nițierea achiziției a fost temporizată de suprapunerea activităților de importanță majoră</w:t>
      </w:r>
      <w:r w:rsidR="005908CC">
        <w:rPr>
          <w:rFonts w:ascii="Times New Roman" w:hAnsi="Times New Roman" w:cs="Times New Roman"/>
          <w:color w:val="000000" w:themeColor="text1"/>
          <w:sz w:val="24"/>
          <w:szCs w:val="24"/>
          <w:lang w:val="ro-RO"/>
        </w:rPr>
        <w:t>,</w:t>
      </w:r>
      <w:r w:rsidR="00C61328" w:rsidRPr="008D37F9">
        <w:rPr>
          <w:rFonts w:ascii="Times New Roman" w:hAnsi="Times New Roman" w:cs="Times New Roman"/>
          <w:color w:val="000000" w:themeColor="text1"/>
          <w:sz w:val="24"/>
          <w:szCs w:val="24"/>
          <w:lang w:val="ro-RO"/>
        </w:rPr>
        <w:t xml:space="preserve"> precum și </w:t>
      </w:r>
      <w:r w:rsidR="005908CC">
        <w:rPr>
          <w:rFonts w:ascii="Times New Roman" w:hAnsi="Times New Roman" w:cs="Times New Roman"/>
          <w:color w:val="000000" w:themeColor="text1"/>
          <w:sz w:val="24"/>
          <w:szCs w:val="24"/>
          <w:lang w:val="ro-RO"/>
        </w:rPr>
        <w:t xml:space="preserve">de </w:t>
      </w:r>
      <w:r w:rsidR="00C61328" w:rsidRPr="008D37F9">
        <w:rPr>
          <w:rFonts w:ascii="Times New Roman" w:hAnsi="Times New Roman" w:cs="Times New Roman"/>
          <w:color w:val="000000" w:themeColor="text1"/>
          <w:sz w:val="24"/>
          <w:szCs w:val="24"/>
          <w:lang w:val="ro-RO"/>
        </w:rPr>
        <w:t>insuficiența personalului la elaborarea și aprobarea Ghidului privind sistemul de gestiune a proceselor de activitate</w:t>
      </w:r>
      <w:r w:rsidR="005908CC">
        <w:rPr>
          <w:rFonts w:ascii="Times New Roman" w:hAnsi="Times New Roman" w:cs="Times New Roman"/>
          <w:color w:val="000000" w:themeColor="text1"/>
          <w:sz w:val="24"/>
          <w:szCs w:val="24"/>
          <w:lang w:val="ro-RO"/>
        </w:rPr>
        <w:t>;</w:t>
      </w:r>
      <w:r w:rsidRPr="008D37F9">
        <w:rPr>
          <w:rFonts w:ascii="Times New Roman" w:hAnsi="Times New Roman" w:cs="Times New Roman"/>
          <w:color w:val="000000" w:themeColor="text1"/>
          <w:sz w:val="24"/>
          <w:szCs w:val="24"/>
          <w:lang w:val="ro-RO"/>
        </w:rPr>
        <w:t xml:space="preserve"> </w:t>
      </w:r>
    </w:p>
    <w:p w14:paraId="630E1026" w14:textId="7965009E" w:rsidR="00C61328" w:rsidRPr="008D37F9" w:rsidRDefault="00CC64DC" w:rsidP="00991A75">
      <w:pPr>
        <w:pStyle w:val="ListParagraph"/>
        <w:tabs>
          <w:tab w:val="left" w:pos="426"/>
          <w:tab w:val="left" w:pos="993"/>
        </w:tabs>
        <w:spacing w:after="0" w:line="276" w:lineRule="auto"/>
        <w:ind w:left="0"/>
        <w:jc w:val="both"/>
        <w:rPr>
          <w:rFonts w:ascii="Times New Roman" w:hAnsi="Times New Roman" w:cs="Times New Roman"/>
          <w:color w:val="000000" w:themeColor="text1"/>
          <w:sz w:val="24"/>
          <w:szCs w:val="24"/>
          <w:lang w:val="ro-RO"/>
        </w:rPr>
      </w:pPr>
      <w:r w:rsidRPr="008D37F9">
        <w:rPr>
          <w:rFonts w:ascii="Times New Roman" w:hAnsi="Times New Roman" w:cs="Times New Roman"/>
          <w:b/>
          <w:color w:val="000000" w:themeColor="text1"/>
          <w:sz w:val="24"/>
          <w:szCs w:val="24"/>
          <w:lang w:val="ro-RO"/>
        </w:rPr>
        <w:t>(iv)</w:t>
      </w:r>
      <w:r w:rsidRPr="008D37F9">
        <w:rPr>
          <w:rFonts w:ascii="Times New Roman" w:hAnsi="Times New Roman" w:cs="Times New Roman"/>
          <w:color w:val="000000" w:themeColor="text1"/>
          <w:sz w:val="24"/>
          <w:szCs w:val="24"/>
          <w:lang w:val="ro-RO"/>
        </w:rPr>
        <w:t xml:space="preserve"> </w:t>
      </w:r>
      <w:r w:rsidR="005908CC">
        <w:rPr>
          <w:rFonts w:ascii="Times New Roman" w:hAnsi="Times New Roman" w:cs="Times New Roman"/>
          <w:color w:val="000000" w:themeColor="text1"/>
          <w:sz w:val="24"/>
          <w:szCs w:val="24"/>
          <w:lang w:val="ro-RO"/>
        </w:rPr>
        <w:t>î</w:t>
      </w:r>
      <w:r w:rsidR="00C61328" w:rsidRPr="008D37F9">
        <w:rPr>
          <w:rFonts w:ascii="Times New Roman" w:hAnsi="Times New Roman" w:cs="Times New Roman"/>
          <w:color w:val="000000" w:themeColor="text1"/>
          <w:sz w:val="24"/>
          <w:szCs w:val="24"/>
          <w:lang w:val="ro-RO"/>
        </w:rPr>
        <w:t xml:space="preserve">n anul 2022 </w:t>
      </w:r>
      <w:r w:rsidR="005908CC" w:rsidRPr="008D37F9">
        <w:rPr>
          <w:rFonts w:ascii="Times New Roman" w:hAnsi="Times New Roman" w:cs="Times New Roman"/>
          <w:color w:val="000000" w:themeColor="text1"/>
          <w:sz w:val="24"/>
          <w:szCs w:val="24"/>
          <w:lang w:val="ro-RO"/>
        </w:rPr>
        <w:t>–</w:t>
      </w:r>
      <w:r w:rsidR="00C61328" w:rsidRPr="008D37F9">
        <w:rPr>
          <w:rFonts w:ascii="Times New Roman" w:hAnsi="Times New Roman" w:cs="Times New Roman"/>
          <w:color w:val="000000" w:themeColor="text1"/>
          <w:sz w:val="24"/>
          <w:szCs w:val="24"/>
          <w:lang w:val="ro-RO"/>
        </w:rPr>
        <w:t xml:space="preserve"> în sumă de</w:t>
      </w:r>
      <w:r w:rsidR="002324AE" w:rsidRPr="008D37F9">
        <w:rPr>
          <w:rFonts w:ascii="Times New Roman" w:hAnsi="Times New Roman" w:cs="Times New Roman"/>
          <w:color w:val="000000" w:themeColor="text1"/>
          <w:sz w:val="24"/>
          <w:szCs w:val="24"/>
          <w:lang w:val="ro-RO"/>
        </w:rPr>
        <w:t xml:space="preserve"> 1</w:t>
      </w:r>
      <w:r w:rsidR="005908CC">
        <w:rPr>
          <w:rFonts w:ascii="Times New Roman" w:hAnsi="Times New Roman" w:cs="Times New Roman"/>
          <w:color w:val="000000" w:themeColor="text1"/>
          <w:sz w:val="24"/>
          <w:szCs w:val="24"/>
          <w:lang w:val="ro-RO"/>
        </w:rPr>
        <w:t>.</w:t>
      </w:r>
      <w:r w:rsidR="002324AE" w:rsidRPr="008D37F9">
        <w:rPr>
          <w:rFonts w:ascii="Times New Roman" w:hAnsi="Times New Roman" w:cs="Times New Roman"/>
          <w:color w:val="000000" w:themeColor="text1"/>
          <w:sz w:val="24"/>
          <w:szCs w:val="24"/>
          <w:lang w:val="ro-RO"/>
        </w:rPr>
        <w:t>938,0 mii lei;</w:t>
      </w:r>
      <w:r w:rsidR="0006456D" w:rsidRPr="008D37F9">
        <w:rPr>
          <w:rFonts w:ascii="Times New Roman" w:hAnsi="Times New Roman" w:cs="Times New Roman"/>
          <w:color w:val="000000" w:themeColor="text1"/>
          <w:sz w:val="24"/>
          <w:szCs w:val="24"/>
          <w:lang w:val="ro-RO"/>
        </w:rPr>
        <w:t xml:space="preserve"> </w:t>
      </w:r>
      <w:r w:rsidR="005908CC">
        <w:rPr>
          <w:rFonts w:ascii="Times New Roman" w:hAnsi="Times New Roman" w:cs="Times New Roman"/>
          <w:color w:val="000000" w:themeColor="text1"/>
          <w:sz w:val="24"/>
          <w:szCs w:val="24"/>
          <w:lang w:val="ro-RO"/>
        </w:rPr>
        <w:t>i</w:t>
      </w:r>
      <w:r w:rsidR="0006456D" w:rsidRPr="008D37F9">
        <w:rPr>
          <w:rFonts w:ascii="Times New Roman" w:hAnsi="Times New Roman" w:cs="Times New Roman"/>
          <w:color w:val="000000" w:themeColor="text1"/>
          <w:sz w:val="24"/>
          <w:szCs w:val="24"/>
          <w:lang w:val="ro-RO"/>
        </w:rPr>
        <w:t>nițierea achiziției a fost temporizată, au continuat activitățile de definitivare a ,,Conceptului privind implementarea sistemului de gestiune a proceselor”.</w:t>
      </w:r>
    </w:p>
    <w:p w14:paraId="2D8E6516" w14:textId="77777777" w:rsidR="00D743DB" w:rsidRPr="00650D66" w:rsidRDefault="00D743DB" w:rsidP="00CB7671">
      <w:pPr>
        <w:tabs>
          <w:tab w:val="left" w:pos="426"/>
        </w:tabs>
        <w:spacing w:line="276" w:lineRule="auto"/>
        <w:contextualSpacing/>
        <w:jc w:val="both"/>
        <w:rPr>
          <w:rFonts w:ascii="Times New Roman" w:hAnsi="Times New Roman" w:cs="Times New Roman"/>
          <w:sz w:val="6"/>
          <w:szCs w:val="6"/>
          <w:lang w:val="ro-RO"/>
        </w:rPr>
      </w:pPr>
    </w:p>
    <w:p w14:paraId="4AC8CA51" w14:textId="6C31A7AE" w:rsidR="00CB7671" w:rsidRPr="00650D66" w:rsidRDefault="00F83A34" w:rsidP="00CB7671">
      <w:pPr>
        <w:tabs>
          <w:tab w:val="left" w:pos="426"/>
        </w:tabs>
        <w:spacing w:line="276" w:lineRule="auto"/>
        <w:contextualSpacing/>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BNM descrie procesele de activitate conform noii metodologii, bazate pe standarde internaționale. </w:t>
      </w:r>
      <w:r w:rsidR="005908CC">
        <w:rPr>
          <w:rFonts w:ascii="Times New Roman" w:hAnsi="Times New Roman" w:cs="Times New Roman"/>
          <w:sz w:val="24"/>
          <w:szCs w:val="24"/>
          <w:lang w:val="ro-RO"/>
        </w:rPr>
        <w:t>Ca u</w:t>
      </w:r>
      <w:r w:rsidR="00CB7671" w:rsidRPr="00650D66">
        <w:rPr>
          <w:rFonts w:ascii="Times New Roman" w:hAnsi="Times New Roman" w:cs="Times New Roman"/>
          <w:sz w:val="24"/>
          <w:szCs w:val="24"/>
          <w:lang w:val="ro-RO"/>
        </w:rPr>
        <w:t xml:space="preserve">rmare </w:t>
      </w:r>
      <w:r w:rsidR="005908CC">
        <w:rPr>
          <w:rFonts w:ascii="Times New Roman" w:hAnsi="Times New Roman" w:cs="Times New Roman"/>
          <w:sz w:val="24"/>
          <w:szCs w:val="24"/>
          <w:lang w:val="ro-RO"/>
        </w:rPr>
        <w:t xml:space="preserve">a </w:t>
      </w:r>
      <w:r w:rsidR="00CB7671" w:rsidRPr="00650D66">
        <w:rPr>
          <w:rFonts w:ascii="Times New Roman" w:hAnsi="Times New Roman" w:cs="Times New Roman"/>
          <w:sz w:val="24"/>
          <w:szCs w:val="24"/>
          <w:lang w:val="ro-RO"/>
        </w:rPr>
        <w:t xml:space="preserve">verificărilor de audit s-a constatat că descrierea </w:t>
      </w:r>
      <w:r w:rsidRPr="00650D66">
        <w:rPr>
          <w:rFonts w:ascii="Times New Roman" w:hAnsi="Times New Roman" w:cs="Times New Roman"/>
          <w:sz w:val="24"/>
          <w:szCs w:val="24"/>
          <w:lang w:val="ro-RO"/>
        </w:rPr>
        <w:t xml:space="preserve">conform noii metodologii </w:t>
      </w:r>
      <w:r w:rsidR="00CB7671" w:rsidRPr="00650D66">
        <w:rPr>
          <w:rFonts w:ascii="Times New Roman" w:hAnsi="Times New Roman" w:cs="Times New Roman"/>
          <w:sz w:val="24"/>
          <w:szCs w:val="24"/>
          <w:lang w:val="ro-RO"/>
        </w:rPr>
        <w:t xml:space="preserve">și aprobarea proceselor operaționale ce țin de activitatea </w:t>
      </w:r>
      <w:r w:rsidR="00AC7943" w:rsidRPr="00650D66">
        <w:rPr>
          <w:rFonts w:ascii="Times New Roman" w:hAnsi="Times New Roman" w:cs="Times New Roman"/>
          <w:sz w:val="24"/>
          <w:szCs w:val="24"/>
          <w:lang w:val="ro-RO"/>
        </w:rPr>
        <w:t xml:space="preserve">de bază </w:t>
      </w:r>
      <w:r w:rsidR="00243C5E" w:rsidRPr="00650D66">
        <w:rPr>
          <w:rFonts w:ascii="Times New Roman" w:hAnsi="Times New Roman" w:cs="Times New Roman"/>
          <w:sz w:val="24"/>
          <w:szCs w:val="24"/>
          <w:lang w:val="ro-RO"/>
        </w:rPr>
        <w:t xml:space="preserve">a </w:t>
      </w:r>
      <w:r w:rsidR="00CB7671" w:rsidRPr="00650D66">
        <w:rPr>
          <w:rFonts w:ascii="Times New Roman" w:hAnsi="Times New Roman" w:cs="Times New Roman"/>
          <w:sz w:val="24"/>
          <w:szCs w:val="24"/>
          <w:lang w:val="ro-RO"/>
        </w:rPr>
        <w:t>BNM s</w:t>
      </w:r>
      <w:r w:rsidR="005908CC">
        <w:rPr>
          <w:rFonts w:ascii="Times New Roman" w:hAnsi="Times New Roman" w:cs="Times New Roman"/>
          <w:sz w:val="24"/>
          <w:szCs w:val="24"/>
          <w:lang w:val="ro-RO"/>
        </w:rPr>
        <w:t>u</w:t>
      </w:r>
      <w:r w:rsidR="00CB7671" w:rsidRPr="00650D66">
        <w:rPr>
          <w:rFonts w:ascii="Times New Roman" w:hAnsi="Times New Roman" w:cs="Times New Roman"/>
          <w:sz w:val="24"/>
          <w:szCs w:val="24"/>
          <w:lang w:val="ro-RO"/>
        </w:rPr>
        <w:t>nt prioritare</w:t>
      </w:r>
      <w:r w:rsidR="008C44F0" w:rsidRPr="00650D66">
        <w:rPr>
          <w:rFonts w:ascii="Times New Roman" w:hAnsi="Times New Roman" w:cs="Times New Roman"/>
          <w:sz w:val="24"/>
          <w:szCs w:val="24"/>
          <w:lang w:val="ro-RO"/>
        </w:rPr>
        <w:t xml:space="preserve"> după gradul de urgență</w:t>
      </w:r>
      <w:r w:rsidR="00CB7671" w:rsidRPr="00650D66">
        <w:rPr>
          <w:rFonts w:ascii="Times New Roman" w:hAnsi="Times New Roman" w:cs="Times New Roman"/>
          <w:sz w:val="24"/>
          <w:szCs w:val="24"/>
          <w:lang w:val="ro-RO"/>
        </w:rPr>
        <w:t>, iar ce</w:t>
      </w:r>
      <w:r w:rsidR="005908CC">
        <w:rPr>
          <w:rFonts w:ascii="Times New Roman" w:hAnsi="Times New Roman" w:cs="Times New Roman"/>
          <w:sz w:val="24"/>
          <w:szCs w:val="24"/>
          <w:lang w:val="ro-RO"/>
        </w:rPr>
        <w:t>le ce</w:t>
      </w:r>
      <w:r w:rsidR="00CB7671" w:rsidRPr="00650D66">
        <w:rPr>
          <w:rFonts w:ascii="Times New Roman" w:hAnsi="Times New Roman" w:cs="Times New Roman"/>
          <w:sz w:val="24"/>
          <w:szCs w:val="24"/>
          <w:lang w:val="ro-RO"/>
        </w:rPr>
        <w:t xml:space="preserve"> țin de executarea devizului de cheltuieli au fost identificate</w:t>
      </w:r>
      <w:r w:rsidR="005908CC">
        <w:rPr>
          <w:rFonts w:ascii="Times New Roman" w:hAnsi="Times New Roman" w:cs="Times New Roman"/>
          <w:sz w:val="24"/>
          <w:szCs w:val="24"/>
          <w:lang w:val="ro-RO"/>
        </w:rPr>
        <w:t>,</w:t>
      </w:r>
      <w:r w:rsidR="00CB7671" w:rsidRPr="00650D66">
        <w:rPr>
          <w:rFonts w:ascii="Times New Roman" w:hAnsi="Times New Roman" w:cs="Times New Roman"/>
          <w:sz w:val="24"/>
          <w:szCs w:val="24"/>
          <w:lang w:val="ro-RO"/>
        </w:rPr>
        <w:t xml:space="preserve"> dar nu au fost toate descrise și aprobate. Astfel, doar procesele operaț</w:t>
      </w:r>
      <w:r w:rsidR="00176F00" w:rsidRPr="00650D66">
        <w:rPr>
          <w:rFonts w:ascii="Times New Roman" w:hAnsi="Times New Roman" w:cs="Times New Roman"/>
          <w:sz w:val="24"/>
          <w:szCs w:val="24"/>
          <w:lang w:val="ro-RO"/>
        </w:rPr>
        <w:t xml:space="preserve">ionale </w:t>
      </w:r>
      <w:r w:rsidR="005908CC">
        <w:rPr>
          <w:rFonts w:ascii="Times New Roman" w:hAnsi="Times New Roman" w:cs="Times New Roman"/>
          <w:sz w:val="24"/>
          <w:szCs w:val="24"/>
          <w:lang w:val="ro-RO"/>
        </w:rPr>
        <w:t>ce țin de</w:t>
      </w:r>
      <w:r w:rsidR="00176F00" w:rsidRPr="00650D66">
        <w:rPr>
          <w:rFonts w:ascii="Times New Roman" w:hAnsi="Times New Roman" w:cs="Times New Roman"/>
          <w:sz w:val="24"/>
          <w:szCs w:val="24"/>
          <w:lang w:val="ro-RO"/>
        </w:rPr>
        <w:t xml:space="preserve"> achizițiil</w:t>
      </w:r>
      <w:r w:rsidR="005908CC">
        <w:rPr>
          <w:rFonts w:ascii="Times New Roman" w:hAnsi="Times New Roman" w:cs="Times New Roman"/>
          <w:sz w:val="24"/>
          <w:szCs w:val="24"/>
          <w:lang w:val="ro-RO"/>
        </w:rPr>
        <w:t>e</w:t>
      </w:r>
      <w:r w:rsidR="00176F00" w:rsidRPr="00650D66">
        <w:rPr>
          <w:rFonts w:ascii="Times New Roman" w:hAnsi="Times New Roman" w:cs="Times New Roman"/>
          <w:sz w:val="24"/>
          <w:szCs w:val="24"/>
          <w:lang w:val="ro-RO"/>
        </w:rPr>
        <w:t xml:space="preserve"> publice,</w:t>
      </w:r>
      <w:r w:rsidR="00CB7671" w:rsidRPr="00650D66">
        <w:rPr>
          <w:rFonts w:ascii="Times New Roman" w:hAnsi="Times New Roman" w:cs="Times New Roman"/>
          <w:sz w:val="24"/>
          <w:szCs w:val="24"/>
          <w:lang w:val="ro-RO"/>
        </w:rPr>
        <w:t xml:space="preserve"> elaborarea bugetului</w:t>
      </w:r>
      <w:r w:rsidR="00176F00" w:rsidRPr="00650D66">
        <w:rPr>
          <w:rFonts w:ascii="Times New Roman" w:hAnsi="Times New Roman" w:cs="Times New Roman"/>
          <w:sz w:val="24"/>
          <w:szCs w:val="24"/>
          <w:lang w:val="ro-RO"/>
        </w:rPr>
        <w:t>, deplasăril</w:t>
      </w:r>
      <w:r w:rsidR="005908CC">
        <w:rPr>
          <w:rFonts w:ascii="Times New Roman" w:hAnsi="Times New Roman" w:cs="Times New Roman"/>
          <w:sz w:val="24"/>
          <w:szCs w:val="24"/>
          <w:lang w:val="ro-RO"/>
        </w:rPr>
        <w:t>e</w:t>
      </w:r>
      <w:r w:rsidR="00176F00" w:rsidRPr="00650D66">
        <w:rPr>
          <w:rFonts w:ascii="Times New Roman" w:hAnsi="Times New Roman" w:cs="Times New Roman"/>
          <w:sz w:val="24"/>
          <w:szCs w:val="24"/>
          <w:lang w:val="ro-RO"/>
        </w:rPr>
        <w:t xml:space="preserve"> de serviciu și instruiri</w:t>
      </w:r>
      <w:r w:rsidR="00CB7671" w:rsidRPr="00650D66">
        <w:rPr>
          <w:rFonts w:ascii="Times New Roman" w:hAnsi="Times New Roman" w:cs="Times New Roman"/>
          <w:sz w:val="24"/>
          <w:szCs w:val="24"/>
          <w:lang w:val="ro-RO"/>
        </w:rPr>
        <w:t xml:space="preserve"> au fost descrise</w:t>
      </w:r>
      <w:r w:rsidR="005908CC">
        <w:rPr>
          <w:rFonts w:ascii="Times New Roman" w:hAnsi="Times New Roman" w:cs="Times New Roman"/>
          <w:sz w:val="24"/>
          <w:szCs w:val="24"/>
          <w:lang w:val="ro-RO"/>
        </w:rPr>
        <w:t>,</w:t>
      </w:r>
      <w:r w:rsidR="00CB7671" w:rsidRPr="00650D66">
        <w:rPr>
          <w:rFonts w:ascii="Times New Roman" w:hAnsi="Times New Roman" w:cs="Times New Roman"/>
          <w:sz w:val="24"/>
          <w:szCs w:val="24"/>
          <w:lang w:val="ro-RO"/>
        </w:rPr>
        <w:t xml:space="preserve"> dar nu </w:t>
      </w:r>
      <w:r w:rsidR="008C44F0" w:rsidRPr="00650D66">
        <w:rPr>
          <w:rFonts w:ascii="Times New Roman" w:hAnsi="Times New Roman" w:cs="Times New Roman"/>
          <w:sz w:val="24"/>
          <w:szCs w:val="24"/>
          <w:lang w:val="ro-RO"/>
        </w:rPr>
        <w:t>au fost toate</w:t>
      </w:r>
      <w:r w:rsidR="00CB7671" w:rsidRPr="00650D66">
        <w:rPr>
          <w:rFonts w:ascii="Times New Roman" w:hAnsi="Times New Roman" w:cs="Times New Roman"/>
          <w:sz w:val="24"/>
          <w:szCs w:val="24"/>
          <w:lang w:val="ro-RO"/>
        </w:rPr>
        <w:t xml:space="preserve"> aprobate. Potrivit motivației BNM, </w:t>
      </w:r>
      <w:r w:rsidR="00FD6CBC" w:rsidRPr="00650D66">
        <w:rPr>
          <w:rFonts w:ascii="Times New Roman" w:hAnsi="Times New Roman" w:cs="Times New Roman"/>
          <w:sz w:val="24"/>
          <w:szCs w:val="24"/>
          <w:lang w:val="ro-RO"/>
        </w:rPr>
        <w:t xml:space="preserve">pentru procesele nedescrise </w:t>
      </w:r>
      <w:r w:rsidR="00DB3572" w:rsidRPr="00650D66">
        <w:rPr>
          <w:rFonts w:ascii="Times New Roman" w:hAnsi="Times New Roman" w:cs="Times New Roman"/>
          <w:sz w:val="24"/>
          <w:szCs w:val="24"/>
          <w:lang w:val="ro-RO"/>
        </w:rPr>
        <w:t xml:space="preserve">în totalitate </w:t>
      </w:r>
      <w:r w:rsidR="00FD6CBC" w:rsidRPr="00650D66">
        <w:rPr>
          <w:rFonts w:ascii="Times New Roman" w:hAnsi="Times New Roman" w:cs="Times New Roman"/>
          <w:sz w:val="24"/>
          <w:szCs w:val="24"/>
          <w:lang w:val="ro-RO"/>
        </w:rPr>
        <w:t xml:space="preserve">ce țin de remunerarea personalului și alte plăți din devizul de cheltuieli, </w:t>
      </w:r>
      <w:r w:rsidR="00CB7671" w:rsidRPr="00650D66">
        <w:rPr>
          <w:rFonts w:ascii="Times New Roman" w:hAnsi="Times New Roman" w:cs="Times New Roman"/>
          <w:sz w:val="24"/>
          <w:szCs w:val="24"/>
          <w:lang w:val="ro-RO"/>
        </w:rPr>
        <w:t xml:space="preserve">riscurile se evaluează </w:t>
      </w:r>
      <w:r w:rsidR="00FD6CBC" w:rsidRPr="00650D66">
        <w:rPr>
          <w:rFonts w:ascii="Times New Roman" w:hAnsi="Times New Roman" w:cs="Times New Roman"/>
          <w:sz w:val="24"/>
          <w:szCs w:val="24"/>
          <w:lang w:val="ro-RO"/>
        </w:rPr>
        <w:t xml:space="preserve">în baza obiectivelor </w:t>
      </w:r>
      <w:r w:rsidR="00FD6CBC" w:rsidRPr="00650441">
        <w:rPr>
          <w:rFonts w:ascii="Times New Roman" w:hAnsi="Times New Roman" w:cs="Times New Roman"/>
          <w:sz w:val="24"/>
          <w:szCs w:val="24"/>
          <w:lang w:val="ro-RO"/>
        </w:rPr>
        <w:t>stabilite</w:t>
      </w:r>
      <w:r w:rsidR="00CB7671" w:rsidRPr="00650441">
        <w:rPr>
          <w:rFonts w:ascii="Times New Roman" w:hAnsi="Times New Roman" w:cs="Times New Roman"/>
          <w:sz w:val="24"/>
          <w:szCs w:val="24"/>
          <w:lang w:val="ro-RO"/>
        </w:rPr>
        <w:t>.</w:t>
      </w:r>
      <w:r w:rsidR="00737F49" w:rsidRPr="00650441">
        <w:rPr>
          <w:rFonts w:ascii="Times New Roman" w:hAnsi="Times New Roman" w:cs="Times New Roman"/>
          <w:sz w:val="24"/>
          <w:szCs w:val="24"/>
          <w:lang w:val="ro-RO"/>
        </w:rPr>
        <w:t xml:space="preserve"> </w:t>
      </w:r>
      <w:r w:rsidR="00226B20" w:rsidRPr="00650441">
        <w:rPr>
          <w:rFonts w:ascii="Times New Roman" w:hAnsi="Times New Roman" w:cs="Times New Roman"/>
          <w:sz w:val="24"/>
          <w:szCs w:val="24"/>
          <w:lang w:val="ro-RO"/>
        </w:rPr>
        <w:t>Astfel, î</w:t>
      </w:r>
      <w:r w:rsidR="00737F49" w:rsidRPr="00650441">
        <w:rPr>
          <w:rFonts w:ascii="Times New Roman" w:hAnsi="Times New Roman" w:cs="Times New Roman"/>
          <w:sz w:val="24"/>
          <w:szCs w:val="24"/>
          <w:lang w:val="ro-RO"/>
        </w:rPr>
        <w:t>n domeniile auditate există oportunități de îmbunătățire a calității și eficienței activităților/proceselor de competența BNM.</w:t>
      </w:r>
    </w:p>
    <w:p w14:paraId="140670A7" w14:textId="77777777" w:rsidR="00343773" w:rsidRPr="00650D66" w:rsidRDefault="00343773" w:rsidP="00343773">
      <w:pPr>
        <w:tabs>
          <w:tab w:val="left" w:pos="993"/>
        </w:tabs>
        <w:spacing w:after="0"/>
        <w:jc w:val="both"/>
        <w:rPr>
          <w:rFonts w:ascii="Times New Roman" w:hAnsi="Times New Roman" w:cs="Times New Roman"/>
          <w:sz w:val="6"/>
          <w:szCs w:val="6"/>
          <w:lang w:val="ro-RO"/>
        </w:rPr>
      </w:pPr>
    </w:p>
    <w:p w14:paraId="561C675F" w14:textId="47FAAF47" w:rsidR="006D1161" w:rsidRPr="00650D66" w:rsidRDefault="00343773" w:rsidP="00C636A3">
      <w:pPr>
        <w:tabs>
          <w:tab w:val="left" w:pos="426"/>
        </w:tabs>
        <w:spacing w:line="276" w:lineRule="auto"/>
        <w:contextualSpacing/>
        <w:jc w:val="both"/>
        <w:rPr>
          <w:rFonts w:ascii="Times New Roman" w:hAnsi="Times New Roman" w:cs="Times New Roman"/>
          <w:sz w:val="24"/>
          <w:szCs w:val="24"/>
          <w:lang w:val="ro-RO"/>
        </w:rPr>
      </w:pPr>
      <w:r w:rsidRPr="00650D66">
        <w:rPr>
          <w:rFonts w:ascii="Times New Roman" w:hAnsi="Times New Roman" w:cs="Times New Roman"/>
          <w:i/>
          <w:sz w:val="24"/>
          <w:szCs w:val="24"/>
          <w:lang w:val="ro-RO"/>
        </w:rPr>
        <w:t>Comitetul de audit</w:t>
      </w:r>
      <w:r w:rsidRPr="00650D66">
        <w:rPr>
          <w:rFonts w:ascii="Times New Roman" w:hAnsi="Times New Roman" w:cs="Times New Roman"/>
          <w:sz w:val="24"/>
          <w:szCs w:val="24"/>
          <w:lang w:val="ro-RO"/>
        </w:rPr>
        <w:t xml:space="preserve"> monitorizează eficiența sistemului de control intern și de management al riscurilor, monitorizează și direcționează funcția de audit intern, monitorizează procesul de raportare financiară și monitorizează independența și activitatea auditului extern</w:t>
      </w:r>
      <w:r w:rsidRPr="00650D66">
        <w:rPr>
          <w:rFonts w:ascii="Times New Roman" w:hAnsi="Times New Roman" w:cs="Times New Roman"/>
          <w:sz w:val="24"/>
          <w:szCs w:val="24"/>
          <w:vertAlign w:val="superscript"/>
          <w:lang w:val="ro-RO"/>
        </w:rPr>
        <w:footnoteReference w:id="77"/>
      </w:r>
      <w:r w:rsidRPr="00650D66">
        <w:rPr>
          <w:rFonts w:ascii="Times New Roman" w:hAnsi="Times New Roman" w:cs="Times New Roman"/>
          <w:sz w:val="24"/>
          <w:szCs w:val="24"/>
          <w:lang w:val="ro-RO"/>
        </w:rPr>
        <w:t>.</w:t>
      </w:r>
      <w:r w:rsidR="00676DCA" w:rsidRPr="00650D66">
        <w:rPr>
          <w:rFonts w:ascii="Times New Roman" w:hAnsi="Times New Roman" w:cs="Times New Roman"/>
          <w:sz w:val="24"/>
          <w:szCs w:val="24"/>
          <w:lang w:val="ro-RO"/>
        </w:rPr>
        <w:t xml:space="preserve"> </w:t>
      </w:r>
      <w:r w:rsidR="00BF188B" w:rsidRPr="00650D66">
        <w:rPr>
          <w:rFonts w:ascii="Times New Roman" w:hAnsi="Times New Roman" w:cs="Times New Roman"/>
          <w:sz w:val="24"/>
          <w:szCs w:val="24"/>
          <w:lang w:val="ro-RO"/>
        </w:rPr>
        <w:t>Astfel, p</w:t>
      </w:r>
      <w:r w:rsidR="002B2971" w:rsidRPr="00650D66">
        <w:rPr>
          <w:rFonts w:ascii="Times New Roman" w:hAnsi="Times New Roman" w:cs="Times New Roman"/>
          <w:sz w:val="24"/>
          <w:szCs w:val="24"/>
          <w:lang w:val="ro-RO"/>
        </w:rPr>
        <w:t xml:space="preserve">e parcursul anilor 2019-2022 au fost întocmite de către Comitetul de audit </w:t>
      </w:r>
      <w:r w:rsidR="00FE2A91">
        <w:rPr>
          <w:rFonts w:ascii="Times New Roman" w:hAnsi="Times New Roman" w:cs="Times New Roman"/>
          <w:sz w:val="24"/>
          <w:szCs w:val="24"/>
          <w:lang w:val="ro-RO"/>
        </w:rPr>
        <w:t>„</w:t>
      </w:r>
      <w:r w:rsidR="002B2971" w:rsidRPr="00650D66">
        <w:rPr>
          <w:rFonts w:ascii="Times New Roman" w:hAnsi="Times New Roman" w:cs="Times New Roman"/>
          <w:sz w:val="24"/>
          <w:szCs w:val="24"/>
          <w:lang w:val="ro-RO"/>
        </w:rPr>
        <w:t>Rapoarte privind activitatea de monitorizare”</w:t>
      </w:r>
      <w:r w:rsidR="003668CC" w:rsidRPr="00650D66">
        <w:rPr>
          <w:rFonts w:ascii="Times New Roman" w:hAnsi="Times New Roman" w:cs="Times New Roman"/>
          <w:sz w:val="24"/>
          <w:szCs w:val="24"/>
          <w:lang w:val="ro-RO"/>
        </w:rPr>
        <w:t xml:space="preserve"> și au fost prezentate Consiliului de supraveghere</w:t>
      </w:r>
      <w:r w:rsidR="002B2971" w:rsidRPr="00650D66">
        <w:rPr>
          <w:rFonts w:ascii="Times New Roman" w:hAnsi="Times New Roman" w:cs="Times New Roman"/>
          <w:sz w:val="24"/>
          <w:szCs w:val="24"/>
          <w:lang w:val="ro-RO"/>
        </w:rPr>
        <w:t>.</w:t>
      </w:r>
      <w:r w:rsidR="00C636A3" w:rsidRPr="00650D66">
        <w:rPr>
          <w:rFonts w:ascii="Times New Roman" w:hAnsi="Times New Roman" w:cs="Times New Roman"/>
          <w:sz w:val="24"/>
          <w:szCs w:val="24"/>
          <w:lang w:val="ro-RO"/>
        </w:rPr>
        <w:t xml:space="preserve"> În raport</w:t>
      </w:r>
      <w:r w:rsidR="00EC32FC" w:rsidRPr="00650D66">
        <w:rPr>
          <w:rFonts w:ascii="Times New Roman" w:hAnsi="Times New Roman" w:cs="Times New Roman"/>
          <w:sz w:val="24"/>
          <w:szCs w:val="24"/>
          <w:lang w:val="ro-RO"/>
        </w:rPr>
        <w:t>ul pe anul 2022</w:t>
      </w:r>
      <w:r w:rsidR="00C636A3" w:rsidRPr="00650D66">
        <w:rPr>
          <w:rFonts w:ascii="Times New Roman" w:hAnsi="Times New Roman" w:cs="Times New Roman"/>
          <w:sz w:val="24"/>
          <w:szCs w:val="24"/>
          <w:lang w:val="ro-RO"/>
        </w:rPr>
        <w:t xml:space="preserve"> se specifică că, î</w:t>
      </w:r>
      <w:r w:rsidR="009C0A5E" w:rsidRPr="00650D66">
        <w:rPr>
          <w:rFonts w:ascii="Times New Roman" w:hAnsi="Times New Roman" w:cs="Times New Roman"/>
          <w:color w:val="000000" w:themeColor="text1"/>
          <w:sz w:val="24"/>
          <w:szCs w:val="24"/>
          <w:lang w:val="ro-RO"/>
        </w:rPr>
        <w:t xml:space="preserve">n sistemul de control și management </w:t>
      </w:r>
      <w:r w:rsidR="00C636A3" w:rsidRPr="00650D66">
        <w:rPr>
          <w:rFonts w:ascii="Times New Roman" w:hAnsi="Times New Roman" w:cs="Times New Roman"/>
          <w:color w:val="000000" w:themeColor="text1"/>
          <w:sz w:val="24"/>
          <w:szCs w:val="24"/>
          <w:lang w:val="ro-RO"/>
        </w:rPr>
        <w:t xml:space="preserve">și </w:t>
      </w:r>
      <w:r w:rsidR="00FE2A91">
        <w:rPr>
          <w:rFonts w:ascii="Times New Roman" w:hAnsi="Times New Roman" w:cs="Times New Roman"/>
          <w:color w:val="000000" w:themeColor="text1"/>
          <w:sz w:val="24"/>
          <w:szCs w:val="24"/>
          <w:lang w:val="ro-RO"/>
        </w:rPr>
        <w:t xml:space="preserve">de </w:t>
      </w:r>
      <w:r w:rsidR="00C636A3" w:rsidRPr="00650D66">
        <w:rPr>
          <w:rFonts w:ascii="Times New Roman" w:hAnsi="Times New Roman" w:cs="Times New Roman"/>
          <w:color w:val="000000" w:themeColor="text1"/>
          <w:sz w:val="24"/>
          <w:szCs w:val="24"/>
          <w:lang w:val="ro-RO"/>
        </w:rPr>
        <w:t>manag</w:t>
      </w:r>
      <w:r w:rsidR="00EC32FC" w:rsidRPr="00650D66">
        <w:rPr>
          <w:rFonts w:ascii="Times New Roman" w:hAnsi="Times New Roman" w:cs="Times New Roman"/>
          <w:color w:val="000000" w:themeColor="text1"/>
          <w:sz w:val="24"/>
          <w:szCs w:val="24"/>
          <w:lang w:val="ro-RO"/>
        </w:rPr>
        <w:t>ement al riscurilor se implementează conceptul denumit ,,3 linii de apărare”</w:t>
      </w:r>
      <w:r w:rsidR="003C5487" w:rsidRPr="00650D66">
        <w:rPr>
          <w:rStyle w:val="FootnoteReference"/>
          <w:rFonts w:ascii="Times New Roman" w:hAnsi="Times New Roman" w:cs="Times New Roman"/>
          <w:color w:val="000000" w:themeColor="text1"/>
          <w:sz w:val="24"/>
          <w:szCs w:val="24"/>
          <w:lang w:val="ro-RO"/>
        </w:rPr>
        <w:footnoteReference w:id="78"/>
      </w:r>
      <w:r w:rsidR="00EC32FC" w:rsidRPr="00650D66">
        <w:rPr>
          <w:rFonts w:ascii="Times New Roman" w:hAnsi="Times New Roman" w:cs="Times New Roman"/>
          <w:color w:val="000000" w:themeColor="text1"/>
          <w:sz w:val="24"/>
          <w:szCs w:val="24"/>
          <w:lang w:val="ro-RO"/>
        </w:rPr>
        <w:t>, iar mediul de control este definit suficient și este aplicabil pentru atenuarea riscurilor existente.</w:t>
      </w:r>
    </w:p>
    <w:p w14:paraId="1AB683E7" w14:textId="77777777" w:rsidR="00C636A3" w:rsidRPr="00650D66" w:rsidRDefault="00D743DB" w:rsidP="00C636A3">
      <w:pPr>
        <w:tabs>
          <w:tab w:val="left" w:pos="426"/>
        </w:tabs>
        <w:spacing w:line="276" w:lineRule="auto"/>
        <w:contextualSpacing/>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 xml:space="preserve">Concomitent, în anul 2021 a fost efectuat un audit intern cu tematica ,,Monitorizarea și evaluarea performanței proceselor de activitate”, </w:t>
      </w:r>
      <w:r w:rsidR="0002236E" w:rsidRPr="00650D66">
        <w:rPr>
          <w:rFonts w:ascii="Times New Roman" w:hAnsi="Times New Roman" w:cs="Times New Roman"/>
          <w:color w:val="000000" w:themeColor="text1"/>
          <w:sz w:val="24"/>
          <w:szCs w:val="24"/>
          <w:lang w:val="ro-RO"/>
        </w:rPr>
        <w:t>constatând că realiza</w:t>
      </w:r>
      <w:r w:rsidR="00284BAE" w:rsidRPr="00650D66">
        <w:rPr>
          <w:rFonts w:ascii="Times New Roman" w:hAnsi="Times New Roman" w:cs="Times New Roman"/>
          <w:color w:val="000000" w:themeColor="text1"/>
          <w:sz w:val="24"/>
          <w:szCs w:val="24"/>
          <w:lang w:val="ro-RO"/>
        </w:rPr>
        <w:t xml:space="preserve">rea Planului este în întârziere. </w:t>
      </w:r>
      <w:r w:rsidR="00670662" w:rsidRPr="00650D66">
        <w:rPr>
          <w:rFonts w:ascii="Times New Roman" w:hAnsi="Times New Roman" w:cs="Times New Roman"/>
          <w:color w:val="000000" w:themeColor="text1"/>
          <w:sz w:val="24"/>
          <w:szCs w:val="24"/>
          <w:lang w:val="ro-RO"/>
        </w:rPr>
        <w:t>La momentul efectu</w:t>
      </w:r>
      <w:r w:rsidR="00284BAE" w:rsidRPr="00650D66">
        <w:rPr>
          <w:rFonts w:ascii="Times New Roman" w:hAnsi="Times New Roman" w:cs="Times New Roman"/>
          <w:color w:val="000000" w:themeColor="text1"/>
          <w:sz w:val="24"/>
          <w:szCs w:val="24"/>
          <w:lang w:val="ro-RO"/>
        </w:rPr>
        <w:t>ării auditului,</w:t>
      </w:r>
      <w:r w:rsidR="00670662" w:rsidRPr="00650D66">
        <w:rPr>
          <w:rFonts w:ascii="Times New Roman" w:hAnsi="Times New Roman" w:cs="Times New Roman"/>
          <w:color w:val="000000" w:themeColor="text1"/>
          <w:sz w:val="24"/>
          <w:szCs w:val="24"/>
          <w:lang w:val="ro-RO"/>
        </w:rPr>
        <w:t xml:space="preserve"> Lista proceselor </w:t>
      </w:r>
      <w:r w:rsidR="00284BAE" w:rsidRPr="00650D66">
        <w:rPr>
          <w:rFonts w:ascii="Times New Roman" w:hAnsi="Times New Roman" w:cs="Times New Roman"/>
          <w:color w:val="000000" w:themeColor="text1"/>
          <w:sz w:val="24"/>
          <w:szCs w:val="24"/>
          <w:lang w:val="ro-RO"/>
        </w:rPr>
        <w:t>de activitate în BNM</w:t>
      </w:r>
      <w:r w:rsidR="00670662" w:rsidRPr="00650D66">
        <w:rPr>
          <w:rFonts w:ascii="Times New Roman" w:hAnsi="Times New Roman" w:cs="Times New Roman"/>
          <w:color w:val="000000" w:themeColor="text1"/>
          <w:sz w:val="24"/>
          <w:szCs w:val="24"/>
          <w:lang w:val="ro-RO"/>
        </w:rPr>
        <w:t xml:space="preserve"> a fost aprobată </w:t>
      </w:r>
      <w:r w:rsidR="00284BAE" w:rsidRPr="00650D66">
        <w:rPr>
          <w:rFonts w:ascii="Times New Roman" w:hAnsi="Times New Roman" w:cs="Times New Roman"/>
          <w:color w:val="000000" w:themeColor="text1"/>
          <w:sz w:val="24"/>
          <w:szCs w:val="24"/>
          <w:lang w:val="ro-RO"/>
        </w:rPr>
        <w:t xml:space="preserve">în versiune actualizată </w:t>
      </w:r>
      <w:r w:rsidR="00670662" w:rsidRPr="00650D66">
        <w:rPr>
          <w:rFonts w:ascii="Times New Roman" w:hAnsi="Times New Roman" w:cs="Times New Roman"/>
          <w:color w:val="000000" w:themeColor="text1"/>
          <w:sz w:val="24"/>
          <w:szCs w:val="24"/>
          <w:lang w:val="ro-RO"/>
        </w:rPr>
        <w:t>de către Guvernatorul BNM la data de 05.10.2023</w:t>
      </w:r>
      <w:r w:rsidR="00012637" w:rsidRPr="00650D66">
        <w:rPr>
          <w:rFonts w:ascii="Times New Roman" w:hAnsi="Times New Roman" w:cs="Times New Roman"/>
          <w:color w:val="000000" w:themeColor="text1"/>
          <w:sz w:val="24"/>
          <w:szCs w:val="24"/>
          <w:lang w:val="ro-RO"/>
        </w:rPr>
        <w:t>.</w:t>
      </w:r>
    </w:p>
    <w:p w14:paraId="66EEE6F8" w14:textId="77777777" w:rsidR="00012637" w:rsidRPr="00650D66" w:rsidRDefault="00012637" w:rsidP="00C636A3">
      <w:pPr>
        <w:tabs>
          <w:tab w:val="left" w:pos="426"/>
        </w:tabs>
        <w:spacing w:line="276" w:lineRule="auto"/>
        <w:contextualSpacing/>
        <w:jc w:val="both"/>
        <w:rPr>
          <w:rFonts w:ascii="Times New Roman" w:hAnsi="Times New Roman" w:cs="Times New Roman"/>
          <w:sz w:val="6"/>
          <w:szCs w:val="6"/>
          <w:lang w:val="ro-RO"/>
        </w:rPr>
      </w:pPr>
    </w:p>
    <w:p w14:paraId="761F9ED1" w14:textId="77777777" w:rsidR="00F12928" w:rsidRPr="00650D66" w:rsidRDefault="00F12928" w:rsidP="00303C02">
      <w:pPr>
        <w:tabs>
          <w:tab w:val="left" w:pos="993"/>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i/>
          <w:sz w:val="24"/>
          <w:szCs w:val="24"/>
          <w:lang w:val="ro-RO"/>
        </w:rPr>
        <w:t>BNM are un organ de audit intern,</w:t>
      </w:r>
      <w:r w:rsidRPr="00650D66">
        <w:rPr>
          <w:rFonts w:ascii="Times New Roman" w:hAnsi="Times New Roman" w:cs="Times New Roman"/>
          <w:sz w:val="24"/>
          <w:szCs w:val="24"/>
          <w:lang w:val="ro-RO"/>
        </w:rPr>
        <w:t xml:space="preserve"> constituit din specialiști cu competențe în domeniile auditului, contabilității, finanțelor și tehnologiilor informaționale.</w:t>
      </w:r>
      <w:r w:rsidR="00303C02" w:rsidRPr="00650D66">
        <w:rPr>
          <w:rFonts w:ascii="Times New Roman" w:hAnsi="Times New Roman" w:cs="Times New Roman"/>
          <w:sz w:val="6"/>
          <w:szCs w:val="6"/>
          <w:lang w:val="ro-RO"/>
        </w:rPr>
        <w:t xml:space="preserve"> </w:t>
      </w:r>
      <w:r w:rsidR="00303C02" w:rsidRPr="00650D66">
        <w:rPr>
          <w:rFonts w:ascii="Times New Roman" w:hAnsi="Times New Roman" w:cs="Times New Roman"/>
          <w:sz w:val="24"/>
          <w:szCs w:val="24"/>
          <w:lang w:val="ro-RO"/>
        </w:rPr>
        <w:t xml:space="preserve">DAI </w:t>
      </w:r>
      <w:r w:rsidRPr="00650D66">
        <w:rPr>
          <w:rFonts w:ascii="Times New Roman" w:hAnsi="Times New Roman" w:cs="Times New Roman"/>
          <w:sz w:val="24"/>
          <w:szCs w:val="24"/>
          <w:lang w:val="ro-RO"/>
        </w:rPr>
        <w:t xml:space="preserve">este o subdiviziune structurală independentă, care din punct de vedere funcțional este subordonată și raportează Consiliului de supraveghere/Comitetului de audit, iar din punct de vedere administrativ se subordonează </w:t>
      </w:r>
      <w:r w:rsidRPr="00650D66">
        <w:rPr>
          <w:rFonts w:ascii="Times New Roman" w:hAnsi="Times New Roman" w:cs="Times New Roman"/>
          <w:sz w:val="24"/>
          <w:szCs w:val="24"/>
          <w:lang w:val="ro-RO"/>
        </w:rPr>
        <w:lastRenderedPageBreak/>
        <w:t>Guvernatorului BNM</w:t>
      </w:r>
      <w:r w:rsidRPr="00650D66">
        <w:rPr>
          <w:rFonts w:ascii="Times New Roman" w:hAnsi="Times New Roman" w:cs="Times New Roman"/>
          <w:sz w:val="24"/>
          <w:szCs w:val="24"/>
          <w:vertAlign w:val="superscript"/>
          <w:lang w:val="ro-RO"/>
        </w:rPr>
        <w:footnoteReference w:id="79"/>
      </w:r>
      <w:r w:rsidRPr="00650D66">
        <w:rPr>
          <w:rFonts w:ascii="Times New Roman" w:hAnsi="Times New Roman" w:cs="Times New Roman"/>
          <w:sz w:val="24"/>
          <w:szCs w:val="24"/>
          <w:lang w:val="ro-RO"/>
        </w:rPr>
        <w:t>. DAI structural se divizează în 2 unități, Direcția audit operațional și Direcția audit tehnologii informaționale.</w:t>
      </w:r>
    </w:p>
    <w:p w14:paraId="361CB941" w14:textId="2D24454E" w:rsidR="00172E57" w:rsidRPr="00650D66" w:rsidRDefault="00172E57" w:rsidP="00303C02">
      <w:pPr>
        <w:tabs>
          <w:tab w:val="left" w:pos="993"/>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Activi</w:t>
      </w:r>
      <w:r w:rsidR="00B3299A" w:rsidRPr="00650D66">
        <w:rPr>
          <w:rFonts w:ascii="Times New Roman" w:hAnsi="Times New Roman" w:cs="Times New Roman"/>
          <w:sz w:val="24"/>
          <w:szCs w:val="24"/>
          <w:lang w:val="ro-RO"/>
        </w:rPr>
        <w:t>tatea de audit se efectuează într-un sistem informațional</w:t>
      </w:r>
      <w:r w:rsidR="00FE2A91">
        <w:rPr>
          <w:rFonts w:ascii="Times New Roman" w:hAnsi="Times New Roman" w:cs="Times New Roman"/>
          <w:sz w:val="24"/>
          <w:szCs w:val="24"/>
          <w:lang w:val="ro-RO"/>
        </w:rPr>
        <w:t>,</w:t>
      </w:r>
      <w:r w:rsidR="00B3299A" w:rsidRPr="00650D66">
        <w:rPr>
          <w:rFonts w:ascii="Times New Roman" w:hAnsi="Times New Roman" w:cs="Times New Roman"/>
          <w:sz w:val="24"/>
          <w:szCs w:val="24"/>
          <w:lang w:val="ro-RO"/>
        </w:rPr>
        <w:t xml:space="preserve"> </w:t>
      </w:r>
      <w:r w:rsidRPr="00650D66">
        <w:rPr>
          <w:rFonts w:ascii="Times New Roman" w:hAnsi="Times New Roman" w:cs="Times New Roman"/>
          <w:sz w:val="24"/>
          <w:szCs w:val="24"/>
          <w:lang w:val="ro-RO"/>
        </w:rPr>
        <w:t xml:space="preserve">iar pentru menținerea SI de gestiune, BNM a achitat </w:t>
      </w:r>
      <w:r w:rsidR="007649A2" w:rsidRPr="00650D66">
        <w:rPr>
          <w:rFonts w:ascii="Times New Roman" w:hAnsi="Times New Roman" w:cs="Times New Roman"/>
          <w:sz w:val="24"/>
          <w:szCs w:val="24"/>
          <w:lang w:val="ro-RO"/>
        </w:rPr>
        <w:t>679,0</w:t>
      </w:r>
      <w:r w:rsidRPr="00650D66">
        <w:rPr>
          <w:rFonts w:ascii="Times New Roman" w:hAnsi="Times New Roman" w:cs="Times New Roman"/>
          <w:sz w:val="24"/>
          <w:szCs w:val="24"/>
          <w:lang w:val="ro-RO"/>
        </w:rPr>
        <w:t xml:space="preserve"> mii</w:t>
      </w:r>
      <w:r w:rsidR="007649A2" w:rsidRPr="00650D66">
        <w:rPr>
          <w:rFonts w:ascii="Times New Roman" w:hAnsi="Times New Roman" w:cs="Times New Roman"/>
          <w:sz w:val="24"/>
          <w:szCs w:val="24"/>
          <w:lang w:val="ro-RO"/>
        </w:rPr>
        <w:t xml:space="preserve"> lei pentru perioada 2019-2022.</w:t>
      </w:r>
    </w:p>
    <w:p w14:paraId="06FBB9E0" w14:textId="77777777" w:rsidR="00F12928" w:rsidRPr="00650D66" w:rsidRDefault="00F12928" w:rsidP="00F12928">
      <w:pPr>
        <w:tabs>
          <w:tab w:val="left" w:pos="426"/>
        </w:tabs>
        <w:spacing w:after="0" w:line="276" w:lineRule="auto"/>
        <w:jc w:val="both"/>
        <w:rPr>
          <w:rFonts w:ascii="Times New Roman" w:hAnsi="Times New Roman" w:cs="Times New Roman"/>
          <w:sz w:val="6"/>
          <w:szCs w:val="6"/>
          <w:lang w:val="ro-RO"/>
        </w:rPr>
      </w:pPr>
    </w:p>
    <w:p w14:paraId="02166FE4" w14:textId="17D1A20F" w:rsidR="00F12928" w:rsidRPr="00650D66" w:rsidRDefault="00F12928" w:rsidP="00F12928">
      <w:pPr>
        <w:tabs>
          <w:tab w:val="left" w:pos="426"/>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 xml:space="preserve">DAI este condus de către Controlorul General, care este numit în funcție de Consiliul de </w:t>
      </w:r>
      <w:r w:rsidR="002543EB">
        <w:rPr>
          <w:rFonts w:ascii="Times New Roman" w:hAnsi="Times New Roman" w:cs="Times New Roman"/>
          <w:sz w:val="24"/>
          <w:szCs w:val="24"/>
          <w:lang w:val="ro-RO"/>
        </w:rPr>
        <w:t>s</w:t>
      </w:r>
      <w:r w:rsidRPr="00650D66">
        <w:rPr>
          <w:rFonts w:ascii="Times New Roman" w:hAnsi="Times New Roman" w:cs="Times New Roman"/>
          <w:sz w:val="24"/>
          <w:szCs w:val="24"/>
          <w:lang w:val="ro-RO"/>
        </w:rPr>
        <w:t>upraveghere pe un termen de 5 ani la propunerea Comitetului de audit. Controlorul general, în comun cu specialiștii organului de audit intern</w:t>
      </w:r>
      <w:r w:rsidR="002543EB">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stabilesc procedurile de audit intern; examinează și evaluează procesele de activitate, inclusiv calitatea metodelor de control și de gestiune a riscurilor, sistemele informatice utilizate</w:t>
      </w:r>
      <w:r w:rsidR="002543EB">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precum și examinează situațiile financiare și executarea devizului de cheltuieli și alocațiilor pentru investiții ale BNM, confirmând aceasta printr-un aviz</w:t>
      </w:r>
      <w:r w:rsidRPr="00650D66">
        <w:rPr>
          <w:rFonts w:ascii="Times New Roman" w:hAnsi="Times New Roman" w:cs="Times New Roman"/>
          <w:sz w:val="24"/>
          <w:szCs w:val="24"/>
          <w:vertAlign w:val="superscript"/>
          <w:lang w:val="ro-RO"/>
        </w:rPr>
        <w:footnoteReference w:id="80"/>
      </w:r>
      <w:r w:rsidRPr="00650D66">
        <w:rPr>
          <w:rFonts w:ascii="Times New Roman" w:hAnsi="Times New Roman" w:cs="Times New Roman"/>
          <w:sz w:val="24"/>
          <w:szCs w:val="24"/>
          <w:lang w:val="ro-RO"/>
        </w:rPr>
        <w:t xml:space="preserve">. </w:t>
      </w:r>
    </w:p>
    <w:p w14:paraId="31CF2312" w14:textId="77777777" w:rsidR="00F12928" w:rsidRPr="00650D66" w:rsidRDefault="00F12928" w:rsidP="00F12928">
      <w:pPr>
        <w:tabs>
          <w:tab w:val="left" w:pos="426"/>
        </w:tabs>
        <w:spacing w:after="0" w:line="276" w:lineRule="auto"/>
        <w:jc w:val="both"/>
        <w:rPr>
          <w:rFonts w:ascii="Times New Roman" w:hAnsi="Times New Roman" w:cs="Times New Roman"/>
          <w:sz w:val="6"/>
          <w:szCs w:val="6"/>
          <w:lang w:val="ro-RO"/>
        </w:rPr>
      </w:pPr>
    </w:p>
    <w:p w14:paraId="72812794" w14:textId="01AD1579" w:rsidR="00172E57" w:rsidRPr="00650D66" w:rsidRDefault="008728F0" w:rsidP="008728F0">
      <w:pPr>
        <w:tabs>
          <w:tab w:val="left" w:pos="426"/>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De menționat că atribuțiile de verificare trimestrială și anuală a situațiilor financiare, raportului privind executarea bugetului BNM, devizului de cheltuieli și alocațiilor pentru investiții s</w:t>
      </w:r>
      <w:r w:rsidR="00F847BB">
        <w:rPr>
          <w:rFonts w:ascii="Times New Roman" w:hAnsi="Times New Roman" w:cs="Times New Roman"/>
          <w:sz w:val="24"/>
          <w:szCs w:val="24"/>
          <w:lang w:val="ro-RO"/>
        </w:rPr>
        <w:t>u</w:t>
      </w:r>
      <w:r w:rsidRPr="00650D66">
        <w:rPr>
          <w:rFonts w:ascii="Times New Roman" w:hAnsi="Times New Roman" w:cs="Times New Roman"/>
          <w:sz w:val="24"/>
          <w:szCs w:val="24"/>
          <w:lang w:val="ro-RO"/>
        </w:rPr>
        <w:t>nt atribuite Direcției audit operațional, unitate structurală a DAI. Auditul relevă că veridicitatea datelor din ,,Rapoartele privind executarea devizului de cheltuieli și alocațiilor pentru investiții ale BNM pentru anii 2019-2022” a fost confirmat</w:t>
      </w:r>
      <w:r w:rsidR="00F847BB">
        <w:rPr>
          <w:rFonts w:ascii="Times New Roman" w:hAnsi="Times New Roman" w:cs="Times New Roman"/>
          <w:sz w:val="24"/>
          <w:szCs w:val="24"/>
          <w:lang w:val="ro-RO"/>
        </w:rPr>
        <w:t>ă</w:t>
      </w:r>
      <w:r w:rsidRPr="00650D66">
        <w:rPr>
          <w:rFonts w:ascii="Times New Roman" w:hAnsi="Times New Roman" w:cs="Times New Roman"/>
          <w:sz w:val="24"/>
          <w:szCs w:val="24"/>
          <w:lang w:val="ro-RO"/>
        </w:rPr>
        <w:t xml:space="preserve"> prin avize. În avizele emise anual se menționează că auditul nu a identificat informații financiare care să fie în mod semnificativ neconcordante cu informațiile prezentate de subdiviziuni și disponibile în SI al BNM. </w:t>
      </w:r>
    </w:p>
    <w:p w14:paraId="5FD858E4" w14:textId="77777777" w:rsidR="00F12928" w:rsidRPr="00650D66" w:rsidRDefault="00F12928" w:rsidP="00F12928">
      <w:pPr>
        <w:tabs>
          <w:tab w:val="left" w:pos="426"/>
        </w:tabs>
        <w:spacing w:after="0" w:line="276" w:lineRule="auto"/>
        <w:jc w:val="both"/>
        <w:rPr>
          <w:rFonts w:ascii="Times New Roman" w:hAnsi="Times New Roman" w:cs="Times New Roman"/>
          <w:color w:val="FF0000"/>
          <w:sz w:val="6"/>
          <w:szCs w:val="6"/>
          <w:lang w:val="ro-RO"/>
        </w:rPr>
      </w:pPr>
    </w:p>
    <w:p w14:paraId="09D7140C" w14:textId="4F26FD0C" w:rsidR="00F12928" w:rsidRPr="00650D66" w:rsidRDefault="00F12928" w:rsidP="00F12928">
      <w:pPr>
        <w:tabs>
          <w:tab w:val="left" w:pos="426"/>
        </w:tabs>
        <w:spacing w:line="276" w:lineRule="auto"/>
        <w:contextualSpacing/>
        <w:jc w:val="both"/>
        <w:rPr>
          <w:rFonts w:ascii="Times New Roman" w:eastAsia="Calibri" w:hAnsi="Times New Roman" w:cs="Times New Roman"/>
          <w:sz w:val="24"/>
          <w:szCs w:val="24"/>
          <w:lang w:val="ro-RO"/>
        </w:rPr>
      </w:pPr>
      <w:r w:rsidRPr="00650D66">
        <w:rPr>
          <w:rFonts w:ascii="Times New Roman" w:hAnsi="Times New Roman" w:cs="Times New Roman"/>
          <w:sz w:val="24"/>
          <w:szCs w:val="24"/>
          <w:lang w:val="ro-RO" w:eastAsia="ru-RU"/>
        </w:rPr>
        <w:t>Totodată, în</w:t>
      </w:r>
      <w:r w:rsidRPr="00650D66">
        <w:rPr>
          <w:rFonts w:ascii="Times New Roman" w:eastAsia="Calibri" w:hAnsi="Times New Roman" w:cs="Times New Roman"/>
          <w:sz w:val="24"/>
          <w:szCs w:val="24"/>
          <w:lang w:val="ro-RO"/>
        </w:rPr>
        <w:t xml:space="preserve"> perioada auditată, </w:t>
      </w:r>
      <w:r w:rsidRPr="00650D66">
        <w:rPr>
          <w:rFonts w:ascii="Times New Roman" w:eastAsia="Calibri" w:hAnsi="Times New Roman" w:cs="Times New Roman"/>
          <w:i/>
          <w:sz w:val="24"/>
          <w:szCs w:val="24"/>
          <w:lang w:val="ro-RO"/>
        </w:rPr>
        <w:t>DAI a planificat și a efectuat 9 misiuni de audit intern,</w:t>
      </w:r>
      <w:r w:rsidRPr="00650D66">
        <w:rPr>
          <w:rFonts w:ascii="Times New Roman" w:eastAsia="Calibri" w:hAnsi="Times New Roman" w:cs="Times New Roman"/>
          <w:sz w:val="24"/>
          <w:szCs w:val="24"/>
          <w:lang w:val="ro-RO"/>
        </w:rPr>
        <w:t xml:space="preserve"> în care au fost evaluate procesele ce țin de executarea devizului de cheltuieli și alocațiilor pentru investiții</w:t>
      </w:r>
      <w:r w:rsidR="00F847BB">
        <w:rPr>
          <w:rFonts w:ascii="Times New Roman" w:eastAsia="Calibri" w:hAnsi="Times New Roman" w:cs="Times New Roman"/>
          <w:sz w:val="24"/>
          <w:szCs w:val="24"/>
          <w:lang w:val="ro-RO"/>
        </w:rPr>
        <w:t>,</w:t>
      </w:r>
      <w:r w:rsidRPr="00650D66">
        <w:rPr>
          <w:rFonts w:ascii="Times New Roman" w:eastAsia="Calibri" w:hAnsi="Times New Roman" w:cs="Times New Roman"/>
          <w:sz w:val="24"/>
          <w:szCs w:val="24"/>
          <w:lang w:val="ro-RO"/>
        </w:rPr>
        <w:t xml:space="preserve"> și anume la: </w:t>
      </w:r>
      <w:r w:rsidRPr="00650D66">
        <w:rPr>
          <w:rFonts w:ascii="Times New Roman" w:eastAsia="Calibri" w:hAnsi="Times New Roman" w:cs="Times New Roman"/>
          <w:i/>
          <w:sz w:val="24"/>
          <w:szCs w:val="24"/>
          <w:lang w:val="ro-RO"/>
        </w:rPr>
        <w:t>(i)</w:t>
      </w:r>
      <w:r w:rsidRPr="00650D66">
        <w:rPr>
          <w:rFonts w:ascii="Times New Roman" w:eastAsia="Calibri" w:hAnsi="Times New Roman" w:cs="Times New Roman"/>
          <w:sz w:val="24"/>
          <w:szCs w:val="24"/>
          <w:lang w:val="ro-RO"/>
        </w:rPr>
        <w:t xml:space="preserve"> deplasări ale salariaților în scop de formare profesională și de serviciu</w:t>
      </w:r>
      <w:r w:rsidRPr="00650D66">
        <w:rPr>
          <w:rFonts w:ascii="Times New Roman" w:eastAsia="Calibri" w:hAnsi="Times New Roman" w:cs="Times New Roman"/>
          <w:sz w:val="24"/>
          <w:szCs w:val="24"/>
          <w:vertAlign w:val="superscript"/>
          <w:lang w:val="ro-RO"/>
        </w:rPr>
        <w:footnoteReference w:id="81"/>
      </w:r>
      <w:r w:rsidRPr="00650D66">
        <w:rPr>
          <w:rFonts w:ascii="Times New Roman" w:eastAsia="Calibri" w:hAnsi="Times New Roman" w:cs="Times New Roman"/>
          <w:sz w:val="24"/>
          <w:szCs w:val="24"/>
          <w:lang w:val="ro-RO"/>
        </w:rPr>
        <w:t xml:space="preserve">, </w:t>
      </w:r>
      <w:r w:rsidRPr="00650D66">
        <w:rPr>
          <w:rFonts w:ascii="Times New Roman" w:eastAsia="Calibri" w:hAnsi="Times New Roman" w:cs="Times New Roman"/>
          <w:i/>
          <w:sz w:val="24"/>
          <w:szCs w:val="24"/>
          <w:lang w:val="ro-RO"/>
        </w:rPr>
        <w:t>(ii)</w:t>
      </w:r>
      <w:r w:rsidRPr="00650D66">
        <w:rPr>
          <w:rFonts w:ascii="Times New Roman" w:eastAsia="Calibri" w:hAnsi="Times New Roman" w:cs="Times New Roman"/>
          <w:sz w:val="24"/>
          <w:szCs w:val="24"/>
          <w:lang w:val="ro-RO"/>
        </w:rPr>
        <w:t xml:space="preserve"> realizarea achizițiilor, elaborarea, aprobarea, urmărirea și raportarea executării Planului de achiziții</w:t>
      </w:r>
      <w:r w:rsidRPr="00650D66">
        <w:rPr>
          <w:rFonts w:ascii="Times New Roman" w:eastAsia="Calibri" w:hAnsi="Times New Roman" w:cs="Times New Roman"/>
          <w:sz w:val="24"/>
          <w:szCs w:val="24"/>
          <w:vertAlign w:val="superscript"/>
          <w:lang w:val="ro-RO"/>
        </w:rPr>
        <w:footnoteReference w:id="82"/>
      </w:r>
      <w:r w:rsidRPr="00650D66">
        <w:rPr>
          <w:rFonts w:ascii="Times New Roman" w:eastAsia="Calibri" w:hAnsi="Times New Roman" w:cs="Times New Roman"/>
          <w:sz w:val="24"/>
          <w:szCs w:val="24"/>
          <w:lang w:val="ro-RO"/>
        </w:rPr>
        <w:t xml:space="preserve">, </w:t>
      </w:r>
      <w:r w:rsidRPr="00650D66">
        <w:rPr>
          <w:rFonts w:ascii="Times New Roman" w:eastAsia="Calibri" w:hAnsi="Times New Roman" w:cs="Times New Roman"/>
          <w:i/>
          <w:sz w:val="24"/>
          <w:szCs w:val="24"/>
          <w:lang w:val="ro-RO"/>
        </w:rPr>
        <w:t>(iii)</w:t>
      </w:r>
      <w:r w:rsidRPr="00650D66">
        <w:rPr>
          <w:rFonts w:ascii="Times New Roman" w:eastAsia="Calibri" w:hAnsi="Times New Roman" w:cs="Times New Roman"/>
          <w:sz w:val="24"/>
          <w:szCs w:val="24"/>
          <w:lang w:val="ro-RO"/>
        </w:rPr>
        <w:t xml:space="preserve"> deschiderea și închiderea zilei operaționale, deschiderea și închiderea lunii/trimestrului/semestrului/anului operațional și întocmirea situațiilor financiare, a rapoartelor statistice, a declarațiilor fiscale etc</w:t>
      </w:r>
      <w:r w:rsidR="000760E5">
        <w:rPr>
          <w:rFonts w:ascii="Times New Roman" w:eastAsia="Calibri" w:hAnsi="Times New Roman" w:cs="Times New Roman"/>
          <w:sz w:val="24"/>
          <w:szCs w:val="24"/>
          <w:lang w:val="ro-RO"/>
        </w:rPr>
        <w:t>.</w:t>
      </w:r>
      <w:r w:rsidRPr="00650D66">
        <w:rPr>
          <w:rFonts w:ascii="Times New Roman" w:eastAsia="Calibri" w:hAnsi="Times New Roman" w:cs="Times New Roman"/>
          <w:sz w:val="24"/>
          <w:szCs w:val="24"/>
          <w:vertAlign w:val="superscript"/>
          <w:lang w:val="ro-RO"/>
        </w:rPr>
        <w:footnoteReference w:id="83"/>
      </w:r>
      <w:r w:rsidR="000760E5">
        <w:rPr>
          <w:rFonts w:ascii="Times New Roman" w:eastAsia="Calibri" w:hAnsi="Times New Roman" w:cs="Times New Roman"/>
          <w:sz w:val="24"/>
          <w:szCs w:val="24"/>
          <w:lang w:val="ro-RO"/>
        </w:rPr>
        <w:t>,</w:t>
      </w:r>
      <w:r w:rsidRPr="00650D66">
        <w:rPr>
          <w:rFonts w:ascii="Times New Roman" w:eastAsia="Calibri" w:hAnsi="Times New Roman" w:cs="Times New Roman"/>
          <w:sz w:val="24"/>
          <w:szCs w:val="24"/>
          <w:lang w:val="ro-RO"/>
        </w:rPr>
        <w:t xml:space="preserve"> </w:t>
      </w:r>
      <w:r w:rsidRPr="00650D66">
        <w:rPr>
          <w:rFonts w:ascii="Times New Roman" w:eastAsia="Calibri" w:hAnsi="Times New Roman" w:cs="Times New Roman"/>
          <w:i/>
          <w:sz w:val="24"/>
          <w:szCs w:val="24"/>
          <w:lang w:val="ro-RO"/>
        </w:rPr>
        <w:t>(iv)</w:t>
      </w:r>
      <w:r w:rsidRPr="00650D66">
        <w:rPr>
          <w:rFonts w:ascii="Times New Roman" w:eastAsia="Calibri" w:hAnsi="Times New Roman" w:cs="Times New Roman"/>
          <w:sz w:val="24"/>
          <w:szCs w:val="24"/>
          <w:lang w:val="ro-RO"/>
        </w:rPr>
        <w:t xml:space="preserve"> organizarea securității și sănătății în muncă a colaboratorilor BNM</w:t>
      </w:r>
      <w:r w:rsidRPr="00650D66">
        <w:rPr>
          <w:rFonts w:ascii="Times New Roman" w:eastAsia="Calibri" w:hAnsi="Times New Roman" w:cs="Times New Roman"/>
          <w:sz w:val="24"/>
          <w:szCs w:val="24"/>
          <w:vertAlign w:val="superscript"/>
          <w:lang w:val="ro-RO"/>
        </w:rPr>
        <w:footnoteReference w:id="84"/>
      </w:r>
      <w:r w:rsidRPr="00650D66">
        <w:rPr>
          <w:rFonts w:ascii="Times New Roman" w:eastAsia="Calibri" w:hAnsi="Times New Roman" w:cs="Times New Roman"/>
          <w:sz w:val="24"/>
          <w:szCs w:val="24"/>
          <w:lang w:val="ro-RO"/>
        </w:rPr>
        <w:t xml:space="preserve">, </w:t>
      </w:r>
      <w:r w:rsidRPr="00650D66">
        <w:rPr>
          <w:rFonts w:ascii="Times New Roman" w:eastAsia="Calibri" w:hAnsi="Times New Roman" w:cs="Times New Roman"/>
          <w:i/>
          <w:sz w:val="24"/>
          <w:szCs w:val="24"/>
          <w:lang w:val="ro-RO"/>
        </w:rPr>
        <w:t>(v)</w:t>
      </w:r>
      <w:r w:rsidRPr="00650D66">
        <w:rPr>
          <w:rFonts w:ascii="Times New Roman" w:eastAsia="Calibri" w:hAnsi="Times New Roman" w:cs="Times New Roman"/>
          <w:sz w:val="24"/>
          <w:szCs w:val="24"/>
          <w:lang w:val="ro-RO"/>
        </w:rPr>
        <w:t xml:space="preserve"> servicii </w:t>
      </w:r>
      <w:proofErr w:type="spellStart"/>
      <w:r w:rsidRPr="00650D66">
        <w:rPr>
          <w:rFonts w:ascii="Times New Roman" w:eastAsia="Calibri" w:hAnsi="Times New Roman" w:cs="Times New Roman"/>
          <w:sz w:val="24"/>
          <w:szCs w:val="24"/>
          <w:lang w:val="ro-RO"/>
        </w:rPr>
        <w:t>externalizate</w:t>
      </w:r>
      <w:proofErr w:type="spellEnd"/>
      <w:r w:rsidRPr="00650D66">
        <w:rPr>
          <w:rFonts w:ascii="Times New Roman" w:eastAsia="Calibri" w:hAnsi="Times New Roman" w:cs="Times New Roman"/>
          <w:sz w:val="24"/>
          <w:szCs w:val="24"/>
          <w:vertAlign w:val="superscript"/>
          <w:lang w:val="ro-RO"/>
        </w:rPr>
        <w:footnoteReference w:id="85"/>
      </w:r>
      <w:r w:rsidRPr="00650D66">
        <w:rPr>
          <w:rFonts w:ascii="Times New Roman" w:eastAsia="Calibri" w:hAnsi="Times New Roman" w:cs="Times New Roman"/>
          <w:sz w:val="24"/>
          <w:szCs w:val="24"/>
          <w:lang w:val="ro-RO"/>
        </w:rPr>
        <w:t xml:space="preserve">, </w:t>
      </w:r>
      <w:r w:rsidRPr="00650D66">
        <w:rPr>
          <w:rFonts w:ascii="Times New Roman" w:eastAsia="Calibri" w:hAnsi="Times New Roman" w:cs="Times New Roman"/>
          <w:i/>
          <w:sz w:val="24"/>
          <w:szCs w:val="24"/>
          <w:lang w:val="ro-RO"/>
        </w:rPr>
        <w:t>(vi)</w:t>
      </w:r>
      <w:r w:rsidRPr="00650D66">
        <w:rPr>
          <w:rFonts w:ascii="Times New Roman" w:eastAsia="Calibri" w:hAnsi="Times New Roman" w:cs="Times New Roman"/>
          <w:sz w:val="24"/>
          <w:szCs w:val="24"/>
          <w:lang w:val="ro-RO"/>
        </w:rPr>
        <w:t xml:space="preserve"> gestiunea deservirii utilajului</w:t>
      </w:r>
      <w:r w:rsidRPr="00650D66">
        <w:rPr>
          <w:rFonts w:ascii="Times New Roman" w:eastAsia="Calibri" w:hAnsi="Times New Roman" w:cs="Times New Roman"/>
          <w:sz w:val="24"/>
          <w:szCs w:val="24"/>
          <w:vertAlign w:val="superscript"/>
          <w:lang w:val="ro-RO"/>
        </w:rPr>
        <w:footnoteReference w:id="86"/>
      </w:r>
      <w:r w:rsidRPr="00650D66">
        <w:rPr>
          <w:rFonts w:ascii="Times New Roman" w:eastAsia="Calibri" w:hAnsi="Times New Roman" w:cs="Times New Roman"/>
          <w:sz w:val="24"/>
          <w:szCs w:val="24"/>
          <w:lang w:val="ro-RO"/>
        </w:rPr>
        <w:t xml:space="preserve">, </w:t>
      </w:r>
      <w:r w:rsidRPr="00650D66">
        <w:rPr>
          <w:rFonts w:ascii="Times New Roman" w:eastAsia="Calibri" w:hAnsi="Times New Roman" w:cs="Times New Roman"/>
          <w:i/>
          <w:sz w:val="24"/>
          <w:szCs w:val="24"/>
          <w:lang w:val="ro-RO"/>
        </w:rPr>
        <w:t>(vii)</w:t>
      </w:r>
      <w:r w:rsidRPr="00650D66">
        <w:rPr>
          <w:rFonts w:ascii="Times New Roman" w:eastAsia="Calibri" w:hAnsi="Times New Roman" w:cs="Times New Roman"/>
          <w:sz w:val="24"/>
          <w:szCs w:val="24"/>
          <w:lang w:val="ro-RO"/>
        </w:rPr>
        <w:t xml:space="preserve"> implementarea unui sistem integrat de management al resurselor umane</w:t>
      </w:r>
      <w:r w:rsidRPr="00650D66">
        <w:rPr>
          <w:rFonts w:ascii="Times New Roman" w:eastAsia="Calibri" w:hAnsi="Times New Roman" w:cs="Times New Roman"/>
          <w:sz w:val="24"/>
          <w:szCs w:val="24"/>
          <w:vertAlign w:val="superscript"/>
          <w:lang w:val="ro-RO"/>
        </w:rPr>
        <w:footnoteReference w:id="87"/>
      </w:r>
      <w:r w:rsidRPr="00650D66">
        <w:rPr>
          <w:rFonts w:ascii="Times New Roman" w:eastAsia="Calibri" w:hAnsi="Times New Roman" w:cs="Times New Roman"/>
          <w:sz w:val="24"/>
          <w:szCs w:val="24"/>
          <w:lang w:val="ro-RO"/>
        </w:rPr>
        <w:t xml:space="preserve">, </w:t>
      </w:r>
      <w:r w:rsidRPr="00650D66">
        <w:rPr>
          <w:rFonts w:ascii="Times New Roman" w:eastAsia="Calibri" w:hAnsi="Times New Roman" w:cs="Times New Roman"/>
          <w:i/>
          <w:sz w:val="24"/>
          <w:szCs w:val="24"/>
          <w:lang w:val="ro-RO"/>
        </w:rPr>
        <w:t xml:space="preserve">(viii) </w:t>
      </w:r>
      <w:r w:rsidRPr="00650D66">
        <w:rPr>
          <w:rFonts w:ascii="Times New Roman" w:eastAsia="Calibri" w:hAnsi="Times New Roman" w:cs="Times New Roman"/>
          <w:sz w:val="24"/>
          <w:szCs w:val="24"/>
          <w:lang w:val="ro-RO"/>
        </w:rPr>
        <w:t>evidența timpului de muncă, salarizarea personalului, managementul performanței, demisia angajatului</w:t>
      </w:r>
      <w:r w:rsidRPr="00650D66">
        <w:rPr>
          <w:rFonts w:ascii="Times New Roman" w:eastAsia="Calibri" w:hAnsi="Times New Roman" w:cs="Times New Roman"/>
          <w:sz w:val="24"/>
          <w:szCs w:val="24"/>
          <w:vertAlign w:val="superscript"/>
          <w:lang w:val="ro-RO"/>
        </w:rPr>
        <w:footnoteReference w:id="88"/>
      </w:r>
      <w:r w:rsidRPr="00650D66">
        <w:rPr>
          <w:rFonts w:ascii="Times New Roman" w:eastAsia="Calibri" w:hAnsi="Times New Roman" w:cs="Times New Roman"/>
          <w:sz w:val="24"/>
          <w:szCs w:val="24"/>
          <w:lang w:val="ro-RO"/>
        </w:rPr>
        <w:t xml:space="preserve">.  </w:t>
      </w:r>
    </w:p>
    <w:p w14:paraId="1B28D572" w14:textId="77777777" w:rsidR="005A028C" w:rsidRPr="00650D66" w:rsidRDefault="005A028C" w:rsidP="00F12928">
      <w:pPr>
        <w:tabs>
          <w:tab w:val="left" w:pos="426"/>
        </w:tabs>
        <w:spacing w:line="276" w:lineRule="auto"/>
        <w:contextualSpacing/>
        <w:jc w:val="both"/>
        <w:rPr>
          <w:rFonts w:ascii="Times New Roman" w:eastAsia="Calibri" w:hAnsi="Times New Roman" w:cs="Times New Roman"/>
          <w:sz w:val="6"/>
          <w:szCs w:val="6"/>
          <w:lang w:val="ro-RO"/>
        </w:rPr>
      </w:pPr>
    </w:p>
    <w:p w14:paraId="08913C07" w14:textId="189CA864" w:rsidR="005A028C" w:rsidRPr="00650D66" w:rsidRDefault="005A028C" w:rsidP="005A028C">
      <w:pPr>
        <w:tabs>
          <w:tab w:val="left" w:pos="993"/>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atribuțiile de bază a</w:t>
      </w:r>
      <w:r w:rsidR="000760E5">
        <w:rPr>
          <w:rFonts w:ascii="Times New Roman" w:hAnsi="Times New Roman" w:cs="Times New Roman"/>
          <w:sz w:val="24"/>
          <w:szCs w:val="24"/>
          <w:lang w:val="ro-RO"/>
        </w:rPr>
        <w:t>le</w:t>
      </w:r>
      <w:r w:rsidRPr="00650D66">
        <w:rPr>
          <w:rFonts w:ascii="Times New Roman" w:hAnsi="Times New Roman" w:cs="Times New Roman"/>
          <w:sz w:val="24"/>
          <w:szCs w:val="24"/>
          <w:lang w:val="ro-RO"/>
        </w:rPr>
        <w:t xml:space="preserve"> DAI se include și monitorizarea și evaluarea nivelului de implementare a recomandărilor de audit</w:t>
      </w:r>
      <w:r w:rsidR="000760E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raportarea gradului de realizare a recomandărilor CS/CE/CA. Astfel, </w:t>
      </w:r>
      <w:r w:rsidR="000760E5">
        <w:rPr>
          <w:rFonts w:ascii="Times New Roman" w:hAnsi="Times New Roman" w:cs="Times New Roman"/>
          <w:sz w:val="24"/>
          <w:szCs w:val="24"/>
          <w:lang w:val="ro-RO"/>
        </w:rPr>
        <w:t xml:space="preserve">ca </w:t>
      </w:r>
      <w:r w:rsidRPr="00650D66">
        <w:rPr>
          <w:rFonts w:ascii="Times New Roman" w:hAnsi="Times New Roman" w:cs="Times New Roman"/>
          <w:sz w:val="24"/>
          <w:szCs w:val="24"/>
          <w:lang w:val="ro-RO"/>
        </w:rPr>
        <w:t xml:space="preserve">urmare </w:t>
      </w:r>
      <w:r w:rsidR="000760E5">
        <w:rPr>
          <w:rFonts w:ascii="Times New Roman" w:hAnsi="Times New Roman" w:cs="Times New Roman"/>
          <w:sz w:val="24"/>
          <w:szCs w:val="24"/>
          <w:lang w:val="ro-RO"/>
        </w:rPr>
        <w:t xml:space="preserve">a </w:t>
      </w:r>
      <w:r w:rsidRPr="00650D66">
        <w:rPr>
          <w:rFonts w:ascii="Times New Roman" w:hAnsi="Times New Roman" w:cs="Times New Roman"/>
          <w:sz w:val="24"/>
          <w:szCs w:val="24"/>
          <w:lang w:val="ro-RO"/>
        </w:rPr>
        <w:t>misiunilor de audit efectuate (9), au fost înaintate 16 recomandări și 8 propuneri. Auditul relevă că, în Manualul de audit</w:t>
      </w:r>
      <w:r w:rsidR="000760E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recomandarea și propunerea</w:t>
      </w:r>
      <w:r w:rsidR="000760E5">
        <w:rPr>
          <w:rFonts w:ascii="Times New Roman" w:hAnsi="Times New Roman" w:cs="Times New Roman"/>
          <w:sz w:val="24"/>
          <w:szCs w:val="24"/>
          <w:lang w:val="ro-RO"/>
        </w:rPr>
        <w:t xml:space="preserve"> </w:t>
      </w:r>
      <w:r w:rsidR="000760E5" w:rsidRPr="00650D66">
        <w:rPr>
          <w:rFonts w:ascii="Times New Roman" w:hAnsi="Times New Roman" w:cs="Times New Roman"/>
          <w:sz w:val="24"/>
          <w:szCs w:val="24"/>
          <w:lang w:val="ro-RO"/>
        </w:rPr>
        <w:t>se define</w:t>
      </w:r>
      <w:r w:rsidR="000760E5">
        <w:rPr>
          <w:rFonts w:ascii="Times New Roman" w:hAnsi="Times New Roman" w:cs="Times New Roman"/>
          <w:sz w:val="24"/>
          <w:szCs w:val="24"/>
          <w:lang w:val="ro-RO"/>
        </w:rPr>
        <w:t>sc</w:t>
      </w:r>
      <w:r w:rsidRPr="00650D66">
        <w:rPr>
          <w:rFonts w:ascii="Times New Roman" w:hAnsi="Times New Roman" w:cs="Times New Roman"/>
          <w:sz w:val="24"/>
          <w:szCs w:val="24"/>
          <w:lang w:val="ro-RO"/>
        </w:rPr>
        <w:t xml:space="preserve"> astfel: </w:t>
      </w:r>
      <w:r w:rsidRPr="00650D66">
        <w:rPr>
          <w:rFonts w:ascii="Times New Roman" w:hAnsi="Times New Roman" w:cs="Times New Roman"/>
          <w:i/>
          <w:sz w:val="24"/>
          <w:szCs w:val="24"/>
          <w:lang w:val="ro-RO"/>
        </w:rPr>
        <w:t>(i)</w:t>
      </w:r>
      <w:r w:rsidRPr="00650D66">
        <w:rPr>
          <w:rFonts w:ascii="Times New Roman" w:hAnsi="Times New Roman" w:cs="Times New Roman"/>
          <w:sz w:val="24"/>
          <w:szCs w:val="24"/>
          <w:lang w:val="ro-RO"/>
        </w:rPr>
        <w:t xml:space="preserve"> </w:t>
      </w:r>
      <w:r w:rsidR="000760E5">
        <w:rPr>
          <w:rFonts w:ascii="Times New Roman" w:hAnsi="Times New Roman" w:cs="Times New Roman"/>
          <w:i/>
          <w:sz w:val="24"/>
          <w:szCs w:val="24"/>
          <w:lang w:val="ro-RO"/>
        </w:rPr>
        <w:t>r</w:t>
      </w:r>
      <w:r w:rsidRPr="00650D66">
        <w:rPr>
          <w:rFonts w:ascii="Times New Roman" w:hAnsi="Times New Roman" w:cs="Times New Roman"/>
          <w:i/>
          <w:sz w:val="24"/>
          <w:szCs w:val="24"/>
          <w:lang w:val="ro-RO"/>
        </w:rPr>
        <w:t>ecomandare</w:t>
      </w:r>
      <w:r w:rsidRPr="00650D66">
        <w:rPr>
          <w:rFonts w:ascii="Times New Roman" w:hAnsi="Times New Roman" w:cs="Times New Roman"/>
          <w:b/>
          <w:i/>
          <w:sz w:val="24"/>
          <w:szCs w:val="24"/>
          <w:lang w:val="ro-RO"/>
        </w:rPr>
        <w:t xml:space="preserve"> –</w:t>
      </w:r>
      <w:r w:rsidRPr="00650D66">
        <w:rPr>
          <w:rFonts w:ascii="Times New Roman" w:hAnsi="Times New Roman" w:cs="Times New Roman"/>
          <w:sz w:val="24"/>
          <w:szCs w:val="24"/>
          <w:lang w:val="ro-RO"/>
        </w:rPr>
        <w:t xml:space="preserve"> rezultă din constatări ce implică careva riscuri și necesită acțiuni din partea subdiviziunii; </w:t>
      </w:r>
      <w:r w:rsidRPr="00650D66">
        <w:rPr>
          <w:rFonts w:ascii="Times New Roman" w:hAnsi="Times New Roman" w:cs="Times New Roman"/>
          <w:i/>
          <w:sz w:val="24"/>
          <w:szCs w:val="24"/>
          <w:lang w:val="ro-RO"/>
        </w:rPr>
        <w:t>(ii)</w:t>
      </w:r>
      <w:r w:rsidRPr="00650D66">
        <w:rPr>
          <w:rFonts w:ascii="Times New Roman" w:hAnsi="Times New Roman" w:cs="Times New Roman"/>
          <w:sz w:val="24"/>
          <w:szCs w:val="24"/>
          <w:lang w:val="ro-RO"/>
        </w:rPr>
        <w:t xml:space="preserve"> </w:t>
      </w:r>
      <w:r w:rsidR="000760E5">
        <w:rPr>
          <w:rFonts w:ascii="Times New Roman" w:hAnsi="Times New Roman" w:cs="Times New Roman"/>
          <w:i/>
          <w:sz w:val="24"/>
          <w:szCs w:val="24"/>
          <w:lang w:val="ro-RO"/>
        </w:rPr>
        <w:t>p</w:t>
      </w:r>
      <w:r w:rsidRPr="00650D66">
        <w:rPr>
          <w:rFonts w:ascii="Times New Roman" w:hAnsi="Times New Roman" w:cs="Times New Roman"/>
          <w:i/>
          <w:sz w:val="24"/>
          <w:szCs w:val="24"/>
          <w:lang w:val="ro-RO"/>
        </w:rPr>
        <w:t>ropunere</w:t>
      </w:r>
      <w:r w:rsidRPr="00650D66">
        <w:rPr>
          <w:rFonts w:ascii="Times New Roman" w:hAnsi="Times New Roman" w:cs="Times New Roman"/>
          <w:b/>
          <w:i/>
          <w:sz w:val="24"/>
          <w:szCs w:val="24"/>
          <w:lang w:val="ro-RO"/>
        </w:rPr>
        <w:t xml:space="preserve"> –</w:t>
      </w:r>
      <w:r w:rsidRPr="00650D66">
        <w:rPr>
          <w:rFonts w:ascii="Times New Roman" w:hAnsi="Times New Roman" w:cs="Times New Roman"/>
          <w:sz w:val="24"/>
          <w:szCs w:val="24"/>
          <w:lang w:val="ro-RO"/>
        </w:rPr>
        <w:t xml:space="preserve"> este o oportunitate de îmbunătățire.</w:t>
      </w:r>
    </w:p>
    <w:p w14:paraId="46B88234" w14:textId="77777777" w:rsidR="005A028C" w:rsidRPr="00650D66" w:rsidRDefault="005A028C" w:rsidP="005A028C">
      <w:pPr>
        <w:tabs>
          <w:tab w:val="left" w:pos="993"/>
        </w:tabs>
        <w:spacing w:after="0" w:line="276" w:lineRule="auto"/>
        <w:jc w:val="both"/>
        <w:rPr>
          <w:rFonts w:ascii="Times New Roman" w:hAnsi="Times New Roman" w:cs="Times New Roman"/>
          <w:sz w:val="6"/>
          <w:szCs w:val="6"/>
          <w:lang w:val="ro-RO"/>
        </w:rPr>
      </w:pPr>
    </w:p>
    <w:p w14:paraId="2F67DE6E" w14:textId="38F2224B" w:rsidR="005A028C" w:rsidRPr="00650D66" w:rsidRDefault="005A028C" w:rsidP="005A028C">
      <w:pPr>
        <w:tabs>
          <w:tab w:val="left" w:pos="993"/>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Conform informații</w:t>
      </w:r>
      <w:r w:rsidR="000760E5">
        <w:rPr>
          <w:rFonts w:ascii="Times New Roman" w:hAnsi="Times New Roman" w:cs="Times New Roman"/>
          <w:sz w:val="24"/>
          <w:szCs w:val="24"/>
          <w:lang w:val="ro-RO"/>
        </w:rPr>
        <w:t>lor</w:t>
      </w:r>
      <w:r w:rsidRPr="00650D66">
        <w:rPr>
          <w:rFonts w:ascii="Times New Roman" w:hAnsi="Times New Roman" w:cs="Times New Roman"/>
          <w:sz w:val="24"/>
          <w:szCs w:val="24"/>
          <w:lang w:val="ro-RO"/>
        </w:rPr>
        <w:t xml:space="preserve"> prezentate auditului, din cele 16 recomandări înaintate</w:t>
      </w:r>
      <w:r w:rsidR="000760E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doar o recomandare este considerată funcțională</w:t>
      </w:r>
      <w:r w:rsidR="000760E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iar </w:t>
      </w:r>
      <w:r w:rsidR="000760E5">
        <w:rPr>
          <w:rFonts w:ascii="Times New Roman" w:hAnsi="Times New Roman" w:cs="Times New Roman"/>
          <w:sz w:val="24"/>
          <w:szCs w:val="24"/>
          <w:lang w:val="ro-RO"/>
        </w:rPr>
        <w:t>pentru</w:t>
      </w:r>
      <w:r w:rsidRPr="00650D66">
        <w:rPr>
          <w:rFonts w:ascii="Times New Roman" w:hAnsi="Times New Roman" w:cs="Times New Roman"/>
          <w:sz w:val="24"/>
          <w:szCs w:val="24"/>
          <w:lang w:val="ro-RO"/>
        </w:rPr>
        <w:t xml:space="preserve"> 15 recomandări </w:t>
      </w:r>
      <w:r w:rsidR="000760E5">
        <w:rPr>
          <w:rFonts w:ascii="Times New Roman" w:hAnsi="Times New Roman" w:cs="Times New Roman"/>
          <w:sz w:val="24"/>
          <w:szCs w:val="24"/>
          <w:lang w:val="ro-RO"/>
        </w:rPr>
        <w:t>sunt</w:t>
      </w:r>
      <w:r w:rsidRPr="00650D66">
        <w:rPr>
          <w:rFonts w:ascii="Times New Roman" w:hAnsi="Times New Roman" w:cs="Times New Roman"/>
          <w:sz w:val="24"/>
          <w:szCs w:val="24"/>
          <w:lang w:val="ro-RO"/>
        </w:rPr>
        <w:t xml:space="preserve"> neces</w:t>
      </w:r>
      <w:r w:rsidR="000760E5">
        <w:rPr>
          <w:rFonts w:ascii="Times New Roman" w:hAnsi="Times New Roman" w:cs="Times New Roman"/>
          <w:sz w:val="24"/>
          <w:szCs w:val="24"/>
          <w:lang w:val="ro-RO"/>
        </w:rPr>
        <w:t>are</w:t>
      </w:r>
      <w:r w:rsidRPr="00650D66">
        <w:rPr>
          <w:rFonts w:ascii="Times New Roman" w:hAnsi="Times New Roman" w:cs="Times New Roman"/>
          <w:sz w:val="24"/>
          <w:szCs w:val="24"/>
          <w:lang w:val="ro-RO"/>
        </w:rPr>
        <w:t xml:space="preserve"> îmbunătățiri minore, ceea ce denotă că sistemul de control intern urmează a fi îmbunătățit.</w:t>
      </w:r>
    </w:p>
    <w:p w14:paraId="3ECCFE20" w14:textId="24F5ED29" w:rsidR="005A028C" w:rsidRPr="00650D66" w:rsidRDefault="005A028C" w:rsidP="005A028C">
      <w:pPr>
        <w:tabs>
          <w:tab w:val="left" w:pos="993"/>
        </w:tabs>
        <w:spacing w:after="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lastRenderedPageBreak/>
        <w:t>Totodată, din cele 8 propuneri înaintate, 6 au fost realizate</w:t>
      </w:r>
      <w:r w:rsidR="000760E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iar 2 s</w:t>
      </w:r>
      <w:r w:rsidR="000760E5">
        <w:rPr>
          <w:rFonts w:ascii="Times New Roman" w:hAnsi="Times New Roman" w:cs="Times New Roman"/>
          <w:sz w:val="24"/>
          <w:szCs w:val="24"/>
          <w:lang w:val="ro-RO"/>
        </w:rPr>
        <w:t>u</w:t>
      </w:r>
      <w:r w:rsidRPr="00650D66">
        <w:rPr>
          <w:rFonts w:ascii="Times New Roman" w:hAnsi="Times New Roman" w:cs="Times New Roman"/>
          <w:sz w:val="24"/>
          <w:szCs w:val="24"/>
          <w:lang w:val="ro-RO"/>
        </w:rPr>
        <w:t>nt în proces de definitivare</w:t>
      </w:r>
      <w:r w:rsidR="000760E5">
        <w:rPr>
          <w:rFonts w:ascii="Times New Roman" w:hAnsi="Times New Roman" w:cs="Times New Roman"/>
          <w:sz w:val="24"/>
          <w:szCs w:val="24"/>
          <w:lang w:val="ro-RO"/>
        </w:rPr>
        <w:t>,</w:t>
      </w:r>
      <w:r w:rsidRPr="00650D66">
        <w:rPr>
          <w:rFonts w:ascii="Times New Roman" w:hAnsi="Times New Roman" w:cs="Times New Roman"/>
          <w:sz w:val="24"/>
          <w:szCs w:val="24"/>
          <w:lang w:val="ro-RO"/>
        </w:rPr>
        <w:t xml:space="preserve"> fiind</w:t>
      </w:r>
      <w:r w:rsidR="007C5B3B" w:rsidRPr="00650D66">
        <w:rPr>
          <w:rFonts w:ascii="Times New Roman" w:hAnsi="Times New Roman" w:cs="Times New Roman"/>
          <w:sz w:val="24"/>
          <w:szCs w:val="24"/>
          <w:lang w:val="ro-RO"/>
        </w:rPr>
        <w:t xml:space="preserve"> extinse termenele de realizare.</w:t>
      </w:r>
      <w:r w:rsidRPr="00650D66">
        <w:rPr>
          <w:rFonts w:ascii="Times New Roman" w:hAnsi="Times New Roman" w:cs="Times New Roman"/>
          <w:sz w:val="24"/>
          <w:szCs w:val="24"/>
          <w:lang w:val="ro-RO"/>
        </w:rPr>
        <w:t xml:space="preserve"> </w:t>
      </w:r>
      <w:r w:rsidR="009F55E2" w:rsidRPr="00650D66">
        <w:rPr>
          <w:rFonts w:ascii="Times New Roman" w:hAnsi="Times New Roman" w:cs="Times New Roman"/>
          <w:sz w:val="24"/>
          <w:szCs w:val="24"/>
          <w:lang w:val="ro-RO"/>
        </w:rPr>
        <w:t>În viziunea auditului</w:t>
      </w:r>
      <w:r w:rsidRPr="00650D66">
        <w:rPr>
          <w:rFonts w:ascii="Times New Roman" w:hAnsi="Times New Roman" w:cs="Times New Roman"/>
          <w:sz w:val="24"/>
          <w:szCs w:val="24"/>
          <w:lang w:val="ro-RO"/>
        </w:rPr>
        <w:t xml:space="preserve">, aceste </w:t>
      </w:r>
      <w:r w:rsidR="007C5B3B" w:rsidRPr="00650D66">
        <w:rPr>
          <w:rFonts w:ascii="Times New Roman" w:hAnsi="Times New Roman" w:cs="Times New Roman"/>
          <w:sz w:val="24"/>
          <w:szCs w:val="24"/>
          <w:lang w:val="ro-RO"/>
        </w:rPr>
        <w:t xml:space="preserve">2 propuneri </w:t>
      </w:r>
      <w:r w:rsidRPr="00650D66">
        <w:rPr>
          <w:rFonts w:ascii="Times New Roman" w:hAnsi="Times New Roman" w:cs="Times New Roman"/>
          <w:sz w:val="24"/>
          <w:szCs w:val="24"/>
          <w:lang w:val="ro-RO"/>
        </w:rPr>
        <w:t xml:space="preserve">se încadrează mai mult în </w:t>
      </w:r>
      <w:r w:rsidR="000760E5">
        <w:rPr>
          <w:rFonts w:ascii="Times New Roman" w:hAnsi="Times New Roman" w:cs="Times New Roman"/>
          <w:sz w:val="24"/>
          <w:szCs w:val="24"/>
          <w:lang w:val="ro-RO"/>
        </w:rPr>
        <w:t>categoria</w:t>
      </w:r>
      <w:r w:rsidRPr="00650D66">
        <w:rPr>
          <w:rFonts w:ascii="Times New Roman" w:hAnsi="Times New Roman" w:cs="Times New Roman"/>
          <w:sz w:val="24"/>
          <w:szCs w:val="24"/>
          <w:lang w:val="ro-RO"/>
        </w:rPr>
        <w:t xml:space="preserve"> recomand</w:t>
      </w:r>
      <w:r w:rsidR="000760E5">
        <w:rPr>
          <w:rFonts w:ascii="Times New Roman" w:hAnsi="Times New Roman" w:cs="Times New Roman"/>
          <w:sz w:val="24"/>
          <w:szCs w:val="24"/>
          <w:lang w:val="ro-RO"/>
        </w:rPr>
        <w:t>ărilor</w:t>
      </w:r>
      <w:r w:rsidRPr="00650D66">
        <w:rPr>
          <w:rFonts w:ascii="Times New Roman" w:hAnsi="Times New Roman" w:cs="Times New Roman"/>
          <w:sz w:val="24"/>
          <w:szCs w:val="24"/>
          <w:lang w:val="ro-RO"/>
        </w:rPr>
        <w:t xml:space="preserve"> și nu </w:t>
      </w:r>
      <w:r w:rsidR="000760E5">
        <w:rPr>
          <w:rFonts w:ascii="Times New Roman" w:hAnsi="Times New Roman" w:cs="Times New Roman"/>
          <w:sz w:val="24"/>
          <w:szCs w:val="24"/>
          <w:lang w:val="ro-RO"/>
        </w:rPr>
        <w:t xml:space="preserve">reprezintă </w:t>
      </w:r>
      <w:r w:rsidRPr="00650D66">
        <w:rPr>
          <w:rFonts w:ascii="Times New Roman" w:hAnsi="Times New Roman" w:cs="Times New Roman"/>
          <w:sz w:val="24"/>
          <w:szCs w:val="24"/>
          <w:lang w:val="ro-RO"/>
        </w:rPr>
        <w:t>o oportunitate de îmbunătățire.</w:t>
      </w:r>
    </w:p>
    <w:p w14:paraId="593DD522" w14:textId="77777777" w:rsidR="009B2EDC" w:rsidRPr="00650D66" w:rsidRDefault="009B2EDC" w:rsidP="005A028C">
      <w:pPr>
        <w:tabs>
          <w:tab w:val="left" w:pos="993"/>
        </w:tabs>
        <w:spacing w:after="0" w:line="276" w:lineRule="auto"/>
        <w:jc w:val="both"/>
        <w:rPr>
          <w:rFonts w:ascii="Times New Roman" w:hAnsi="Times New Roman" w:cs="Times New Roman"/>
          <w:sz w:val="6"/>
          <w:szCs w:val="6"/>
          <w:lang w:val="ro-RO"/>
        </w:rPr>
      </w:pPr>
    </w:p>
    <w:p w14:paraId="34266C71" w14:textId="77777777" w:rsidR="00C969DA" w:rsidRPr="00650D66" w:rsidRDefault="005A028C" w:rsidP="000F1652">
      <w:pPr>
        <w:tabs>
          <w:tab w:val="left" w:pos="993"/>
        </w:tabs>
        <w:spacing w:after="0"/>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Auditul a constatat că, deși recomandările/propunerile înaintate și termenul de implementare a acestora se acceptă de către subdiviziunile responsabile, de fapt nu se implementează pe deplin în termenul stabilit, fiind întocmite note de prelungire a termenului.</w:t>
      </w:r>
    </w:p>
    <w:p w14:paraId="411B04E4" w14:textId="77777777" w:rsidR="000F1652" w:rsidRPr="00650D66" w:rsidRDefault="000F1652" w:rsidP="000F1652">
      <w:pPr>
        <w:tabs>
          <w:tab w:val="left" w:pos="993"/>
        </w:tabs>
        <w:spacing w:after="0"/>
        <w:jc w:val="both"/>
        <w:rPr>
          <w:rFonts w:ascii="Times New Roman" w:hAnsi="Times New Roman" w:cs="Times New Roman"/>
          <w:sz w:val="24"/>
          <w:szCs w:val="24"/>
          <w:lang w:val="ro-RO"/>
        </w:rPr>
      </w:pPr>
    </w:p>
    <w:p w14:paraId="44977080" w14:textId="09980980" w:rsidR="00660D0A" w:rsidRPr="00650D66" w:rsidRDefault="00660D0A" w:rsidP="000F55DF">
      <w:pPr>
        <w:pStyle w:val="ListParagraph"/>
        <w:tabs>
          <w:tab w:val="left" w:pos="426"/>
        </w:tabs>
        <w:spacing w:after="0" w:line="276" w:lineRule="auto"/>
        <w:ind w:left="0"/>
        <w:jc w:val="both"/>
        <w:outlineLvl w:val="1"/>
        <w:rPr>
          <w:rFonts w:ascii="Times New Roman" w:eastAsia="Calibri" w:hAnsi="Times New Roman" w:cs="Times New Roman"/>
          <w:b/>
          <w:sz w:val="24"/>
          <w:szCs w:val="24"/>
          <w:lang w:val="ro-RO"/>
        </w:rPr>
      </w:pPr>
      <w:bookmarkStart w:id="22" w:name="_Toc159413646"/>
      <w:r w:rsidRPr="00650D66">
        <w:rPr>
          <w:rFonts w:ascii="Times New Roman" w:eastAsia="Calibri" w:hAnsi="Times New Roman" w:cs="Times New Roman"/>
          <w:b/>
          <w:sz w:val="24"/>
          <w:szCs w:val="24"/>
          <w:lang w:val="ro-RO"/>
        </w:rPr>
        <w:t xml:space="preserve">4.5 Implementarea </w:t>
      </w:r>
      <w:r w:rsidR="000760E5" w:rsidRPr="00650D66">
        <w:rPr>
          <w:rFonts w:ascii="Times New Roman" w:eastAsia="Calibri" w:hAnsi="Times New Roman" w:cs="Times New Roman"/>
          <w:b/>
          <w:sz w:val="24"/>
          <w:szCs w:val="24"/>
          <w:lang w:val="ro-RO"/>
        </w:rPr>
        <w:t>la nivel de 93,8%</w:t>
      </w:r>
      <w:r w:rsidR="000760E5">
        <w:rPr>
          <w:rFonts w:ascii="Times New Roman" w:eastAsia="Calibri" w:hAnsi="Times New Roman" w:cs="Times New Roman"/>
          <w:b/>
          <w:sz w:val="24"/>
          <w:szCs w:val="24"/>
          <w:lang w:val="ro-RO"/>
        </w:rPr>
        <w:t xml:space="preserve"> a </w:t>
      </w:r>
      <w:r w:rsidRPr="00650D66">
        <w:rPr>
          <w:rFonts w:ascii="Times New Roman" w:eastAsia="Calibri" w:hAnsi="Times New Roman" w:cs="Times New Roman"/>
          <w:b/>
          <w:sz w:val="24"/>
          <w:szCs w:val="24"/>
          <w:lang w:val="ro-RO"/>
        </w:rPr>
        <w:t xml:space="preserve">recomandărilor din Hotărârea </w:t>
      </w:r>
      <w:r w:rsidR="00465B06" w:rsidRPr="00650D66">
        <w:rPr>
          <w:rFonts w:ascii="Times New Roman" w:eastAsia="Calibri" w:hAnsi="Times New Roman" w:cs="Times New Roman"/>
          <w:b/>
          <w:sz w:val="24"/>
          <w:szCs w:val="24"/>
          <w:lang w:val="ro-RO"/>
        </w:rPr>
        <w:t xml:space="preserve">Curții de Conturi </w:t>
      </w:r>
      <w:r w:rsidRPr="00650D66">
        <w:rPr>
          <w:rFonts w:ascii="Times New Roman" w:eastAsia="Calibri" w:hAnsi="Times New Roman" w:cs="Times New Roman"/>
          <w:b/>
          <w:sz w:val="24"/>
          <w:szCs w:val="24"/>
          <w:lang w:val="ro-RO"/>
        </w:rPr>
        <w:t>precedentă</w:t>
      </w:r>
      <w:bookmarkEnd w:id="22"/>
    </w:p>
    <w:p w14:paraId="00C3B7E5" w14:textId="7D1FC427" w:rsidR="008366F3" w:rsidRPr="00650D66" w:rsidRDefault="008A1327" w:rsidP="007453DA">
      <w:pPr>
        <w:spacing w:after="0" w:line="276" w:lineRule="auto"/>
        <w:jc w:val="both"/>
        <w:rPr>
          <w:rFonts w:ascii="Times New Roman" w:eastAsia="Times New Roman" w:hAnsi="Times New Roman" w:cs="Times New Roman"/>
          <w:bCs/>
          <w:sz w:val="24"/>
          <w:szCs w:val="24"/>
          <w:lang w:val="ro-RO"/>
        </w:rPr>
      </w:pPr>
      <w:r w:rsidRPr="00650D66">
        <w:rPr>
          <w:rFonts w:ascii="Times New Roman" w:hAnsi="Times New Roman" w:cs="Times New Roman"/>
          <w:sz w:val="24"/>
          <w:szCs w:val="24"/>
          <w:lang w:val="ro-RO"/>
        </w:rPr>
        <w:t xml:space="preserve">Prin Hotărârea Curții de Conturi </w:t>
      </w:r>
      <w:r w:rsidRPr="00650D66">
        <w:rPr>
          <w:rFonts w:ascii="Times New Roman" w:hAnsi="Times New Roman" w:cs="Times New Roman"/>
          <w:bCs/>
          <w:iCs/>
          <w:sz w:val="24"/>
          <w:szCs w:val="24"/>
          <w:lang w:val="ro-RO"/>
        </w:rPr>
        <w:t>nr.62 din 05.11.2019</w:t>
      </w:r>
      <w:r w:rsidRPr="00650D66">
        <w:rPr>
          <w:rFonts w:ascii="Times New Roman" w:hAnsi="Times New Roman" w:cs="Times New Roman"/>
          <w:bCs/>
          <w:iCs/>
          <w:sz w:val="24"/>
          <w:szCs w:val="24"/>
          <w:vertAlign w:val="superscript"/>
          <w:lang w:val="ro-RO"/>
        </w:rPr>
        <w:footnoteReference w:id="89"/>
      </w:r>
      <w:r w:rsidR="007B4363">
        <w:rPr>
          <w:rFonts w:ascii="Times New Roman" w:hAnsi="Times New Roman" w:cs="Times New Roman"/>
          <w:bCs/>
          <w:iCs/>
          <w:sz w:val="24"/>
          <w:szCs w:val="24"/>
          <w:lang w:val="ro-RO"/>
        </w:rPr>
        <w:t xml:space="preserve">, </w:t>
      </w:r>
      <w:r w:rsidR="00760D64" w:rsidRPr="00650D66">
        <w:rPr>
          <w:rFonts w:ascii="Times New Roman" w:hAnsi="Times New Roman" w:cs="Times New Roman"/>
          <w:bCs/>
          <w:iCs/>
          <w:sz w:val="24"/>
          <w:szCs w:val="24"/>
          <w:lang w:val="ro-RO"/>
        </w:rPr>
        <w:t>BNM</w:t>
      </w:r>
      <w:r w:rsidRPr="00650D66">
        <w:rPr>
          <w:rFonts w:ascii="Times New Roman" w:hAnsi="Times New Roman" w:cs="Times New Roman"/>
          <w:bCs/>
          <w:iCs/>
          <w:sz w:val="24"/>
          <w:szCs w:val="24"/>
          <w:lang w:val="ro-RO"/>
        </w:rPr>
        <w:t xml:space="preserve"> </w:t>
      </w:r>
      <w:r w:rsidRPr="00650D66">
        <w:rPr>
          <w:rFonts w:ascii="Times New Roman" w:hAnsi="Times New Roman" w:cs="Times New Roman"/>
          <w:sz w:val="24"/>
          <w:szCs w:val="24"/>
          <w:lang w:val="ro-RO"/>
        </w:rPr>
        <w:t xml:space="preserve">i-au fost înaintate </w:t>
      </w:r>
      <w:r w:rsidR="009A6B34" w:rsidRPr="00650D66">
        <w:rPr>
          <w:rFonts w:ascii="Times New Roman" w:hAnsi="Times New Roman" w:cs="Times New Roman"/>
          <w:bCs/>
          <w:iCs/>
          <w:sz w:val="24"/>
          <w:szCs w:val="24"/>
          <w:lang w:val="ro-RO"/>
        </w:rPr>
        <w:t>7</w:t>
      </w:r>
      <w:r w:rsidR="00760D64" w:rsidRPr="00650D66">
        <w:rPr>
          <w:rFonts w:ascii="Times New Roman" w:hAnsi="Times New Roman" w:cs="Times New Roman"/>
          <w:bCs/>
          <w:iCs/>
          <w:sz w:val="24"/>
          <w:szCs w:val="24"/>
          <w:lang w:val="ro-RO"/>
        </w:rPr>
        <w:t xml:space="preserve"> recomandări</w:t>
      </w:r>
      <w:r w:rsidR="00537CB4" w:rsidRPr="00650D66">
        <w:rPr>
          <w:rFonts w:ascii="Times New Roman" w:eastAsiaTheme="minorEastAsia" w:hAnsi="Times New Roman" w:cs="Times New Roman"/>
          <w:bCs/>
          <w:sz w:val="24"/>
          <w:szCs w:val="24"/>
          <w:lang w:val="ro-RO"/>
        </w:rPr>
        <w:t xml:space="preserve"> și MF </w:t>
      </w:r>
      <w:r w:rsidR="004A5CE7">
        <w:rPr>
          <w:rFonts w:ascii="Times New Roman" w:eastAsiaTheme="minorEastAsia" w:hAnsi="Times New Roman" w:cs="Times New Roman"/>
          <w:bCs/>
          <w:sz w:val="24"/>
          <w:szCs w:val="24"/>
          <w:lang w:val="ro-RO"/>
        </w:rPr>
        <w:t xml:space="preserve">– </w:t>
      </w:r>
      <w:r w:rsidR="00537CB4" w:rsidRPr="00650D66">
        <w:rPr>
          <w:rFonts w:ascii="Times New Roman" w:eastAsiaTheme="minorEastAsia" w:hAnsi="Times New Roman" w:cs="Times New Roman"/>
          <w:bCs/>
          <w:sz w:val="24"/>
          <w:szCs w:val="24"/>
          <w:lang w:val="ro-RO"/>
        </w:rPr>
        <w:t xml:space="preserve">o recomandare. </w:t>
      </w:r>
      <w:r w:rsidRPr="00650D66">
        <w:rPr>
          <w:rFonts w:ascii="Times New Roman" w:eastAsia="Calibri" w:hAnsi="Times New Roman" w:cs="Times New Roman"/>
          <w:sz w:val="24"/>
          <w:szCs w:val="24"/>
          <w:lang w:val="ro-RO"/>
        </w:rPr>
        <w:t>Recomandările</w:t>
      </w:r>
      <w:r w:rsidR="00F849AE">
        <w:rPr>
          <w:rFonts w:ascii="Times New Roman" w:eastAsia="Calibri" w:hAnsi="Times New Roman" w:cs="Times New Roman"/>
          <w:sz w:val="24"/>
          <w:szCs w:val="24"/>
          <w:lang w:val="ro-RO"/>
        </w:rPr>
        <w:t xml:space="preserve"> </w:t>
      </w:r>
      <w:r w:rsidRPr="00650D66">
        <w:rPr>
          <w:rFonts w:ascii="Times New Roman" w:eastAsia="Calibri" w:hAnsi="Times New Roman" w:cs="Times New Roman"/>
          <w:sz w:val="24"/>
          <w:szCs w:val="24"/>
          <w:lang w:val="ro-RO"/>
        </w:rPr>
        <w:t xml:space="preserve">au fost evaluate de audit ca implementate, doar o recomandare fiind evaluată ca parțial implementată, sau cumulativ realizate la nivel de </w:t>
      </w:r>
      <w:r w:rsidR="00F221A6" w:rsidRPr="00650D66">
        <w:rPr>
          <w:rFonts w:ascii="Times New Roman" w:eastAsia="Calibri" w:hAnsi="Times New Roman" w:cs="Times New Roman"/>
          <w:sz w:val="24"/>
          <w:szCs w:val="24"/>
          <w:lang w:val="ro-RO"/>
        </w:rPr>
        <w:t>93,8</w:t>
      </w:r>
      <w:r w:rsidRPr="00650D66">
        <w:rPr>
          <w:rFonts w:ascii="Times New Roman" w:eastAsia="Calibri" w:hAnsi="Times New Roman" w:cs="Times New Roman"/>
          <w:sz w:val="24"/>
          <w:szCs w:val="24"/>
          <w:lang w:val="ro-RO"/>
        </w:rPr>
        <w:t>%.</w:t>
      </w:r>
      <w:r w:rsidRPr="00650D66">
        <w:rPr>
          <w:rFonts w:ascii="Times New Roman" w:eastAsia="Times New Roman" w:hAnsi="Times New Roman" w:cs="Times New Roman"/>
          <w:bCs/>
          <w:sz w:val="24"/>
          <w:szCs w:val="24"/>
          <w:lang w:val="ro-RO"/>
        </w:rPr>
        <w:t xml:space="preserve"> </w:t>
      </w:r>
    </w:p>
    <w:p w14:paraId="6F72740D" w14:textId="77777777" w:rsidR="008F2468" w:rsidRPr="00650D66" w:rsidRDefault="009E67FD" w:rsidP="007453DA">
      <w:pPr>
        <w:spacing w:after="0" w:line="276" w:lineRule="auto"/>
        <w:jc w:val="both"/>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La recomandarea</w:t>
      </w:r>
      <w:r w:rsidR="008F2468" w:rsidRPr="00650D66">
        <w:rPr>
          <w:rFonts w:ascii="Times New Roman" w:eastAsia="Times New Roman" w:hAnsi="Times New Roman" w:cs="Times New Roman"/>
          <w:bCs/>
          <w:sz w:val="24"/>
          <w:szCs w:val="24"/>
          <w:lang w:val="ro-RO"/>
        </w:rPr>
        <w:t xml:space="preserve"> înaintată BNM</w:t>
      </w:r>
      <w:r w:rsidRPr="00650D66">
        <w:rPr>
          <w:rFonts w:ascii="Times New Roman" w:eastAsia="Times New Roman" w:hAnsi="Times New Roman" w:cs="Times New Roman"/>
          <w:bCs/>
          <w:sz w:val="24"/>
          <w:szCs w:val="24"/>
          <w:lang w:val="ro-RO"/>
        </w:rPr>
        <w:t xml:space="preserve"> </w:t>
      </w:r>
      <w:r w:rsidRPr="00650D66">
        <w:rPr>
          <w:rFonts w:ascii="Times New Roman" w:eastAsia="Times New Roman" w:hAnsi="Times New Roman" w:cs="Times New Roman"/>
          <w:bCs/>
          <w:i/>
          <w:sz w:val="24"/>
          <w:szCs w:val="24"/>
          <w:lang w:val="ro-RO"/>
        </w:rPr>
        <w:t xml:space="preserve">,,Să ajusteze reglementările interne cu prevederi exhaustive aferente cheltuielilor de promovare a imaginii BNM”, </w:t>
      </w:r>
      <w:r w:rsidR="008F2468" w:rsidRPr="00650D66">
        <w:rPr>
          <w:rFonts w:ascii="Times New Roman" w:eastAsia="Times New Roman" w:hAnsi="Times New Roman" w:cs="Times New Roman"/>
          <w:bCs/>
          <w:sz w:val="24"/>
          <w:szCs w:val="24"/>
          <w:lang w:val="ro-RO"/>
        </w:rPr>
        <w:t>s-a afirmat că proiectul Regulamentului a fost completat cu tipurile de cheltuieli de reprezentanță, care includ și cheltuielile privind organizarea evenimentelor de promovare a imaginii BNM cu reglementările procedurale aferente, dar se află repetat la etapa de coordonare și avizare în subdiviziunile implicate, cu extinderea termenului de realizare.</w:t>
      </w:r>
    </w:p>
    <w:p w14:paraId="14DB08D8" w14:textId="2CBDAF7D" w:rsidR="00661C77" w:rsidRPr="00650D66" w:rsidRDefault="008A1327" w:rsidP="007453DA">
      <w:pPr>
        <w:spacing w:after="0" w:line="276" w:lineRule="auto"/>
        <w:jc w:val="both"/>
        <w:rPr>
          <w:rFonts w:ascii="Times New Roman" w:eastAsia="Times New Roman" w:hAnsi="Times New Roman" w:cs="Times New Roman"/>
          <w:bCs/>
          <w:sz w:val="24"/>
          <w:szCs w:val="24"/>
          <w:lang w:val="ro-RO"/>
        </w:rPr>
      </w:pPr>
      <w:r w:rsidRPr="00650D66">
        <w:rPr>
          <w:rFonts w:ascii="Times New Roman" w:eastAsia="Times New Roman" w:hAnsi="Times New Roman" w:cs="Times New Roman"/>
          <w:bCs/>
          <w:sz w:val="24"/>
          <w:szCs w:val="24"/>
          <w:lang w:val="ro-RO"/>
        </w:rPr>
        <w:t xml:space="preserve">Astfel, nivelul de implementare permite excluderea hotărârii sus-menționate din regim de monitorizare, cu reiterarea </w:t>
      </w:r>
      <w:r w:rsidR="004A5CE7">
        <w:rPr>
          <w:rFonts w:ascii="Times New Roman" w:eastAsia="Times New Roman" w:hAnsi="Times New Roman" w:cs="Times New Roman"/>
          <w:bCs/>
          <w:sz w:val="24"/>
          <w:szCs w:val="24"/>
          <w:lang w:val="ro-RO"/>
        </w:rPr>
        <w:t xml:space="preserve">în prezentul Raport a </w:t>
      </w:r>
      <w:r w:rsidRPr="00650D66">
        <w:rPr>
          <w:rFonts w:ascii="Times New Roman" w:eastAsia="Times New Roman" w:hAnsi="Times New Roman" w:cs="Times New Roman"/>
          <w:bCs/>
          <w:sz w:val="24"/>
          <w:szCs w:val="24"/>
          <w:lang w:val="ro-RO"/>
        </w:rPr>
        <w:t>unor problematici vizate.</w:t>
      </w:r>
      <w:r w:rsidR="007453DA" w:rsidRPr="00650D66">
        <w:rPr>
          <w:rFonts w:ascii="Times New Roman" w:eastAsia="Times New Roman" w:hAnsi="Times New Roman" w:cs="Times New Roman"/>
          <w:i/>
          <w:sz w:val="24"/>
          <w:szCs w:val="24"/>
          <w:lang w:val="ro-RO" w:eastAsia="lv-LV"/>
        </w:rPr>
        <w:t xml:space="preserve"> Rezultatele verificărilor efectuate, precum și informațiile prezentate de BNM/MF în vederea executării recomandărilor din </w:t>
      </w:r>
      <w:r w:rsidR="006C4EF9" w:rsidRPr="00650D66">
        <w:rPr>
          <w:rFonts w:ascii="Times New Roman" w:eastAsia="Times New Roman" w:hAnsi="Times New Roman" w:cs="Times New Roman"/>
          <w:i/>
          <w:sz w:val="24"/>
          <w:szCs w:val="24"/>
          <w:lang w:val="ro-RO" w:eastAsia="lv-LV"/>
        </w:rPr>
        <w:t xml:space="preserve">Hotărârea </w:t>
      </w:r>
      <w:r w:rsidR="007453DA" w:rsidRPr="00650D66">
        <w:rPr>
          <w:rFonts w:ascii="Times New Roman" w:eastAsia="Times New Roman" w:hAnsi="Times New Roman" w:cs="Times New Roman"/>
          <w:i/>
          <w:sz w:val="24"/>
          <w:szCs w:val="24"/>
          <w:lang w:val="ro-RO" w:eastAsia="lv-LV"/>
        </w:rPr>
        <w:t>C</w:t>
      </w:r>
      <w:r w:rsidR="006C4EF9" w:rsidRPr="00650D66">
        <w:rPr>
          <w:rFonts w:ascii="Times New Roman" w:eastAsia="Times New Roman" w:hAnsi="Times New Roman" w:cs="Times New Roman"/>
          <w:i/>
          <w:sz w:val="24"/>
          <w:szCs w:val="24"/>
          <w:lang w:val="ro-RO" w:eastAsia="lv-LV"/>
        </w:rPr>
        <w:t xml:space="preserve">urții de </w:t>
      </w:r>
      <w:r w:rsidR="007453DA" w:rsidRPr="00650D66">
        <w:rPr>
          <w:rFonts w:ascii="Times New Roman" w:eastAsia="Times New Roman" w:hAnsi="Times New Roman" w:cs="Times New Roman"/>
          <w:i/>
          <w:sz w:val="24"/>
          <w:szCs w:val="24"/>
          <w:lang w:val="ro-RO" w:eastAsia="lv-LV"/>
        </w:rPr>
        <w:t>C</w:t>
      </w:r>
      <w:r w:rsidR="006C4EF9" w:rsidRPr="00650D66">
        <w:rPr>
          <w:rFonts w:ascii="Times New Roman" w:eastAsia="Times New Roman" w:hAnsi="Times New Roman" w:cs="Times New Roman"/>
          <w:i/>
          <w:sz w:val="24"/>
          <w:szCs w:val="24"/>
          <w:lang w:val="ro-RO" w:eastAsia="lv-LV"/>
        </w:rPr>
        <w:t>onturi</w:t>
      </w:r>
      <w:r w:rsidR="007453DA" w:rsidRPr="00650D66">
        <w:rPr>
          <w:rFonts w:ascii="Times New Roman" w:eastAsia="Times New Roman" w:hAnsi="Times New Roman" w:cs="Times New Roman"/>
          <w:i/>
          <w:sz w:val="24"/>
          <w:szCs w:val="24"/>
          <w:lang w:val="ro-RO" w:eastAsia="lv-LV"/>
        </w:rPr>
        <w:t xml:space="preserve"> nr.62 din 05.11.2019</w:t>
      </w:r>
      <w:r w:rsidR="00FF1B71" w:rsidRPr="00650D66">
        <w:rPr>
          <w:rFonts w:ascii="Times New Roman" w:eastAsia="Times New Roman" w:hAnsi="Times New Roman" w:cs="Times New Roman"/>
          <w:i/>
          <w:sz w:val="24"/>
          <w:szCs w:val="24"/>
          <w:lang w:val="ro-RO" w:eastAsia="lv-LV"/>
        </w:rPr>
        <w:t xml:space="preserve"> se prezintă în Anexa nr.8</w:t>
      </w:r>
      <w:r w:rsidR="007453DA" w:rsidRPr="00650D66">
        <w:rPr>
          <w:rFonts w:ascii="Times New Roman" w:eastAsia="Times New Roman" w:hAnsi="Times New Roman" w:cs="Times New Roman"/>
          <w:i/>
          <w:sz w:val="24"/>
          <w:szCs w:val="24"/>
          <w:lang w:val="ro-RO" w:eastAsia="lv-LV"/>
        </w:rPr>
        <w:t xml:space="preserve"> la prezentul Raport de audit.</w:t>
      </w:r>
    </w:p>
    <w:p w14:paraId="31EEF7B3" w14:textId="77777777" w:rsidR="00661C77" w:rsidRPr="00650D66" w:rsidRDefault="00661C77" w:rsidP="00660D0A">
      <w:pPr>
        <w:pStyle w:val="ListParagraph"/>
        <w:tabs>
          <w:tab w:val="left" w:pos="426"/>
        </w:tabs>
        <w:spacing w:line="276" w:lineRule="auto"/>
        <w:ind w:left="0"/>
        <w:rPr>
          <w:rFonts w:ascii="Times New Roman" w:eastAsia="Calibri" w:hAnsi="Times New Roman" w:cs="Times New Roman"/>
          <w:sz w:val="24"/>
          <w:szCs w:val="24"/>
          <w:lang w:val="ro-RO"/>
        </w:rPr>
      </w:pPr>
    </w:p>
    <w:p w14:paraId="37A14E77" w14:textId="77777777" w:rsidR="00661C77" w:rsidRPr="00650D66" w:rsidRDefault="00661C77" w:rsidP="00E218B1">
      <w:pPr>
        <w:pStyle w:val="ListParagraph"/>
        <w:numPr>
          <w:ilvl w:val="0"/>
          <w:numId w:val="1"/>
        </w:numPr>
        <w:tabs>
          <w:tab w:val="left" w:pos="284"/>
        </w:tabs>
        <w:spacing w:line="276" w:lineRule="auto"/>
        <w:ind w:left="0" w:firstLine="0"/>
        <w:jc w:val="center"/>
        <w:outlineLvl w:val="0"/>
        <w:rPr>
          <w:rFonts w:ascii="Times New Roman" w:hAnsi="Times New Roman" w:cs="Times New Roman"/>
          <w:b/>
          <w:sz w:val="24"/>
          <w:szCs w:val="24"/>
          <w:lang w:val="ro-RO"/>
        </w:rPr>
      </w:pPr>
      <w:bookmarkStart w:id="23" w:name="_Toc159413647"/>
      <w:r w:rsidRPr="00650D66">
        <w:rPr>
          <w:rFonts w:ascii="Times New Roman" w:eastAsia="Calibri" w:hAnsi="Times New Roman" w:cs="Times New Roman"/>
          <w:b/>
          <w:sz w:val="24"/>
          <w:szCs w:val="24"/>
          <w:lang w:val="ro-RO"/>
        </w:rPr>
        <w:t>CONCLUZIA GENERALĂ</w:t>
      </w:r>
      <w:bookmarkEnd w:id="23"/>
    </w:p>
    <w:p w14:paraId="424C0D29" w14:textId="34DBB71C" w:rsidR="001D5609" w:rsidRPr="00650D66" w:rsidRDefault="001D5609" w:rsidP="00653C24">
      <w:pPr>
        <w:widowControl w:val="0"/>
        <w:tabs>
          <w:tab w:val="left" w:pos="747"/>
        </w:tabs>
        <w:spacing w:after="120" w:line="276" w:lineRule="auto"/>
        <w:jc w:val="both"/>
        <w:rPr>
          <w:rFonts w:ascii="Times New Roman" w:hAnsi="Times New Roman" w:cs="Times New Roman"/>
          <w:sz w:val="24"/>
          <w:szCs w:val="24"/>
          <w:lang w:val="ro-RO"/>
        </w:rPr>
      </w:pPr>
      <w:r w:rsidRPr="00650D66">
        <w:rPr>
          <w:rFonts w:ascii="Times New Roman" w:hAnsi="Times New Roman" w:cs="Times New Roman"/>
          <w:sz w:val="24"/>
          <w:szCs w:val="24"/>
          <w:lang w:val="ro-RO"/>
        </w:rPr>
        <w:t>În condițiile legii</w:t>
      </w:r>
      <w:r w:rsidRPr="00650D66">
        <w:rPr>
          <w:rFonts w:ascii="Times New Roman" w:hAnsi="Times New Roman" w:cs="Times New Roman"/>
          <w:sz w:val="24"/>
          <w:szCs w:val="24"/>
          <w:vertAlign w:val="superscript"/>
          <w:lang w:val="ro-RO"/>
        </w:rPr>
        <w:footnoteReference w:id="90"/>
      </w:r>
      <w:r w:rsidRPr="00650D66">
        <w:rPr>
          <w:rFonts w:ascii="Times New Roman" w:hAnsi="Times New Roman" w:cs="Times New Roman"/>
          <w:sz w:val="24"/>
          <w:szCs w:val="24"/>
          <w:lang w:val="ro-RO"/>
        </w:rPr>
        <w:t>, Curtea de Conturi auditează legalitatea și regularitatea devizelor de cheltuieli și a alocațiilor pentru investiții ale Băncii Naționale, auditul public extern limitându-se la examinarea eficienței operaționale a deciziilor luate de conducerea acesteia, excluzându-se cele ce țin de implementarea politicii monetare și valutare și de gestionarea rezervelor valutare ale statului.</w:t>
      </w:r>
    </w:p>
    <w:p w14:paraId="7AA1C73E" w14:textId="6C0C80B7" w:rsidR="001D5609" w:rsidRPr="00650D66" w:rsidRDefault="004A5CE7" w:rsidP="001D5609">
      <w:pPr>
        <w:widowControl w:val="0"/>
        <w:tabs>
          <w:tab w:val="left" w:pos="747"/>
        </w:tabs>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 u</w:t>
      </w:r>
      <w:r w:rsidR="001D5609" w:rsidRPr="00650D66">
        <w:rPr>
          <w:rFonts w:ascii="Times New Roman" w:hAnsi="Times New Roman" w:cs="Times New Roman"/>
          <w:sz w:val="24"/>
          <w:szCs w:val="24"/>
          <w:lang w:val="ro-RO"/>
        </w:rPr>
        <w:t xml:space="preserve">rmare </w:t>
      </w:r>
      <w:r>
        <w:rPr>
          <w:rFonts w:ascii="Times New Roman" w:hAnsi="Times New Roman" w:cs="Times New Roman"/>
          <w:sz w:val="24"/>
          <w:szCs w:val="24"/>
          <w:lang w:val="ro-RO"/>
        </w:rPr>
        <w:t xml:space="preserve">a </w:t>
      </w:r>
      <w:r w:rsidR="001D5609" w:rsidRPr="00650D66">
        <w:rPr>
          <w:rFonts w:ascii="Times New Roman" w:hAnsi="Times New Roman" w:cs="Times New Roman"/>
          <w:sz w:val="24"/>
          <w:szCs w:val="24"/>
          <w:lang w:val="ro-RO"/>
        </w:rPr>
        <w:t>evaluărilor efectuate</w:t>
      </w:r>
      <w:r w:rsidR="001D5609" w:rsidRPr="00650D66">
        <w:rPr>
          <w:rFonts w:ascii="Times New Roman" w:hAnsi="Times New Roman" w:cs="Times New Roman"/>
          <w:bCs/>
          <w:sz w:val="24"/>
          <w:szCs w:val="24"/>
          <w:lang w:val="ro-RO"/>
        </w:rPr>
        <w:t xml:space="preserve"> de către auditul public extern asupra conformității executării devizelor de cheltuieli și alocațiilor pentru investiții pe anii 2019-2022</w:t>
      </w:r>
      <w:r w:rsidR="001D5609" w:rsidRPr="00650D66">
        <w:rPr>
          <w:rFonts w:ascii="Times New Roman" w:hAnsi="Times New Roman" w:cs="Times New Roman"/>
          <w:sz w:val="24"/>
          <w:szCs w:val="24"/>
          <w:lang w:val="ro-RO"/>
        </w:rPr>
        <w:t xml:space="preserve">, se concluzionează că unele activități, procese și proceduri ale Băncii Naționale necesită îmbunătățiri prin dezvoltarea cadrului de reglementare intern aferent domeniilor auditate, acestea fiind bazate pe următoarele: </w:t>
      </w:r>
    </w:p>
    <w:p w14:paraId="328FDC73" w14:textId="77777777" w:rsidR="00AD3DD9" w:rsidRDefault="00AD3DD9" w:rsidP="00AD3DD9">
      <w:pPr>
        <w:pStyle w:val="ListParagraph"/>
        <w:numPr>
          <w:ilvl w:val="0"/>
          <w:numId w:val="34"/>
        </w:numPr>
        <w:tabs>
          <w:tab w:val="left" w:pos="851"/>
        </w:tabs>
        <w:spacing w:line="276" w:lineRule="auto"/>
        <w:ind w:left="0" w:firstLine="709"/>
        <w:jc w:val="both"/>
        <w:rPr>
          <w:rFonts w:ascii="Times New Roman" w:hAnsi="Times New Roman" w:cs="Times New Roman"/>
          <w:sz w:val="24"/>
          <w:szCs w:val="24"/>
        </w:rPr>
      </w:pPr>
      <w:r w:rsidRPr="00AD3DD9">
        <w:rPr>
          <w:rFonts w:ascii="Times New Roman" w:hAnsi="Times New Roman" w:cs="Times New Roman"/>
          <w:sz w:val="24"/>
          <w:szCs w:val="24"/>
        </w:rPr>
        <w:t>conform reglementărilor interne</w:t>
      </w:r>
      <w:r w:rsidRPr="00AD3DD9">
        <w:rPr>
          <w:vertAlign w:val="superscript"/>
        </w:rPr>
        <w:footnoteReference w:id="91"/>
      </w:r>
      <w:r w:rsidRPr="00AD3DD9">
        <w:rPr>
          <w:rFonts w:ascii="Times New Roman" w:hAnsi="Times New Roman" w:cs="Times New Roman"/>
          <w:sz w:val="24"/>
          <w:szCs w:val="24"/>
        </w:rPr>
        <w:t xml:space="preserve">, anual toate cheltuielile administrative și investițiile capitale ale Băncii Naționale se prevăd în devizul de cheltuieli și, respectiv, în alocațiile pentru investiții care se aprobă de Consiliul de supraveghere. Rezultatele analizei executării devizului de cheltuieli și alocațiilor pentru investiții se expun, semestrial și anual, în ,,Raportul privind executarea devizului de cheltuieli și alocațiilor pentru investiții ale Băncii Naționale a Moldovei”, care se prezintă spre coordonare Comitetului executiv și spre examinare – Consiliului de supraveghere; </w:t>
      </w:r>
    </w:p>
    <w:p w14:paraId="32E95EA3" w14:textId="77777777" w:rsidR="00AD3DD9" w:rsidRDefault="00AD3DD9" w:rsidP="00AD3DD9">
      <w:pPr>
        <w:pStyle w:val="ListParagraph"/>
        <w:numPr>
          <w:ilvl w:val="0"/>
          <w:numId w:val="34"/>
        </w:numPr>
        <w:tabs>
          <w:tab w:val="left" w:pos="851"/>
        </w:tabs>
        <w:spacing w:line="276" w:lineRule="auto"/>
        <w:ind w:left="0" w:firstLine="709"/>
        <w:jc w:val="both"/>
        <w:rPr>
          <w:rFonts w:ascii="Times New Roman" w:hAnsi="Times New Roman" w:cs="Times New Roman"/>
          <w:sz w:val="24"/>
          <w:szCs w:val="24"/>
        </w:rPr>
      </w:pPr>
      <w:r w:rsidRPr="00AD3DD9">
        <w:rPr>
          <w:rFonts w:ascii="Times New Roman" w:hAnsi="Times New Roman" w:cs="Times New Roman"/>
          <w:sz w:val="24"/>
          <w:szCs w:val="24"/>
        </w:rPr>
        <w:lastRenderedPageBreak/>
        <w:t xml:space="preserve">devizele de cheltuieli pentru anii 2019-2022 au fost aprobate în sumă totală de 1.137,4 mil. lei, din care au fost executate cheltuieli în sumă de 945,4 mil.lei, sau la nivel de 83,1%. Ponderea semnificativă în totalul acestor cheltuieli (945,4 mil. lei) o înregistrează cele pentru fondul de retribuire a muncii (697,4 mil. lei), ce constituie circa 73,8%. Totodată, alocațiile pentru investiții  aprobate în sumă totală de 225,6 mil. lei au fost executate în total de 78,2 mil. lei, sau la un nivel de doar 34,7%; </w:t>
      </w:r>
    </w:p>
    <w:p w14:paraId="298A51F4" w14:textId="77777777" w:rsidR="00AD3DD9" w:rsidRDefault="00AD3DD9" w:rsidP="00AD3DD9">
      <w:pPr>
        <w:pStyle w:val="ListParagraph"/>
        <w:numPr>
          <w:ilvl w:val="0"/>
          <w:numId w:val="34"/>
        </w:numPr>
        <w:tabs>
          <w:tab w:val="left" w:pos="851"/>
        </w:tabs>
        <w:spacing w:line="276" w:lineRule="auto"/>
        <w:ind w:left="0" w:firstLine="709"/>
        <w:jc w:val="both"/>
        <w:rPr>
          <w:rFonts w:ascii="Times New Roman" w:hAnsi="Times New Roman" w:cs="Times New Roman"/>
          <w:sz w:val="24"/>
          <w:szCs w:val="24"/>
        </w:rPr>
      </w:pPr>
      <w:r w:rsidRPr="00AD3DD9">
        <w:rPr>
          <w:rFonts w:ascii="Times New Roman" w:hAnsi="Times New Roman" w:cs="Times New Roman"/>
          <w:sz w:val="24"/>
          <w:szCs w:val="24"/>
        </w:rPr>
        <w:t xml:space="preserve">la planificarea devizului de cheltuieli și a alocațiilor pentru investiții nu au fost respectate unele dintre principiile esențiale aprobate </w:t>
      </w:r>
      <w:r w:rsidRPr="00AD3DD9">
        <w:rPr>
          <w:rFonts w:ascii="Times New Roman" w:hAnsi="Times New Roman" w:cs="Times New Roman"/>
          <w:i/>
          <w:sz w:val="24"/>
          <w:szCs w:val="24"/>
        </w:rPr>
        <w:t>(prudență, consultare, exhaustivitate, responsabilitate, optimizare, raționalitate și eficiență)</w:t>
      </w:r>
      <w:r w:rsidRPr="00AD3DD9">
        <w:rPr>
          <w:rFonts w:ascii="Times New Roman" w:hAnsi="Times New Roman" w:cs="Times New Roman"/>
          <w:sz w:val="24"/>
          <w:szCs w:val="24"/>
        </w:rPr>
        <w:t xml:space="preserve">, drept urmare nefiind valorificate alocațiile aprobate în devizele de cheltuieli în sumă de circa 192,0 mil. lei, sau ceea ce constituie 16,9%. Din totalul alocațiilor aprobate pentru investiții, nu au fost valorificate circa 147,4 mil. lei, sau 65,3%; </w:t>
      </w:r>
    </w:p>
    <w:p w14:paraId="4B38EE13" w14:textId="77777777" w:rsidR="00AD3DD9" w:rsidRPr="00AD3DD9" w:rsidRDefault="00AD3DD9" w:rsidP="00AD3DD9">
      <w:pPr>
        <w:pStyle w:val="ListParagraph"/>
        <w:numPr>
          <w:ilvl w:val="0"/>
          <w:numId w:val="34"/>
        </w:numPr>
        <w:tabs>
          <w:tab w:val="left" w:pos="851"/>
        </w:tabs>
        <w:spacing w:line="276" w:lineRule="auto"/>
        <w:ind w:left="0" w:firstLine="709"/>
        <w:jc w:val="both"/>
        <w:rPr>
          <w:rFonts w:ascii="Times New Roman" w:hAnsi="Times New Roman" w:cs="Times New Roman"/>
          <w:sz w:val="24"/>
          <w:szCs w:val="24"/>
        </w:rPr>
      </w:pPr>
      <w:r w:rsidRPr="00AD3DD9">
        <w:rPr>
          <w:rFonts w:ascii="Times New Roman" w:hAnsi="Times New Roman" w:cs="Times New Roman"/>
          <w:bCs/>
          <w:sz w:val="24"/>
          <w:szCs w:val="24"/>
        </w:rPr>
        <w:t xml:space="preserve">în baza Hotărârilor Consiliului de supraveghere, dar în lipsa unor reglementări distincte și clare, au fost acordate ajutoare materiale (1,2 mil. lei) foștilor angajați pensionați, ca prevedere internă fiind aplicată doar Instrucțiunea privind contabilizarea cheltuielilor; </w:t>
      </w:r>
    </w:p>
    <w:p w14:paraId="0E9FAB3C" w14:textId="77777777" w:rsidR="00AD3DD9" w:rsidRPr="00AD3DD9" w:rsidRDefault="00AD3DD9" w:rsidP="00AD3DD9">
      <w:pPr>
        <w:pStyle w:val="ListParagraph"/>
        <w:numPr>
          <w:ilvl w:val="0"/>
          <w:numId w:val="34"/>
        </w:numPr>
        <w:tabs>
          <w:tab w:val="left" w:pos="851"/>
        </w:tabs>
        <w:spacing w:line="276" w:lineRule="auto"/>
        <w:ind w:left="0" w:firstLine="709"/>
        <w:jc w:val="both"/>
        <w:rPr>
          <w:rFonts w:ascii="Times New Roman" w:hAnsi="Times New Roman" w:cs="Times New Roman"/>
          <w:sz w:val="24"/>
          <w:szCs w:val="24"/>
        </w:rPr>
      </w:pPr>
      <w:r w:rsidRPr="00AD3DD9">
        <w:rPr>
          <w:rFonts w:ascii="Times New Roman" w:hAnsi="Times New Roman" w:cs="Times New Roman"/>
          <w:bCs/>
          <w:sz w:val="24"/>
          <w:szCs w:val="24"/>
        </w:rPr>
        <w:t>asigurarea unor beneficii sociale angajaților Băncii Naționale prin crearea cantinei, însă în lipsa divizării cheltuielilor în evidența contabilă, fiind necesară completarea și dezvoltarea reglementărilor interne aferente acestei activități conexe și reglementarea calcului adaosului comercial la acest tip de activitate;</w:t>
      </w:r>
    </w:p>
    <w:p w14:paraId="682BAEB4" w14:textId="77777777" w:rsidR="00AD3DD9" w:rsidRPr="00AD3DD9" w:rsidRDefault="00AD3DD9" w:rsidP="00AD3DD9">
      <w:pPr>
        <w:pStyle w:val="ListParagraph"/>
        <w:numPr>
          <w:ilvl w:val="0"/>
          <w:numId w:val="34"/>
        </w:numPr>
        <w:tabs>
          <w:tab w:val="left" w:pos="851"/>
        </w:tabs>
        <w:spacing w:line="276" w:lineRule="auto"/>
        <w:ind w:left="0" w:firstLine="709"/>
        <w:jc w:val="both"/>
        <w:rPr>
          <w:rFonts w:ascii="Times New Roman" w:hAnsi="Times New Roman" w:cs="Times New Roman"/>
          <w:sz w:val="24"/>
          <w:szCs w:val="24"/>
        </w:rPr>
      </w:pPr>
      <w:r w:rsidRPr="00AD3DD9">
        <w:rPr>
          <w:rFonts w:ascii="Times New Roman" w:hAnsi="Times New Roman" w:cs="Times New Roman"/>
          <w:sz w:val="24"/>
          <w:szCs w:val="24"/>
        </w:rPr>
        <w:t xml:space="preserve">deși au fost executate cheltuieli de întreținere și reparație </w:t>
      </w:r>
      <w:r w:rsidRPr="00AD3DD9">
        <w:rPr>
          <w:rFonts w:ascii="Times New Roman" w:hAnsi="Times New Roman" w:cs="Times New Roman"/>
          <w:bCs/>
          <w:sz w:val="24"/>
          <w:szCs w:val="24"/>
        </w:rPr>
        <w:t xml:space="preserve">în sumă de 0,2 mil. lei </w:t>
      </w:r>
      <w:r w:rsidRPr="00AD3DD9">
        <w:rPr>
          <w:rFonts w:ascii="Times New Roman" w:hAnsi="Times New Roman" w:cs="Times New Roman"/>
          <w:sz w:val="24"/>
          <w:szCs w:val="24"/>
        </w:rPr>
        <w:t xml:space="preserve">a </w:t>
      </w:r>
      <w:r w:rsidRPr="00AD3DD9">
        <w:rPr>
          <w:rFonts w:ascii="Times New Roman" w:hAnsi="Times New Roman" w:cs="Times New Roman"/>
          <w:bCs/>
          <w:sz w:val="24"/>
          <w:szCs w:val="24"/>
        </w:rPr>
        <w:t>Oficiului de protocol nr.9 din cadrul I.P. „Pensiunea din Holercani”, transmis la balanța Băncii Naționale în baza Dispoziției Guvernului din anul 1998, în Hotărârea Guvernului nr.351 din 23.03.2005</w:t>
      </w:r>
      <w:r w:rsidRPr="00AD3DD9">
        <w:rPr>
          <w:bCs/>
          <w:vertAlign w:val="superscript"/>
        </w:rPr>
        <w:footnoteReference w:id="92"/>
      </w:r>
      <w:r w:rsidRPr="00AD3DD9">
        <w:rPr>
          <w:rFonts w:ascii="Times New Roman" w:hAnsi="Times New Roman" w:cs="Times New Roman"/>
          <w:bCs/>
          <w:sz w:val="24"/>
          <w:szCs w:val="24"/>
        </w:rPr>
        <w:t xml:space="preserve"> acest obiectiv nu se regăsește ca proprietate publică și nu a fost înregistrat la Agenția Servicii Publice, fapt constatat și în anul 2015 de către Curtea de Conturi</w:t>
      </w:r>
      <w:r w:rsidRPr="00AD3DD9">
        <w:rPr>
          <w:bCs/>
          <w:vertAlign w:val="superscript"/>
        </w:rPr>
        <w:footnoteReference w:id="93"/>
      </w:r>
      <w:r w:rsidRPr="00AD3DD9">
        <w:rPr>
          <w:rFonts w:ascii="Times New Roman" w:hAnsi="Times New Roman" w:cs="Times New Roman"/>
          <w:bCs/>
          <w:sz w:val="24"/>
          <w:szCs w:val="24"/>
        </w:rPr>
        <w:t xml:space="preserve">; </w:t>
      </w:r>
    </w:p>
    <w:p w14:paraId="03837E58" w14:textId="77777777" w:rsidR="00AD3DD9" w:rsidRPr="00AD3DD9" w:rsidRDefault="00AD3DD9" w:rsidP="00AD3DD9">
      <w:pPr>
        <w:pStyle w:val="ListParagraph"/>
        <w:numPr>
          <w:ilvl w:val="0"/>
          <w:numId w:val="34"/>
        </w:numPr>
        <w:tabs>
          <w:tab w:val="left" w:pos="851"/>
        </w:tabs>
        <w:spacing w:line="276" w:lineRule="auto"/>
        <w:ind w:left="0" w:firstLine="709"/>
        <w:jc w:val="both"/>
        <w:rPr>
          <w:rFonts w:ascii="Times New Roman" w:hAnsi="Times New Roman" w:cs="Times New Roman"/>
          <w:sz w:val="24"/>
          <w:szCs w:val="24"/>
        </w:rPr>
      </w:pPr>
      <w:r w:rsidRPr="00AD3DD9">
        <w:rPr>
          <w:rFonts w:ascii="Times New Roman" w:hAnsi="Times New Roman" w:cs="Times New Roman"/>
          <w:bCs/>
          <w:sz w:val="24"/>
          <w:szCs w:val="24"/>
        </w:rPr>
        <w:t>la organizarea unor proceduri de achiziții a lucrărilor au fost evidențiate unele dificultăți la selectarea ofertelor câștigătoare, iar în anul 2021, deși grupul de lucru din cadrul Băncii Naționale a decis adresarea pentru verificarea documentelor referitor la suspiciunile de denaturare a concurenței</w:t>
      </w:r>
      <w:r w:rsidRPr="00AD3DD9">
        <w:rPr>
          <w:vertAlign w:val="superscript"/>
        </w:rPr>
        <w:footnoteReference w:id="94"/>
      </w:r>
      <w:r w:rsidRPr="00AD3DD9">
        <w:rPr>
          <w:rFonts w:ascii="Times New Roman" w:hAnsi="Times New Roman" w:cs="Times New Roman"/>
          <w:bCs/>
          <w:sz w:val="24"/>
          <w:szCs w:val="24"/>
        </w:rPr>
        <w:t>, demersul nu a fost expediat Consiliului Concurenței;</w:t>
      </w:r>
    </w:p>
    <w:p w14:paraId="7351AED1" w14:textId="1D37DF70" w:rsidR="00AD3DD9" w:rsidRPr="00AD3DD9" w:rsidRDefault="00AD3DD9" w:rsidP="00AD3DD9">
      <w:pPr>
        <w:pStyle w:val="ListParagraph"/>
        <w:numPr>
          <w:ilvl w:val="0"/>
          <w:numId w:val="34"/>
        </w:numPr>
        <w:tabs>
          <w:tab w:val="left" w:pos="851"/>
        </w:tabs>
        <w:spacing w:line="276" w:lineRule="auto"/>
        <w:ind w:left="0" w:firstLine="709"/>
        <w:jc w:val="both"/>
        <w:rPr>
          <w:rFonts w:ascii="Times New Roman" w:hAnsi="Times New Roman" w:cs="Times New Roman"/>
          <w:sz w:val="24"/>
          <w:szCs w:val="24"/>
        </w:rPr>
      </w:pPr>
      <w:r w:rsidRPr="00AD3DD9">
        <w:rPr>
          <w:rFonts w:ascii="Times New Roman" w:hAnsi="Times New Roman" w:cs="Times New Roman"/>
          <w:bCs/>
          <w:sz w:val="24"/>
          <w:szCs w:val="24"/>
          <w:lang w:val="ro-RO"/>
        </w:rPr>
        <w:t xml:space="preserve">cheltuielile pentru unele lucrări de reparație în sumă de 3,2 mil. lei efectuate în perioada auditată au fost reflectate la executarea devizului de cheltuieli, dar nu fost atribuite la majorarea valorii bunului, deși sunt îndeplinite criteriile de recunoaștere potrivit prevederilor IAS 16 ,,Imobilizări corporale”. În acest aspect, auditul evidențiază necesitatea aplicării conforme a cadrului de raportare aplicabil.  </w:t>
      </w:r>
    </w:p>
    <w:p w14:paraId="72AB862C" w14:textId="25B1164D" w:rsidR="001D5609" w:rsidRPr="00650D66" w:rsidRDefault="001D5609" w:rsidP="007769B4">
      <w:pPr>
        <w:tabs>
          <w:tab w:val="left" w:pos="851"/>
        </w:tabs>
        <w:spacing w:line="276" w:lineRule="auto"/>
        <w:jc w:val="both"/>
        <w:rPr>
          <w:rFonts w:ascii="Times New Roman" w:hAnsi="Times New Roman" w:cs="Times New Roman"/>
          <w:bCs/>
          <w:sz w:val="24"/>
          <w:szCs w:val="24"/>
          <w:lang w:val="ro-RO"/>
        </w:rPr>
      </w:pPr>
      <w:r w:rsidRPr="00650D66">
        <w:rPr>
          <w:rFonts w:ascii="Times New Roman" w:hAnsi="Times New Roman" w:cs="Times New Roman"/>
          <w:bCs/>
          <w:sz w:val="24"/>
          <w:szCs w:val="24"/>
          <w:lang w:val="ro-RO"/>
        </w:rPr>
        <w:t xml:space="preserve">Concomitent, auditul public extern atestă că prevederile Legii cu privire la Banca </w:t>
      </w:r>
      <w:r w:rsidR="009E2294">
        <w:rPr>
          <w:rFonts w:ascii="Times New Roman" w:hAnsi="Times New Roman" w:cs="Times New Roman"/>
          <w:bCs/>
          <w:sz w:val="24"/>
          <w:szCs w:val="24"/>
          <w:lang w:val="ro-RO"/>
        </w:rPr>
        <w:t>Națională a Moldovei nr.548</w:t>
      </w:r>
      <w:r w:rsidRPr="00650D66">
        <w:rPr>
          <w:rFonts w:ascii="Times New Roman" w:hAnsi="Times New Roman" w:cs="Times New Roman"/>
          <w:bCs/>
          <w:sz w:val="24"/>
          <w:szCs w:val="24"/>
          <w:lang w:val="ro-RO"/>
        </w:rPr>
        <w:t xml:space="preserve"> din 21.07.1995 statuează distinct că toate cheltuielile administrative și investițiile capitale se prevăd în devizul de cheltuieli și, respectiv, în alocațiile pentru investiții, în timp ce cadrul intern reglementează mecanismul de elaborare și executare a bugetului Băncii Naționale</w:t>
      </w:r>
      <w:r w:rsidRPr="00650D66">
        <w:rPr>
          <w:rStyle w:val="FootnoteReference"/>
          <w:rFonts w:ascii="Times New Roman" w:hAnsi="Times New Roman"/>
          <w:bCs/>
          <w:sz w:val="24"/>
          <w:szCs w:val="24"/>
          <w:lang w:val="ro-RO"/>
        </w:rPr>
        <w:footnoteReference w:id="95"/>
      </w:r>
      <w:r w:rsidRPr="00650D66">
        <w:rPr>
          <w:rFonts w:ascii="Times New Roman" w:hAnsi="Times New Roman" w:cs="Times New Roman"/>
          <w:bCs/>
          <w:sz w:val="24"/>
          <w:szCs w:val="24"/>
          <w:lang w:val="ro-RO"/>
        </w:rPr>
        <w:t>, definiție care nu se regăsește în lege</w:t>
      </w:r>
      <w:r w:rsidR="00565AC4">
        <w:rPr>
          <w:rFonts w:ascii="Times New Roman" w:hAnsi="Times New Roman" w:cs="Times New Roman"/>
          <w:bCs/>
          <w:sz w:val="24"/>
          <w:szCs w:val="24"/>
          <w:lang w:val="ro-RO"/>
        </w:rPr>
        <w:t>a</w:t>
      </w:r>
      <w:r w:rsidRPr="00650D66">
        <w:rPr>
          <w:rFonts w:ascii="Times New Roman" w:hAnsi="Times New Roman" w:cs="Times New Roman"/>
          <w:bCs/>
          <w:sz w:val="24"/>
          <w:szCs w:val="24"/>
          <w:lang w:val="ro-RO"/>
        </w:rPr>
        <w:t xml:space="preserve"> sus-menționată.</w:t>
      </w:r>
    </w:p>
    <w:p w14:paraId="39473BEC" w14:textId="681B6377" w:rsidR="00A51C43" w:rsidRPr="00650D66" w:rsidRDefault="00565AC4" w:rsidP="00CF1AEC">
      <w:pPr>
        <w:pStyle w:val="ListParagraph"/>
        <w:tabs>
          <w:tab w:val="left" w:pos="426"/>
        </w:tabs>
        <w:spacing w:after="0" w:line="276"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Ca u</w:t>
      </w:r>
      <w:r w:rsidR="00D415D1" w:rsidRPr="00650D66">
        <w:rPr>
          <w:rFonts w:ascii="Times New Roman" w:hAnsi="Times New Roman" w:cs="Times New Roman"/>
          <w:sz w:val="24"/>
          <w:szCs w:val="24"/>
          <w:lang w:val="ro-RO"/>
        </w:rPr>
        <w:t xml:space="preserve">rmare </w:t>
      </w:r>
      <w:r>
        <w:rPr>
          <w:rFonts w:ascii="Times New Roman" w:hAnsi="Times New Roman" w:cs="Times New Roman"/>
          <w:sz w:val="24"/>
          <w:szCs w:val="24"/>
          <w:lang w:val="ro-RO"/>
        </w:rPr>
        <w:t xml:space="preserve">a </w:t>
      </w:r>
      <w:r w:rsidR="00D415D1" w:rsidRPr="00650D66">
        <w:rPr>
          <w:rFonts w:ascii="Times New Roman" w:hAnsi="Times New Roman" w:cs="Times New Roman"/>
          <w:sz w:val="24"/>
          <w:szCs w:val="24"/>
          <w:lang w:val="ro-RO"/>
        </w:rPr>
        <w:t>formul</w:t>
      </w:r>
      <w:r>
        <w:rPr>
          <w:rFonts w:ascii="Times New Roman" w:hAnsi="Times New Roman" w:cs="Times New Roman"/>
          <w:sz w:val="24"/>
          <w:szCs w:val="24"/>
          <w:lang w:val="ro-RO"/>
        </w:rPr>
        <w:t>ării concluziei</w:t>
      </w:r>
      <w:r w:rsidR="00D415D1" w:rsidRPr="00650D66">
        <w:rPr>
          <w:rFonts w:ascii="Times New Roman" w:hAnsi="Times New Roman" w:cs="Times New Roman"/>
          <w:sz w:val="24"/>
          <w:szCs w:val="24"/>
          <w:lang w:val="ro-RO"/>
        </w:rPr>
        <w:t xml:space="preserve">, auditul public extern </w:t>
      </w:r>
      <w:r w:rsidR="00A51C43" w:rsidRPr="00650D66">
        <w:rPr>
          <w:rFonts w:ascii="Times New Roman" w:hAnsi="Times New Roman" w:cs="Times New Roman"/>
          <w:sz w:val="24"/>
          <w:szCs w:val="24"/>
          <w:lang w:val="ro-RO"/>
        </w:rPr>
        <w:t>a adus la cunoștință constatările de audit organelor de conducere ale BNM</w:t>
      </w:r>
      <w:r w:rsidR="00BD7293" w:rsidRPr="00650D66">
        <w:rPr>
          <w:rFonts w:ascii="Times New Roman" w:hAnsi="Times New Roman" w:cs="Times New Roman"/>
          <w:sz w:val="24"/>
          <w:szCs w:val="24"/>
          <w:lang w:val="ro-RO"/>
        </w:rPr>
        <w:t>,</w:t>
      </w:r>
      <w:r w:rsidR="00A51C43" w:rsidRPr="00650D6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acestea </w:t>
      </w:r>
      <w:r w:rsidR="00A51C43" w:rsidRPr="00650D66">
        <w:rPr>
          <w:rFonts w:ascii="Times New Roman" w:hAnsi="Times New Roman" w:cs="Times New Roman"/>
          <w:sz w:val="24"/>
          <w:szCs w:val="24"/>
          <w:lang w:val="ro-RO"/>
        </w:rPr>
        <w:t>fiind acceptate. Totodată, recomandările de rigoare</w:t>
      </w:r>
      <w:r w:rsidR="00BD7293" w:rsidRPr="00650D66">
        <w:rPr>
          <w:rFonts w:ascii="Times New Roman" w:hAnsi="Times New Roman" w:cs="Times New Roman"/>
          <w:sz w:val="24"/>
          <w:szCs w:val="24"/>
          <w:lang w:val="ro-RO"/>
        </w:rPr>
        <w:t xml:space="preserve"> </w:t>
      </w:r>
      <w:r w:rsidR="00BD7293" w:rsidRPr="00650D66">
        <w:rPr>
          <w:rFonts w:ascii="Times New Roman" w:hAnsi="Times New Roman" w:cs="Times New Roman"/>
          <w:sz w:val="24"/>
          <w:szCs w:val="24"/>
          <w:lang w:val="ro-RO"/>
        </w:rPr>
        <w:lastRenderedPageBreak/>
        <w:t>enunțate în prezentul Raport de audit,</w:t>
      </w:r>
      <w:r w:rsidR="00A51C43" w:rsidRPr="00650D66">
        <w:rPr>
          <w:rFonts w:ascii="Times New Roman" w:hAnsi="Times New Roman" w:cs="Times New Roman"/>
          <w:sz w:val="24"/>
          <w:szCs w:val="24"/>
          <w:lang w:val="ro-RO"/>
        </w:rPr>
        <w:t xml:space="preserve"> pentru remedierea situațiilor constatate, au fost </w:t>
      </w:r>
      <w:r w:rsidR="006C2017" w:rsidRPr="00650D66">
        <w:rPr>
          <w:rFonts w:ascii="Times New Roman" w:hAnsi="Times New Roman" w:cs="Times New Roman"/>
          <w:sz w:val="24"/>
          <w:szCs w:val="24"/>
          <w:lang w:val="ro-RO"/>
        </w:rPr>
        <w:t>comunicate</w:t>
      </w:r>
      <w:r w:rsidR="00A51C43" w:rsidRPr="00650D66">
        <w:rPr>
          <w:rFonts w:ascii="Times New Roman" w:hAnsi="Times New Roman" w:cs="Times New Roman"/>
          <w:sz w:val="24"/>
          <w:szCs w:val="24"/>
          <w:lang w:val="ro-RO"/>
        </w:rPr>
        <w:t xml:space="preserve"> BNM și </w:t>
      </w:r>
      <w:r w:rsidR="00881A61" w:rsidRPr="00650D66">
        <w:rPr>
          <w:rFonts w:ascii="Times New Roman" w:hAnsi="Times New Roman" w:cs="Times New Roman"/>
          <w:sz w:val="24"/>
          <w:szCs w:val="24"/>
          <w:lang w:val="ro-RO"/>
        </w:rPr>
        <w:t>acceptate</w:t>
      </w:r>
      <w:r w:rsidR="00A51C43" w:rsidRPr="00650D66">
        <w:rPr>
          <w:rFonts w:ascii="Times New Roman" w:hAnsi="Times New Roman" w:cs="Times New Roman"/>
          <w:sz w:val="24"/>
          <w:szCs w:val="24"/>
          <w:lang w:val="ro-RO"/>
        </w:rPr>
        <w:t xml:space="preserve"> ca realizabile.</w:t>
      </w:r>
    </w:p>
    <w:p w14:paraId="7CD2A2F9" w14:textId="77777777" w:rsidR="005B3D6A" w:rsidRPr="00650D66" w:rsidRDefault="005B3D6A" w:rsidP="00143186">
      <w:pPr>
        <w:pStyle w:val="ListParagraph"/>
        <w:tabs>
          <w:tab w:val="left" w:pos="426"/>
        </w:tabs>
        <w:spacing w:line="276" w:lineRule="auto"/>
        <w:ind w:left="0"/>
        <w:rPr>
          <w:rFonts w:ascii="Times New Roman" w:hAnsi="Times New Roman" w:cs="Times New Roman"/>
          <w:b/>
          <w:sz w:val="24"/>
          <w:szCs w:val="24"/>
          <w:lang w:val="ro-RO"/>
        </w:rPr>
      </w:pPr>
    </w:p>
    <w:p w14:paraId="37C32D48" w14:textId="77777777" w:rsidR="00107FB4" w:rsidRPr="00650D66" w:rsidRDefault="00D52E05" w:rsidP="00E218B1">
      <w:pPr>
        <w:pStyle w:val="ListParagraph"/>
        <w:numPr>
          <w:ilvl w:val="0"/>
          <w:numId w:val="1"/>
        </w:numPr>
        <w:tabs>
          <w:tab w:val="left" w:pos="426"/>
        </w:tabs>
        <w:spacing w:line="276" w:lineRule="auto"/>
        <w:ind w:left="0" w:firstLine="0"/>
        <w:jc w:val="center"/>
        <w:outlineLvl w:val="0"/>
        <w:rPr>
          <w:rFonts w:ascii="Times New Roman" w:hAnsi="Times New Roman" w:cs="Times New Roman"/>
          <w:b/>
          <w:sz w:val="24"/>
          <w:szCs w:val="24"/>
          <w:lang w:val="ro-RO"/>
        </w:rPr>
      </w:pPr>
      <w:bookmarkStart w:id="24" w:name="_Toc159413648"/>
      <w:r w:rsidRPr="00650D66">
        <w:rPr>
          <w:rFonts w:ascii="Times New Roman" w:hAnsi="Times New Roman" w:cs="Times New Roman"/>
          <w:b/>
          <w:sz w:val="24"/>
          <w:szCs w:val="24"/>
          <w:lang w:val="ro-RO"/>
        </w:rPr>
        <w:t>RECOMANDĂRI</w:t>
      </w:r>
      <w:r w:rsidR="00C03B06" w:rsidRPr="00650D66">
        <w:rPr>
          <w:rFonts w:ascii="Times New Roman" w:hAnsi="Times New Roman" w:cs="Times New Roman"/>
          <w:b/>
          <w:sz w:val="24"/>
          <w:szCs w:val="24"/>
          <w:lang w:val="ro-RO"/>
        </w:rPr>
        <w:t xml:space="preserve"> </w:t>
      </w:r>
      <w:r w:rsidR="00A03192" w:rsidRPr="00650D66">
        <w:rPr>
          <w:rFonts w:ascii="Times New Roman" w:hAnsi="Times New Roman" w:cs="Times New Roman"/>
          <w:b/>
          <w:sz w:val="24"/>
          <w:szCs w:val="24"/>
          <w:lang w:val="ro-RO"/>
        </w:rPr>
        <w:t>BNM</w:t>
      </w:r>
      <w:bookmarkEnd w:id="24"/>
    </w:p>
    <w:p w14:paraId="55AD02B0" w14:textId="7DC3C28A" w:rsidR="00C04447" w:rsidRPr="007769B4" w:rsidRDefault="00C04447" w:rsidP="00C04447">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o-RO"/>
        </w:rPr>
      </w:pPr>
      <w:r w:rsidRPr="007769B4">
        <w:rPr>
          <w:rFonts w:ascii="Times New Roman" w:hAnsi="Times New Roman" w:cs="Times New Roman"/>
          <w:sz w:val="24"/>
          <w:szCs w:val="24"/>
          <w:lang w:val="ro-RO"/>
        </w:rPr>
        <w:t>Asigurarea revizuirii periodice/la necesitate a actelor normative interne ale BNM</w:t>
      </w:r>
      <w:r w:rsidR="005C2D62" w:rsidRPr="007769B4">
        <w:rPr>
          <w:rFonts w:ascii="Times New Roman" w:hAnsi="Times New Roman" w:cs="Times New Roman"/>
          <w:sz w:val="24"/>
          <w:szCs w:val="24"/>
          <w:lang w:val="ro-RO"/>
        </w:rPr>
        <w:t xml:space="preserve"> ce țin de planificarea și executarea devizelor de cheltuieli și alocațiilor pentru investiții</w:t>
      </w:r>
      <w:r w:rsidRPr="007769B4">
        <w:rPr>
          <w:rFonts w:ascii="Times New Roman" w:hAnsi="Times New Roman" w:cs="Times New Roman"/>
          <w:sz w:val="24"/>
          <w:szCs w:val="24"/>
          <w:lang w:val="ro-RO"/>
        </w:rPr>
        <w:t xml:space="preserve">, în vederea racordării acestora la cadrul legal în vigoare </w:t>
      </w:r>
      <w:r w:rsidR="00354898">
        <w:rPr>
          <w:rFonts w:ascii="Times New Roman" w:hAnsi="Times New Roman" w:cs="Times New Roman"/>
          <w:i/>
          <w:sz w:val="24"/>
          <w:szCs w:val="24"/>
          <w:lang w:val="ro-RO"/>
        </w:rPr>
        <w:t>(pct. 4.1.1</w:t>
      </w:r>
      <w:r w:rsidRPr="007769B4">
        <w:rPr>
          <w:rFonts w:ascii="Times New Roman" w:hAnsi="Times New Roman" w:cs="Times New Roman"/>
          <w:i/>
          <w:sz w:val="24"/>
          <w:szCs w:val="24"/>
          <w:lang w:val="ro-RO"/>
        </w:rPr>
        <w:t>)</w:t>
      </w:r>
      <w:r w:rsidR="00565AC4">
        <w:rPr>
          <w:rFonts w:ascii="Times New Roman" w:hAnsi="Times New Roman" w:cs="Times New Roman"/>
          <w:i/>
          <w:sz w:val="24"/>
          <w:szCs w:val="24"/>
          <w:lang w:val="ro-RO"/>
        </w:rPr>
        <w:t>;</w:t>
      </w:r>
    </w:p>
    <w:p w14:paraId="694D0A7A" w14:textId="5A0B2111" w:rsidR="00656F33" w:rsidRPr="007769B4" w:rsidRDefault="00F34DF9" w:rsidP="00656F33">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o-RO"/>
        </w:rPr>
      </w:pPr>
      <w:r w:rsidRPr="007769B4">
        <w:rPr>
          <w:rFonts w:ascii="Times New Roman" w:hAnsi="Times New Roman" w:cs="Times New Roman"/>
          <w:sz w:val="24"/>
          <w:szCs w:val="24"/>
          <w:lang w:val="ro-RO"/>
        </w:rPr>
        <w:t xml:space="preserve">Asigurarea transparenței prin publicarea </w:t>
      </w:r>
      <w:r w:rsidR="00ED2437" w:rsidRPr="007769B4">
        <w:rPr>
          <w:rFonts w:ascii="Times New Roman" w:hAnsi="Times New Roman" w:cs="Times New Roman"/>
          <w:sz w:val="24"/>
          <w:szCs w:val="24"/>
          <w:lang w:val="ro-RO"/>
        </w:rPr>
        <w:t xml:space="preserve">consecventă </w:t>
      </w:r>
      <w:r w:rsidRPr="007769B4">
        <w:rPr>
          <w:rFonts w:ascii="Times New Roman" w:hAnsi="Times New Roman" w:cs="Times New Roman"/>
          <w:sz w:val="24"/>
          <w:szCs w:val="24"/>
          <w:lang w:val="ro-RO"/>
        </w:rPr>
        <w:t>pe pagina oficială a BNM a devizului de cheltuieli și alocațiilor pentru investiții</w:t>
      </w:r>
      <w:r w:rsidR="00354898">
        <w:rPr>
          <w:rFonts w:ascii="Times New Roman" w:hAnsi="Times New Roman" w:cs="Times New Roman"/>
          <w:i/>
          <w:color w:val="000000" w:themeColor="text1"/>
          <w:sz w:val="24"/>
          <w:szCs w:val="24"/>
          <w:lang w:val="ro-RO"/>
        </w:rPr>
        <w:t xml:space="preserve"> (pct. 4.1.1</w:t>
      </w:r>
      <w:r w:rsidR="00EF661D" w:rsidRPr="007769B4">
        <w:rPr>
          <w:rFonts w:ascii="Times New Roman" w:hAnsi="Times New Roman" w:cs="Times New Roman"/>
          <w:i/>
          <w:color w:val="000000" w:themeColor="text1"/>
          <w:sz w:val="24"/>
          <w:szCs w:val="24"/>
          <w:lang w:val="ro-RO"/>
        </w:rPr>
        <w:t>)</w:t>
      </w:r>
      <w:r w:rsidR="00565AC4">
        <w:rPr>
          <w:rFonts w:ascii="Times New Roman" w:hAnsi="Times New Roman" w:cs="Times New Roman"/>
          <w:i/>
          <w:color w:val="000000" w:themeColor="text1"/>
          <w:sz w:val="24"/>
          <w:szCs w:val="24"/>
          <w:lang w:val="ro-RO"/>
        </w:rPr>
        <w:t>;</w:t>
      </w:r>
    </w:p>
    <w:p w14:paraId="4B97E3C7" w14:textId="7800699B" w:rsidR="00720A1A" w:rsidRPr="007769B4" w:rsidRDefault="00720A1A" w:rsidP="00C3396C">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o-RO"/>
        </w:rPr>
      </w:pPr>
      <w:r w:rsidRPr="007769B4">
        <w:rPr>
          <w:rFonts w:ascii="Times New Roman" w:hAnsi="Times New Roman" w:cs="Times New Roman"/>
          <w:sz w:val="24"/>
          <w:szCs w:val="24"/>
          <w:lang w:val="ro-RO"/>
        </w:rPr>
        <w:t xml:space="preserve">Ajustarea reglementărilor interne cu prevederi exhaustive privind normele de consum la evenimentele interne și externe organizate de către BNM </w:t>
      </w:r>
      <w:r w:rsidR="000E2EB5" w:rsidRPr="007769B4">
        <w:rPr>
          <w:rFonts w:ascii="Times New Roman" w:hAnsi="Times New Roman" w:cs="Times New Roman"/>
          <w:i/>
          <w:sz w:val="24"/>
          <w:szCs w:val="24"/>
          <w:lang w:val="ro-RO"/>
        </w:rPr>
        <w:t>(pct. 4.2.4)</w:t>
      </w:r>
      <w:r w:rsidR="00015D00">
        <w:rPr>
          <w:rFonts w:ascii="Times New Roman" w:hAnsi="Times New Roman" w:cs="Times New Roman"/>
          <w:i/>
          <w:sz w:val="24"/>
          <w:szCs w:val="24"/>
          <w:lang w:val="ro-RO"/>
        </w:rPr>
        <w:t>;</w:t>
      </w:r>
    </w:p>
    <w:p w14:paraId="1D0A33FE" w14:textId="26D29D38" w:rsidR="008660BE" w:rsidRPr="007769B4" w:rsidRDefault="00B65D59" w:rsidP="00C3396C">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o-RO"/>
        </w:rPr>
      </w:pPr>
      <w:r w:rsidRPr="007769B4">
        <w:rPr>
          <w:rFonts w:ascii="Times New Roman" w:hAnsi="Times New Roman" w:cs="Times New Roman"/>
          <w:sz w:val="24"/>
          <w:szCs w:val="24"/>
          <w:lang w:val="ro-RO"/>
        </w:rPr>
        <w:t xml:space="preserve">Asigurarea corelării alocațiilor </w:t>
      </w:r>
      <w:r w:rsidR="005C2D62" w:rsidRPr="007769B4">
        <w:rPr>
          <w:rFonts w:ascii="Times New Roman" w:hAnsi="Times New Roman" w:cs="Times New Roman"/>
          <w:sz w:val="24"/>
          <w:szCs w:val="24"/>
          <w:lang w:val="ro-RO"/>
        </w:rPr>
        <w:t>pentru produse</w:t>
      </w:r>
      <w:r w:rsidR="00015D00">
        <w:rPr>
          <w:rFonts w:ascii="Times New Roman" w:hAnsi="Times New Roman" w:cs="Times New Roman"/>
          <w:sz w:val="24"/>
          <w:szCs w:val="24"/>
          <w:lang w:val="ro-RO"/>
        </w:rPr>
        <w:t>le</w:t>
      </w:r>
      <w:r w:rsidR="005C2D62" w:rsidRPr="007769B4">
        <w:rPr>
          <w:rFonts w:ascii="Times New Roman" w:hAnsi="Times New Roman" w:cs="Times New Roman"/>
          <w:sz w:val="24"/>
          <w:szCs w:val="24"/>
          <w:lang w:val="ro-RO"/>
        </w:rPr>
        <w:t xml:space="preserve"> alimentare</w:t>
      </w:r>
      <w:r w:rsidR="00015D00">
        <w:rPr>
          <w:rFonts w:ascii="Times New Roman" w:hAnsi="Times New Roman" w:cs="Times New Roman"/>
          <w:sz w:val="24"/>
          <w:szCs w:val="24"/>
          <w:lang w:val="ro-RO"/>
        </w:rPr>
        <w:t>,</w:t>
      </w:r>
      <w:r w:rsidRPr="007769B4">
        <w:rPr>
          <w:rFonts w:ascii="Times New Roman" w:hAnsi="Times New Roman" w:cs="Times New Roman"/>
          <w:sz w:val="24"/>
          <w:szCs w:val="24"/>
          <w:lang w:val="ro-RO"/>
        </w:rPr>
        <w:t xml:space="preserve"> </w:t>
      </w:r>
      <w:r w:rsidR="00015D00" w:rsidRPr="007769B4">
        <w:rPr>
          <w:rFonts w:ascii="Times New Roman" w:hAnsi="Times New Roman" w:cs="Times New Roman"/>
          <w:sz w:val="24"/>
          <w:szCs w:val="24"/>
          <w:lang w:val="ro-RO"/>
        </w:rPr>
        <w:t xml:space="preserve">aprobate </w:t>
      </w:r>
      <w:r w:rsidRPr="007769B4">
        <w:rPr>
          <w:rFonts w:ascii="Times New Roman" w:hAnsi="Times New Roman" w:cs="Times New Roman"/>
          <w:sz w:val="24"/>
          <w:szCs w:val="24"/>
          <w:lang w:val="ro-RO"/>
        </w:rPr>
        <w:t>în devizele de cheltuieli a</w:t>
      </w:r>
      <w:r w:rsidR="00306B1D" w:rsidRPr="007769B4">
        <w:rPr>
          <w:rFonts w:ascii="Times New Roman" w:hAnsi="Times New Roman" w:cs="Times New Roman"/>
          <w:sz w:val="24"/>
          <w:szCs w:val="24"/>
          <w:lang w:val="ro-RO"/>
        </w:rPr>
        <w:t>nuale</w:t>
      </w:r>
      <w:r w:rsidR="00015D00">
        <w:rPr>
          <w:rFonts w:ascii="Times New Roman" w:hAnsi="Times New Roman" w:cs="Times New Roman"/>
          <w:sz w:val="24"/>
          <w:szCs w:val="24"/>
          <w:lang w:val="ro-RO"/>
        </w:rPr>
        <w:t>,</w:t>
      </w:r>
      <w:r w:rsidR="00306B1D" w:rsidRPr="007769B4">
        <w:rPr>
          <w:rFonts w:ascii="Times New Roman" w:hAnsi="Times New Roman" w:cs="Times New Roman"/>
          <w:sz w:val="24"/>
          <w:szCs w:val="24"/>
          <w:lang w:val="ro-RO"/>
        </w:rPr>
        <w:t xml:space="preserve"> cu Planurile de achiziții și reglementarea/</w:t>
      </w:r>
      <w:r w:rsidR="008660BE" w:rsidRPr="007769B4">
        <w:rPr>
          <w:rFonts w:ascii="Times New Roman" w:hAnsi="Times New Roman" w:cs="Times New Roman"/>
          <w:sz w:val="24"/>
          <w:szCs w:val="24"/>
          <w:lang w:val="ro-RO"/>
        </w:rPr>
        <w:t>aprobarea unui model de raport</w:t>
      </w:r>
      <w:r w:rsidR="00015D00">
        <w:rPr>
          <w:rFonts w:ascii="Times New Roman" w:hAnsi="Times New Roman" w:cs="Times New Roman"/>
          <w:sz w:val="24"/>
          <w:szCs w:val="24"/>
          <w:lang w:val="ro-RO"/>
        </w:rPr>
        <w:t>-</w:t>
      </w:r>
      <w:r w:rsidR="008660BE" w:rsidRPr="007769B4">
        <w:rPr>
          <w:rFonts w:ascii="Times New Roman" w:hAnsi="Times New Roman" w:cs="Times New Roman"/>
          <w:sz w:val="24"/>
          <w:szCs w:val="24"/>
          <w:lang w:val="ro-RO"/>
        </w:rPr>
        <w:t>sinteză privind executarea Planului de achiziții al BNM</w:t>
      </w:r>
      <w:r w:rsidR="003757DD" w:rsidRPr="007769B4">
        <w:rPr>
          <w:rFonts w:ascii="Times New Roman" w:hAnsi="Times New Roman" w:cs="Times New Roman"/>
          <w:i/>
          <w:color w:val="000000" w:themeColor="text1"/>
          <w:sz w:val="24"/>
          <w:szCs w:val="24"/>
          <w:lang w:val="ro-RO"/>
        </w:rPr>
        <w:t xml:space="preserve"> (pct. 4.2.6)</w:t>
      </w:r>
      <w:r w:rsidR="00015D00">
        <w:rPr>
          <w:rFonts w:ascii="Times New Roman" w:hAnsi="Times New Roman" w:cs="Times New Roman"/>
          <w:i/>
          <w:color w:val="000000" w:themeColor="text1"/>
          <w:sz w:val="24"/>
          <w:szCs w:val="24"/>
          <w:lang w:val="ro-RO"/>
        </w:rPr>
        <w:t>;</w:t>
      </w:r>
    </w:p>
    <w:p w14:paraId="2B7963ED" w14:textId="78E62FE0" w:rsidR="00286088" w:rsidRPr="007769B4" w:rsidRDefault="00286088" w:rsidP="00C3396C">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o-RO"/>
        </w:rPr>
      </w:pPr>
      <w:r w:rsidRPr="007769B4">
        <w:rPr>
          <w:rFonts w:ascii="Times New Roman" w:hAnsi="Times New Roman" w:cs="Times New Roman"/>
          <w:sz w:val="24"/>
          <w:szCs w:val="24"/>
          <w:lang w:val="ro-RO"/>
        </w:rPr>
        <w:t xml:space="preserve">Asigurarea </w:t>
      </w:r>
      <w:r w:rsidR="00C840E7" w:rsidRPr="007769B4">
        <w:rPr>
          <w:rFonts w:ascii="Times New Roman" w:hAnsi="Times New Roman" w:cs="Times New Roman"/>
          <w:sz w:val="24"/>
          <w:szCs w:val="24"/>
          <w:lang w:val="ro-RO"/>
        </w:rPr>
        <w:t>evidenței și raportării</w:t>
      </w:r>
      <w:r w:rsidRPr="007769B4">
        <w:rPr>
          <w:rFonts w:ascii="Times New Roman" w:hAnsi="Times New Roman" w:cs="Times New Roman"/>
          <w:sz w:val="24"/>
          <w:szCs w:val="24"/>
          <w:lang w:val="ro-RO"/>
        </w:rPr>
        <w:t xml:space="preserve"> separate a cheltuielilor executate pentru cantină </w:t>
      </w:r>
      <w:r w:rsidR="00284B76" w:rsidRPr="007769B4">
        <w:rPr>
          <w:rFonts w:ascii="Times New Roman" w:hAnsi="Times New Roman" w:cs="Times New Roman"/>
          <w:sz w:val="24"/>
          <w:szCs w:val="24"/>
          <w:lang w:val="ro-RO"/>
        </w:rPr>
        <w:t>și</w:t>
      </w:r>
      <w:r w:rsidRPr="007769B4">
        <w:rPr>
          <w:rFonts w:ascii="Times New Roman" w:hAnsi="Times New Roman" w:cs="Times New Roman"/>
          <w:sz w:val="24"/>
          <w:szCs w:val="24"/>
          <w:lang w:val="ro-RO"/>
        </w:rPr>
        <w:t xml:space="preserve"> reglementarea </w:t>
      </w:r>
      <w:r w:rsidR="0031245E" w:rsidRPr="007769B4">
        <w:rPr>
          <w:rFonts w:ascii="Times New Roman" w:hAnsi="Times New Roman" w:cs="Times New Roman"/>
          <w:sz w:val="24"/>
          <w:szCs w:val="24"/>
          <w:lang w:val="ro-RO"/>
        </w:rPr>
        <w:t>modului de calculare a</w:t>
      </w:r>
      <w:r w:rsidRPr="007769B4">
        <w:rPr>
          <w:rFonts w:ascii="Times New Roman" w:hAnsi="Times New Roman" w:cs="Times New Roman"/>
          <w:sz w:val="24"/>
          <w:szCs w:val="24"/>
          <w:lang w:val="ro-RO"/>
        </w:rPr>
        <w:t xml:space="preserve"> adaosului </w:t>
      </w:r>
      <w:r w:rsidR="00F24FFB" w:rsidRPr="007769B4">
        <w:rPr>
          <w:rFonts w:ascii="Times New Roman" w:hAnsi="Times New Roman" w:cs="Times New Roman"/>
          <w:sz w:val="24"/>
          <w:szCs w:val="24"/>
          <w:lang w:val="ro-RO"/>
        </w:rPr>
        <w:t>comercial</w:t>
      </w:r>
      <w:r w:rsidR="001258F9" w:rsidRPr="007769B4">
        <w:rPr>
          <w:rFonts w:ascii="Times New Roman" w:hAnsi="Times New Roman" w:cs="Times New Roman"/>
          <w:i/>
          <w:color w:val="000000" w:themeColor="text1"/>
          <w:sz w:val="24"/>
          <w:szCs w:val="24"/>
          <w:lang w:val="ro-RO"/>
        </w:rPr>
        <w:t xml:space="preserve"> (pct. 4.2.6)</w:t>
      </w:r>
      <w:r w:rsidR="00015D00">
        <w:rPr>
          <w:rFonts w:ascii="Times New Roman" w:hAnsi="Times New Roman" w:cs="Times New Roman"/>
          <w:i/>
          <w:color w:val="000000" w:themeColor="text1"/>
          <w:sz w:val="24"/>
          <w:szCs w:val="24"/>
          <w:lang w:val="ro-RO"/>
        </w:rPr>
        <w:t>;</w:t>
      </w:r>
    </w:p>
    <w:p w14:paraId="6AFB4DF7" w14:textId="31C7AFF8" w:rsidR="006F1ADD" w:rsidRPr="007769B4" w:rsidRDefault="0094535E" w:rsidP="00C3396C">
      <w:pPr>
        <w:pStyle w:val="ListParagraph"/>
        <w:numPr>
          <w:ilvl w:val="0"/>
          <w:numId w:val="10"/>
        </w:numPr>
        <w:tabs>
          <w:tab w:val="left" w:pos="993"/>
        </w:tabs>
        <w:spacing w:after="0" w:line="276" w:lineRule="auto"/>
        <w:ind w:left="0" w:firstLine="709"/>
        <w:jc w:val="both"/>
        <w:rPr>
          <w:rFonts w:ascii="Times New Roman" w:hAnsi="Times New Roman" w:cs="Times New Roman"/>
          <w:sz w:val="24"/>
          <w:szCs w:val="24"/>
          <w:lang w:val="ro-RO"/>
        </w:rPr>
      </w:pPr>
      <w:r w:rsidRPr="007769B4">
        <w:rPr>
          <w:rFonts w:ascii="Times New Roman" w:hAnsi="Times New Roman" w:cs="Times New Roman"/>
          <w:sz w:val="24"/>
          <w:szCs w:val="24"/>
          <w:lang w:val="ro-RO"/>
        </w:rPr>
        <w:t xml:space="preserve">Elaborarea Planului anual de achiziții conform necesităților reale și </w:t>
      </w:r>
      <w:r w:rsidR="001323FC" w:rsidRPr="007769B4">
        <w:rPr>
          <w:rFonts w:ascii="Times New Roman" w:hAnsi="Times New Roman" w:cs="Times New Roman"/>
          <w:sz w:val="24"/>
          <w:szCs w:val="24"/>
          <w:lang w:val="ro-RO"/>
        </w:rPr>
        <w:t>îmbunătățirea</w:t>
      </w:r>
      <w:r w:rsidR="004050DE" w:rsidRPr="007769B4">
        <w:rPr>
          <w:rFonts w:ascii="Times New Roman" w:hAnsi="Times New Roman" w:cs="Times New Roman"/>
          <w:sz w:val="24"/>
          <w:szCs w:val="24"/>
          <w:lang w:val="ro-RO"/>
        </w:rPr>
        <w:t xml:space="preserve"> procesului</w:t>
      </w:r>
      <w:r w:rsidR="006F1ADD" w:rsidRPr="007769B4">
        <w:rPr>
          <w:rFonts w:ascii="Times New Roman" w:hAnsi="Times New Roman" w:cs="Times New Roman"/>
          <w:sz w:val="24"/>
          <w:szCs w:val="24"/>
          <w:lang w:val="ro-RO"/>
        </w:rPr>
        <w:t xml:space="preserve"> </w:t>
      </w:r>
      <w:r w:rsidR="004050DE" w:rsidRPr="007769B4">
        <w:rPr>
          <w:rFonts w:ascii="Times New Roman" w:hAnsi="Times New Roman" w:cs="Times New Roman"/>
          <w:sz w:val="24"/>
          <w:szCs w:val="24"/>
          <w:lang w:val="ro-RO"/>
        </w:rPr>
        <w:t>de organizare a achizițiilor publice</w:t>
      </w:r>
      <w:r w:rsidR="00354898">
        <w:rPr>
          <w:rFonts w:ascii="Times New Roman" w:hAnsi="Times New Roman" w:cs="Times New Roman"/>
          <w:i/>
          <w:color w:val="000000" w:themeColor="text1"/>
          <w:sz w:val="24"/>
          <w:szCs w:val="24"/>
          <w:lang w:val="ro-RO"/>
        </w:rPr>
        <w:t xml:space="preserve"> (</w:t>
      </w:r>
      <w:r w:rsidRPr="007769B4">
        <w:rPr>
          <w:rFonts w:ascii="Times New Roman" w:hAnsi="Times New Roman" w:cs="Times New Roman"/>
          <w:i/>
          <w:color w:val="000000" w:themeColor="text1"/>
          <w:sz w:val="24"/>
          <w:szCs w:val="24"/>
          <w:lang w:val="ro-RO"/>
        </w:rPr>
        <w:t>pct.4.3)</w:t>
      </w:r>
      <w:r w:rsidR="00015D00">
        <w:rPr>
          <w:rFonts w:ascii="Times New Roman" w:hAnsi="Times New Roman" w:cs="Times New Roman"/>
          <w:i/>
          <w:color w:val="000000" w:themeColor="text1"/>
          <w:sz w:val="24"/>
          <w:szCs w:val="24"/>
          <w:lang w:val="ro-RO"/>
        </w:rPr>
        <w:t>;</w:t>
      </w:r>
    </w:p>
    <w:p w14:paraId="45EAF8E3" w14:textId="7853C853" w:rsidR="00D05AE8" w:rsidRPr="00650D66" w:rsidRDefault="00921251" w:rsidP="00011033">
      <w:pPr>
        <w:pStyle w:val="ListParagraph"/>
        <w:numPr>
          <w:ilvl w:val="0"/>
          <w:numId w:val="10"/>
        </w:numPr>
        <w:tabs>
          <w:tab w:val="left" w:pos="1134"/>
        </w:tabs>
        <w:spacing w:after="0" w:line="276" w:lineRule="auto"/>
        <w:ind w:left="0" w:firstLine="709"/>
        <w:jc w:val="both"/>
        <w:rPr>
          <w:rFonts w:ascii="Times New Roman" w:hAnsi="Times New Roman" w:cs="Times New Roman"/>
          <w:b/>
          <w:sz w:val="24"/>
          <w:szCs w:val="24"/>
          <w:lang w:val="ro-RO"/>
        </w:rPr>
      </w:pPr>
      <w:r w:rsidRPr="007769B4">
        <w:rPr>
          <w:rFonts w:ascii="Times New Roman" w:hAnsi="Times New Roman" w:cs="Times New Roman"/>
          <w:sz w:val="24"/>
          <w:szCs w:val="24"/>
          <w:lang w:val="ro-RO"/>
        </w:rPr>
        <w:t>Actualizarea/elaborarea actelor normative în domeniul sistemului</w:t>
      </w:r>
      <w:r w:rsidRPr="00650D66">
        <w:rPr>
          <w:rFonts w:ascii="Times New Roman" w:hAnsi="Times New Roman" w:cs="Times New Roman"/>
          <w:sz w:val="24"/>
          <w:szCs w:val="24"/>
          <w:lang w:val="ro-RO"/>
        </w:rPr>
        <w:t xml:space="preserve"> de control intern</w:t>
      </w:r>
      <w:r w:rsidR="00476FF8" w:rsidRPr="00650D66">
        <w:rPr>
          <w:rFonts w:ascii="Times New Roman" w:hAnsi="Times New Roman" w:cs="Times New Roman"/>
          <w:sz w:val="24"/>
          <w:szCs w:val="24"/>
          <w:lang w:val="ro-RO"/>
        </w:rPr>
        <w:t>, precum</w:t>
      </w:r>
      <w:r w:rsidR="002B0C36" w:rsidRPr="00650D66">
        <w:rPr>
          <w:rFonts w:ascii="Times New Roman" w:hAnsi="Times New Roman" w:cs="Times New Roman"/>
          <w:sz w:val="24"/>
          <w:szCs w:val="24"/>
          <w:lang w:val="ro-RO"/>
        </w:rPr>
        <w:t xml:space="preserve"> și d</w:t>
      </w:r>
      <w:r w:rsidR="00C03B06" w:rsidRPr="00650D66">
        <w:rPr>
          <w:rFonts w:ascii="Times New Roman" w:hAnsi="Times New Roman" w:cs="Times New Roman"/>
          <w:sz w:val="24"/>
          <w:szCs w:val="24"/>
          <w:lang w:val="ro-RO"/>
        </w:rPr>
        <w:t>efinitivarea/actualizarea descrierii proceselor operaționale ce țin de executarea d</w:t>
      </w:r>
      <w:r w:rsidR="00A35F74" w:rsidRPr="00650D66">
        <w:rPr>
          <w:rFonts w:ascii="Times New Roman" w:hAnsi="Times New Roman" w:cs="Times New Roman"/>
          <w:sz w:val="24"/>
          <w:szCs w:val="24"/>
          <w:lang w:val="ro-RO"/>
        </w:rPr>
        <w:t>evizului de cheltuieli</w:t>
      </w:r>
      <w:r w:rsidR="00FE531F">
        <w:rPr>
          <w:rFonts w:ascii="Times New Roman" w:hAnsi="Times New Roman" w:cs="Times New Roman"/>
          <w:sz w:val="24"/>
          <w:szCs w:val="24"/>
          <w:lang w:val="ro-RO"/>
        </w:rPr>
        <w:t>,</w:t>
      </w:r>
      <w:r w:rsidR="00A35F74" w:rsidRPr="00650D66">
        <w:rPr>
          <w:rFonts w:ascii="Times New Roman" w:hAnsi="Times New Roman" w:cs="Times New Roman"/>
          <w:sz w:val="24"/>
          <w:szCs w:val="24"/>
          <w:lang w:val="ro-RO"/>
        </w:rPr>
        <w:t xml:space="preserve"> cu</w:t>
      </w:r>
      <w:r w:rsidR="00C03B06" w:rsidRPr="00650D66">
        <w:rPr>
          <w:rFonts w:ascii="Times New Roman" w:hAnsi="Times New Roman" w:cs="Times New Roman"/>
          <w:sz w:val="24"/>
          <w:szCs w:val="24"/>
          <w:lang w:val="ro-RO"/>
        </w:rPr>
        <w:t xml:space="preserve"> aprobarea </w:t>
      </w:r>
      <w:r w:rsidR="00FE531F">
        <w:rPr>
          <w:rFonts w:ascii="Times New Roman" w:hAnsi="Times New Roman" w:cs="Times New Roman"/>
          <w:sz w:val="24"/>
          <w:szCs w:val="24"/>
          <w:lang w:val="ro-RO"/>
        </w:rPr>
        <w:t xml:space="preserve">corespunzătoare a </w:t>
      </w:r>
      <w:r w:rsidR="00C03B06" w:rsidRPr="00650D66">
        <w:rPr>
          <w:rFonts w:ascii="Times New Roman" w:hAnsi="Times New Roman" w:cs="Times New Roman"/>
          <w:sz w:val="24"/>
          <w:szCs w:val="24"/>
          <w:lang w:val="ro-RO"/>
        </w:rPr>
        <w:t>acestora</w:t>
      </w:r>
      <w:r w:rsidR="00007F0B" w:rsidRPr="00650D66">
        <w:rPr>
          <w:rFonts w:ascii="Times New Roman" w:hAnsi="Times New Roman" w:cs="Times New Roman"/>
          <w:i/>
          <w:color w:val="000000" w:themeColor="text1"/>
          <w:sz w:val="24"/>
          <w:szCs w:val="24"/>
          <w:lang w:val="ro-RO"/>
        </w:rPr>
        <w:t xml:space="preserve"> (pct. 4.4)</w:t>
      </w:r>
      <w:r w:rsidR="00015D00">
        <w:rPr>
          <w:rFonts w:ascii="Times New Roman" w:hAnsi="Times New Roman" w:cs="Times New Roman"/>
          <w:i/>
          <w:color w:val="000000" w:themeColor="text1"/>
          <w:sz w:val="24"/>
          <w:szCs w:val="24"/>
          <w:lang w:val="ro-RO"/>
        </w:rPr>
        <w:t>.</w:t>
      </w:r>
    </w:p>
    <w:p w14:paraId="625AF58E" w14:textId="77777777" w:rsidR="00A03192" w:rsidRPr="00650D66" w:rsidRDefault="00A03192" w:rsidP="00A03192">
      <w:pPr>
        <w:pStyle w:val="ListParagraph"/>
        <w:tabs>
          <w:tab w:val="left" w:pos="993"/>
        </w:tabs>
        <w:spacing w:after="0" w:line="276" w:lineRule="auto"/>
        <w:ind w:left="709"/>
        <w:jc w:val="both"/>
        <w:rPr>
          <w:rFonts w:ascii="Times New Roman" w:hAnsi="Times New Roman" w:cs="Times New Roman"/>
          <w:b/>
          <w:sz w:val="24"/>
          <w:szCs w:val="24"/>
          <w:lang w:val="ro-RO"/>
        </w:rPr>
      </w:pPr>
    </w:p>
    <w:p w14:paraId="568B214D" w14:textId="77777777" w:rsidR="00642B9D" w:rsidRPr="00650D66" w:rsidRDefault="00642B9D" w:rsidP="00D52E05">
      <w:pPr>
        <w:pStyle w:val="ListParagraph"/>
        <w:tabs>
          <w:tab w:val="left" w:pos="426"/>
        </w:tabs>
        <w:spacing w:line="276" w:lineRule="auto"/>
        <w:ind w:left="0"/>
        <w:rPr>
          <w:rFonts w:ascii="Times New Roman" w:hAnsi="Times New Roman" w:cs="Times New Roman"/>
          <w:b/>
          <w:sz w:val="24"/>
          <w:szCs w:val="24"/>
          <w:lang w:val="ro-RO"/>
        </w:rPr>
      </w:pPr>
    </w:p>
    <w:p w14:paraId="32896336" w14:textId="77777777" w:rsidR="00FB6FE5" w:rsidRDefault="00D52E05" w:rsidP="00D52E05">
      <w:pPr>
        <w:pStyle w:val="ListParagraph"/>
        <w:tabs>
          <w:tab w:val="left" w:pos="426"/>
        </w:tabs>
        <w:spacing w:line="276" w:lineRule="auto"/>
        <w:ind w:left="0"/>
        <w:rPr>
          <w:rFonts w:ascii="Times New Roman" w:hAnsi="Times New Roman" w:cs="Times New Roman"/>
          <w:b/>
          <w:sz w:val="24"/>
          <w:szCs w:val="24"/>
          <w:lang w:val="ro-RO"/>
        </w:rPr>
      </w:pPr>
      <w:r w:rsidRPr="00650D66">
        <w:rPr>
          <w:rFonts w:ascii="Times New Roman" w:hAnsi="Times New Roman" w:cs="Times New Roman"/>
          <w:b/>
          <w:sz w:val="24"/>
          <w:szCs w:val="24"/>
          <w:lang w:val="ro-RO"/>
        </w:rPr>
        <w:t>SEMNĂTURILE ECHIPEI DE AUDIT</w:t>
      </w:r>
    </w:p>
    <w:p w14:paraId="5BAFD918" w14:textId="77777777" w:rsidR="00412212" w:rsidRPr="00650D66" w:rsidRDefault="00412212" w:rsidP="00D52E05">
      <w:pPr>
        <w:pStyle w:val="ListParagraph"/>
        <w:tabs>
          <w:tab w:val="left" w:pos="426"/>
        </w:tabs>
        <w:spacing w:line="276" w:lineRule="auto"/>
        <w:ind w:left="0"/>
        <w:rPr>
          <w:rFonts w:ascii="Times New Roman" w:hAnsi="Times New Roman" w:cs="Times New Roman"/>
          <w:b/>
          <w:sz w:val="24"/>
          <w:szCs w:val="24"/>
          <w:lang w:val="ro-RO"/>
        </w:rPr>
      </w:pPr>
    </w:p>
    <w:p w14:paraId="04285CB1" w14:textId="77777777" w:rsidR="005E32B9" w:rsidRPr="00650D66" w:rsidRDefault="005E32B9" w:rsidP="005E32B9">
      <w:pPr>
        <w:spacing w:after="0" w:line="276" w:lineRule="auto"/>
        <w:jc w:val="both"/>
        <w:rPr>
          <w:rFonts w:ascii="Times New Roman" w:eastAsia="Times New Roman" w:hAnsi="Times New Roman" w:cs="Times New Roman"/>
          <w:iCs/>
          <w:sz w:val="24"/>
          <w:szCs w:val="24"/>
          <w:lang w:val="ro-RO" w:eastAsia="ru-RU"/>
        </w:rPr>
      </w:pPr>
      <w:r w:rsidRPr="00650D66">
        <w:rPr>
          <w:rFonts w:ascii="Times New Roman" w:eastAsia="Times New Roman" w:hAnsi="Times New Roman" w:cs="Times New Roman"/>
          <w:bCs/>
          <w:sz w:val="24"/>
          <w:szCs w:val="24"/>
          <w:lang w:val="ro-RO" w:eastAsia="ru-RU"/>
        </w:rPr>
        <w:t>Maia Savva</w:t>
      </w:r>
      <w:r w:rsidRPr="00650D66">
        <w:rPr>
          <w:rFonts w:ascii="Times New Roman" w:eastAsia="Times New Roman" w:hAnsi="Times New Roman" w:cs="Times New Roman"/>
          <w:iCs/>
          <w:sz w:val="24"/>
          <w:szCs w:val="24"/>
          <w:lang w:val="ro-RO" w:eastAsia="ru-RU"/>
        </w:rPr>
        <w:t xml:space="preserve"> __________________</w:t>
      </w:r>
    </w:p>
    <w:p w14:paraId="1B78A627" w14:textId="41391B34" w:rsidR="00F00C25" w:rsidRPr="00650D66" w:rsidRDefault="005E32B9" w:rsidP="005E32B9">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iCs/>
          <w:sz w:val="24"/>
          <w:szCs w:val="24"/>
          <w:lang w:val="ro-RO" w:eastAsia="ru-RU"/>
        </w:rPr>
        <w:t>șefa echipei de audit/</w:t>
      </w:r>
      <w:r w:rsidR="00912663">
        <w:rPr>
          <w:rFonts w:ascii="Times New Roman" w:eastAsia="Times New Roman" w:hAnsi="Times New Roman" w:cs="Times New Roman"/>
          <w:sz w:val="24"/>
          <w:szCs w:val="24"/>
          <w:lang w:val="ro-RO"/>
        </w:rPr>
        <w:t>ș</w:t>
      </w:r>
      <w:r w:rsidRPr="00650D66">
        <w:rPr>
          <w:rFonts w:ascii="Times New Roman" w:eastAsia="Times New Roman" w:hAnsi="Times New Roman" w:cs="Times New Roman"/>
          <w:sz w:val="24"/>
          <w:szCs w:val="24"/>
          <w:lang w:val="ro-RO"/>
        </w:rPr>
        <w:t xml:space="preserve">efa Direcției audit I </w:t>
      </w:r>
    </w:p>
    <w:p w14:paraId="7E8AF451" w14:textId="46D567E4" w:rsidR="005E32B9" w:rsidRPr="00650D66" w:rsidRDefault="005E32B9" w:rsidP="005E32B9">
      <w:pPr>
        <w:spacing w:after="0" w:line="276" w:lineRule="auto"/>
        <w:jc w:val="both"/>
        <w:rPr>
          <w:rFonts w:ascii="Times New Roman" w:eastAsia="Times New Roman" w:hAnsi="Times New Roman" w:cs="Times New Roman"/>
          <w:bCs/>
          <w:sz w:val="24"/>
          <w:szCs w:val="24"/>
          <w:lang w:val="ro-RO" w:eastAsia="ru-RU"/>
        </w:rPr>
      </w:pPr>
      <w:r w:rsidRPr="00650D66">
        <w:rPr>
          <w:rFonts w:ascii="Times New Roman" w:eastAsia="Times New Roman" w:hAnsi="Times New Roman" w:cs="Times New Roman"/>
          <w:sz w:val="24"/>
          <w:szCs w:val="24"/>
          <w:lang w:val="ro-RO"/>
        </w:rPr>
        <w:t xml:space="preserve">în cadrul Direcției generale de audit I: </w:t>
      </w:r>
      <w:r w:rsidR="00CB419F" w:rsidRPr="00650D66">
        <w:rPr>
          <w:rFonts w:ascii="Times New Roman" w:eastAsia="Times New Roman" w:hAnsi="Times New Roman" w:cs="Times New Roman"/>
          <w:sz w:val="24"/>
          <w:szCs w:val="24"/>
          <w:lang w:val="ro-RO"/>
        </w:rPr>
        <w:t>Bugetul de stat</w:t>
      </w:r>
      <w:r w:rsidRPr="00650D66">
        <w:rPr>
          <w:rFonts w:ascii="Times New Roman" w:eastAsia="Times New Roman" w:hAnsi="Times New Roman" w:cs="Times New Roman"/>
          <w:sz w:val="24"/>
          <w:szCs w:val="24"/>
          <w:lang w:val="ro-RO"/>
        </w:rPr>
        <w:t xml:space="preserve"> și APC   </w:t>
      </w:r>
      <w:r w:rsidRPr="00650D66">
        <w:rPr>
          <w:rFonts w:ascii="Times New Roman" w:eastAsia="Times New Roman" w:hAnsi="Times New Roman" w:cs="Times New Roman"/>
          <w:iCs/>
          <w:sz w:val="24"/>
          <w:szCs w:val="24"/>
          <w:lang w:val="ro-RO" w:eastAsia="ru-RU"/>
        </w:rPr>
        <w:t xml:space="preserve">      </w:t>
      </w:r>
    </w:p>
    <w:p w14:paraId="33CBB293" w14:textId="77777777" w:rsidR="005E32B9" w:rsidRPr="00650D66" w:rsidRDefault="005E32B9" w:rsidP="005E32B9">
      <w:pPr>
        <w:spacing w:after="0" w:line="276" w:lineRule="auto"/>
        <w:jc w:val="both"/>
        <w:rPr>
          <w:rFonts w:ascii="Times New Roman" w:eastAsia="Times New Roman" w:hAnsi="Times New Roman" w:cs="Times New Roman"/>
          <w:iCs/>
          <w:sz w:val="24"/>
          <w:szCs w:val="24"/>
          <w:lang w:val="ro-RO" w:eastAsia="ru-RU"/>
        </w:rPr>
      </w:pPr>
    </w:p>
    <w:p w14:paraId="288E81A7" w14:textId="77777777" w:rsidR="005E32B9" w:rsidRPr="00650D66" w:rsidRDefault="005E32B9" w:rsidP="005E32B9">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Svetlana Ostafi _______________</w:t>
      </w:r>
    </w:p>
    <w:p w14:paraId="7E10ABBF" w14:textId="77777777" w:rsidR="005E32B9" w:rsidRPr="00650D66" w:rsidRDefault="005E32B9" w:rsidP="005E32B9">
      <w:pPr>
        <w:spacing w:after="0" w:line="276" w:lineRule="auto"/>
        <w:jc w:val="both"/>
        <w:rPr>
          <w:rFonts w:ascii="Times New Roman" w:eastAsia="Times New Roman" w:hAnsi="Times New Roman" w:cs="Times New Roman"/>
          <w:iCs/>
          <w:sz w:val="24"/>
          <w:szCs w:val="24"/>
          <w:lang w:val="ro-RO" w:eastAsia="ru-RU"/>
        </w:rPr>
      </w:pPr>
      <w:r w:rsidRPr="00650D66">
        <w:rPr>
          <w:rFonts w:ascii="Times New Roman" w:eastAsia="Times New Roman" w:hAnsi="Times New Roman" w:cs="Times New Roman"/>
          <w:sz w:val="24"/>
          <w:szCs w:val="24"/>
          <w:lang w:val="ro-RO"/>
        </w:rPr>
        <w:t xml:space="preserve">auditoare publică principală   </w:t>
      </w:r>
      <w:r w:rsidRPr="00650D66">
        <w:rPr>
          <w:rFonts w:ascii="Times New Roman" w:eastAsia="Times New Roman" w:hAnsi="Times New Roman" w:cs="Times New Roman"/>
          <w:iCs/>
          <w:sz w:val="24"/>
          <w:szCs w:val="24"/>
          <w:lang w:val="ro-RO" w:eastAsia="ru-RU"/>
        </w:rPr>
        <w:t xml:space="preserve">      </w:t>
      </w:r>
    </w:p>
    <w:p w14:paraId="6099B48C" w14:textId="77777777" w:rsidR="005E32B9" w:rsidRPr="00650D66" w:rsidRDefault="005E32B9" w:rsidP="005E32B9">
      <w:pPr>
        <w:spacing w:after="0" w:line="276" w:lineRule="auto"/>
        <w:jc w:val="both"/>
        <w:rPr>
          <w:rFonts w:ascii="Times New Roman" w:eastAsia="Times New Roman" w:hAnsi="Times New Roman" w:cs="Times New Roman"/>
          <w:iCs/>
          <w:sz w:val="24"/>
          <w:szCs w:val="24"/>
          <w:lang w:val="ro-RO" w:eastAsia="ru-RU"/>
        </w:rPr>
      </w:pPr>
    </w:p>
    <w:p w14:paraId="03B049F0" w14:textId="77777777" w:rsidR="005E32B9" w:rsidRPr="00650D66" w:rsidRDefault="005E32B9" w:rsidP="005E32B9">
      <w:pPr>
        <w:spacing w:after="0" w:line="276" w:lineRule="auto"/>
        <w:jc w:val="both"/>
        <w:rPr>
          <w:rFonts w:ascii="Times New Roman" w:eastAsia="Times New Roman" w:hAnsi="Times New Roman" w:cs="Times New Roman"/>
          <w:iCs/>
          <w:sz w:val="24"/>
          <w:szCs w:val="24"/>
          <w:lang w:val="ro-RO" w:eastAsia="ru-RU"/>
        </w:rPr>
      </w:pPr>
      <w:r w:rsidRPr="00650D66">
        <w:rPr>
          <w:rFonts w:ascii="Times New Roman" w:eastAsia="Times New Roman" w:hAnsi="Times New Roman" w:cs="Times New Roman"/>
          <w:sz w:val="24"/>
          <w:szCs w:val="24"/>
          <w:lang w:val="ro-RO"/>
        </w:rPr>
        <w:t xml:space="preserve">Vera </w:t>
      </w:r>
      <w:proofErr w:type="spellStart"/>
      <w:r w:rsidRPr="00650D66">
        <w:rPr>
          <w:rFonts w:ascii="Times New Roman" w:eastAsia="Times New Roman" w:hAnsi="Times New Roman" w:cs="Times New Roman"/>
          <w:sz w:val="24"/>
          <w:szCs w:val="24"/>
          <w:lang w:val="ro-RO"/>
        </w:rPr>
        <w:t>Borșevschi</w:t>
      </w:r>
      <w:proofErr w:type="spellEnd"/>
      <w:r w:rsidRPr="00650D66">
        <w:rPr>
          <w:rFonts w:ascii="Times New Roman" w:eastAsia="Times New Roman" w:hAnsi="Times New Roman" w:cs="Times New Roman"/>
          <w:sz w:val="24"/>
          <w:szCs w:val="24"/>
          <w:lang w:val="ro-RO"/>
        </w:rPr>
        <w:t xml:space="preserve"> _______________</w:t>
      </w:r>
    </w:p>
    <w:p w14:paraId="1D111EF5" w14:textId="77777777" w:rsidR="005E32B9" w:rsidRPr="00650D66" w:rsidRDefault="005E32B9" w:rsidP="005E32B9">
      <w:pPr>
        <w:spacing w:after="0" w:line="276" w:lineRule="auto"/>
        <w:jc w:val="both"/>
        <w:rPr>
          <w:rFonts w:ascii="Times New Roman" w:eastAsia="Times New Roman" w:hAnsi="Times New Roman" w:cs="Times New Roman"/>
          <w:iCs/>
          <w:sz w:val="24"/>
          <w:szCs w:val="24"/>
          <w:lang w:val="ro-RO" w:eastAsia="ru-RU"/>
        </w:rPr>
      </w:pPr>
      <w:r w:rsidRPr="00650D66">
        <w:rPr>
          <w:rFonts w:ascii="Times New Roman" w:eastAsia="Times New Roman" w:hAnsi="Times New Roman" w:cs="Times New Roman"/>
          <w:sz w:val="24"/>
          <w:szCs w:val="24"/>
          <w:lang w:val="ro-RO"/>
        </w:rPr>
        <w:t xml:space="preserve">auditoare publică principală  </w:t>
      </w:r>
      <w:r w:rsidRPr="00650D66">
        <w:rPr>
          <w:rFonts w:ascii="Times New Roman" w:eastAsia="Times New Roman" w:hAnsi="Times New Roman" w:cs="Times New Roman"/>
          <w:iCs/>
          <w:sz w:val="24"/>
          <w:szCs w:val="24"/>
          <w:lang w:val="ro-RO" w:eastAsia="ru-RU"/>
        </w:rPr>
        <w:t xml:space="preserve">      </w:t>
      </w:r>
    </w:p>
    <w:p w14:paraId="34DD5B45" w14:textId="77777777" w:rsidR="005E32B9" w:rsidRPr="00650D66" w:rsidRDefault="005E32B9" w:rsidP="005E32B9">
      <w:pPr>
        <w:spacing w:after="0" w:line="276" w:lineRule="auto"/>
        <w:jc w:val="both"/>
        <w:rPr>
          <w:rFonts w:ascii="Times New Roman" w:eastAsia="Times New Roman" w:hAnsi="Times New Roman" w:cs="Times New Roman"/>
          <w:sz w:val="24"/>
          <w:szCs w:val="24"/>
          <w:lang w:val="ro-RO"/>
        </w:rPr>
      </w:pPr>
    </w:p>
    <w:p w14:paraId="2B033DBC" w14:textId="77777777" w:rsidR="005E32B9" w:rsidRPr="00650D66" w:rsidRDefault="005E32B9" w:rsidP="005E32B9">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 xml:space="preserve">Ana </w:t>
      </w:r>
      <w:proofErr w:type="spellStart"/>
      <w:r w:rsidRPr="00650D66">
        <w:rPr>
          <w:rFonts w:ascii="Times New Roman" w:eastAsia="Times New Roman" w:hAnsi="Times New Roman" w:cs="Times New Roman"/>
          <w:sz w:val="24"/>
          <w:szCs w:val="24"/>
          <w:lang w:val="ro-RO"/>
        </w:rPr>
        <w:t>Durbailo</w:t>
      </w:r>
      <w:proofErr w:type="spellEnd"/>
      <w:r w:rsidRPr="00650D66">
        <w:rPr>
          <w:rFonts w:ascii="Times New Roman" w:eastAsia="Times New Roman" w:hAnsi="Times New Roman" w:cs="Times New Roman"/>
          <w:sz w:val="24"/>
          <w:szCs w:val="24"/>
          <w:lang w:val="ro-RO"/>
        </w:rPr>
        <w:t xml:space="preserve"> ________________</w:t>
      </w:r>
    </w:p>
    <w:p w14:paraId="36641CB4" w14:textId="77777777" w:rsidR="005E32B9" w:rsidRPr="00650D66" w:rsidRDefault="005E32B9" w:rsidP="005E32B9">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auditoare publică superioară</w:t>
      </w:r>
    </w:p>
    <w:p w14:paraId="39AE0334" w14:textId="77777777" w:rsidR="004A1BC0" w:rsidRPr="00650D66" w:rsidRDefault="004A1BC0" w:rsidP="005E32B9">
      <w:pPr>
        <w:spacing w:after="0" w:line="276" w:lineRule="auto"/>
        <w:jc w:val="both"/>
        <w:rPr>
          <w:rFonts w:ascii="Times New Roman" w:eastAsia="Times New Roman" w:hAnsi="Times New Roman" w:cs="Times New Roman"/>
          <w:sz w:val="24"/>
          <w:szCs w:val="24"/>
          <w:lang w:val="ro-RO"/>
        </w:rPr>
      </w:pPr>
    </w:p>
    <w:p w14:paraId="63BDA540" w14:textId="60F12104" w:rsidR="005E32B9" w:rsidRPr="00650D66" w:rsidRDefault="00B5714E" w:rsidP="004A1BC0">
      <w:pPr>
        <w:spacing w:after="0" w:line="276" w:lineRule="auto"/>
        <w:rPr>
          <w:rFonts w:ascii="Times New Roman" w:eastAsia="Times New Roman" w:hAnsi="Times New Roman" w:cs="Times New Roman"/>
          <w:b/>
          <w:bCs/>
          <w:i/>
          <w:iCs/>
          <w:sz w:val="24"/>
          <w:szCs w:val="24"/>
          <w:lang w:val="ro-RO"/>
        </w:rPr>
      </w:pPr>
      <w:r>
        <w:rPr>
          <w:rFonts w:ascii="Times New Roman" w:eastAsia="Times New Roman" w:hAnsi="Times New Roman" w:cs="Times New Roman"/>
          <w:b/>
          <w:bCs/>
          <w:i/>
          <w:iCs/>
          <w:sz w:val="24"/>
          <w:szCs w:val="24"/>
          <w:lang w:val="ro-RO"/>
        </w:rPr>
        <w:t>Partenera misiunii</w:t>
      </w:r>
      <w:r w:rsidR="005E32B9" w:rsidRPr="00650D66">
        <w:rPr>
          <w:rFonts w:ascii="Times New Roman" w:eastAsia="Times New Roman" w:hAnsi="Times New Roman" w:cs="Times New Roman"/>
          <w:b/>
          <w:bCs/>
          <w:i/>
          <w:iCs/>
          <w:sz w:val="24"/>
          <w:szCs w:val="24"/>
          <w:lang w:val="ro-RO"/>
        </w:rPr>
        <w:t xml:space="preserve">: </w:t>
      </w:r>
      <w:r w:rsidR="005E32B9" w:rsidRPr="00650D66">
        <w:rPr>
          <w:rFonts w:ascii="Times New Roman" w:eastAsia="Times New Roman" w:hAnsi="Times New Roman" w:cs="Times New Roman"/>
          <w:sz w:val="24"/>
          <w:szCs w:val="24"/>
          <w:lang w:val="ro-RO"/>
        </w:rPr>
        <w:t>Natalia Trofim ________________</w:t>
      </w:r>
    </w:p>
    <w:p w14:paraId="7D796D66" w14:textId="79ED1EF8" w:rsidR="005D1385" w:rsidRPr="00650D66" w:rsidRDefault="005E32B9" w:rsidP="004A1BC0">
      <w:pPr>
        <w:spacing w:after="0" w:line="276" w:lineRule="auto"/>
        <w:jc w:val="both"/>
        <w:rPr>
          <w:rFonts w:ascii="Times New Roman" w:eastAsia="Times New Roman" w:hAnsi="Times New Roman" w:cs="Times New Roman"/>
          <w:sz w:val="24"/>
          <w:szCs w:val="24"/>
          <w:lang w:val="ro-RO"/>
        </w:rPr>
      </w:pPr>
      <w:r w:rsidRPr="00650D66">
        <w:rPr>
          <w:rFonts w:ascii="Times New Roman" w:eastAsia="Times New Roman" w:hAnsi="Times New Roman" w:cs="Times New Roman"/>
          <w:sz w:val="24"/>
          <w:szCs w:val="24"/>
          <w:lang w:val="ro-RO"/>
        </w:rPr>
        <w:t xml:space="preserve">șefa Direcției generale de audit I: Bugetul de stat și APC    </w:t>
      </w:r>
    </w:p>
    <w:p w14:paraId="3666EA80" w14:textId="77777777" w:rsidR="0009743D" w:rsidRPr="00650D66" w:rsidRDefault="0009743D" w:rsidP="004A1BC0">
      <w:pPr>
        <w:spacing w:after="0" w:line="276" w:lineRule="auto"/>
        <w:jc w:val="both"/>
        <w:rPr>
          <w:rFonts w:ascii="Times New Roman" w:eastAsia="Times New Roman" w:hAnsi="Times New Roman" w:cs="Times New Roman"/>
          <w:sz w:val="24"/>
          <w:szCs w:val="24"/>
          <w:lang w:val="ro-RO"/>
        </w:rPr>
      </w:pPr>
    </w:p>
    <w:p w14:paraId="253F0180" w14:textId="77777777" w:rsidR="00D60201" w:rsidRDefault="00D60201" w:rsidP="004A1BC0">
      <w:pPr>
        <w:spacing w:after="0" w:line="276" w:lineRule="auto"/>
        <w:jc w:val="both"/>
        <w:rPr>
          <w:rFonts w:ascii="Times New Roman" w:eastAsia="Times New Roman" w:hAnsi="Times New Roman" w:cs="Times New Roman"/>
          <w:sz w:val="24"/>
          <w:szCs w:val="24"/>
          <w:lang w:val="ro-RO"/>
        </w:rPr>
      </w:pPr>
    </w:p>
    <w:p w14:paraId="09F6CF14" w14:textId="2A5ECBDF" w:rsidR="00AE1695" w:rsidRDefault="00AE1695" w:rsidP="004A1BC0">
      <w:pPr>
        <w:spacing w:after="0" w:line="276" w:lineRule="auto"/>
        <w:jc w:val="both"/>
        <w:rPr>
          <w:rFonts w:ascii="Times New Roman" w:eastAsia="Times New Roman" w:hAnsi="Times New Roman" w:cs="Times New Roman"/>
          <w:sz w:val="24"/>
          <w:szCs w:val="24"/>
          <w:lang w:val="ro-RO"/>
        </w:rPr>
      </w:pPr>
    </w:p>
    <w:p w14:paraId="7733FA6E" w14:textId="4678100E" w:rsidR="00EA0E29" w:rsidRDefault="00EA0E29" w:rsidP="004A1BC0">
      <w:pPr>
        <w:spacing w:after="0" w:line="276" w:lineRule="auto"/>
        <w:jc w:val="both"/>
        <w:rPr>
          <w:rFonts w:ascii="Times New Roman" w:eastAsia="Times New Roman" w:hAnsi="Times New Roman" w:cs="Times New Roman"/>
          <w:sz w:val="24"/>
          <w:szCs w:val="24"/>
          <w:lang w:val="ro-RO"/>
        </w:rPr>
      </w:pPr>
    </w:p>
    <w:p w14:paraId="69EF8322" w14:textId="77777777" w:rsidR="00AE1695" w:rsidRPr="00650D66" w:rsidRDefault="00AE1695" w:rsidP="004A1BC0">
      <w:pPr>
        <w:spacing w:after="0" w:line="276" w:lineRule="auto"/>
        <w:jc w:val="both"/>
        <w:rPr>
          <w:rFonts w:ascii="Times New Roman" w:eastAsia="Times New Roman" w:hAnsi="Times New Roman" w:cs="Times New Roman"/>
          <w:sz w:val="24"/>
          <w:szCs w:val="24"/>
          <w:lang w:val="ro-RO"/>
        </w:rPr>
      </w:pPr>
    </w:p>
    <w:p w14:paraId="346A1716" w14:textId="77777777" w:rsidR="00D37A66" w:rsidRPr="00650D66" w:rsidRDefault="00FB6FE5" w:rsidP="00BB0C95">
      <w:pPr>
        <w:pStyle w:val="ListParagraph"/>
        <w:numPr>
          <w:ilvl w:val="0"/>
          <w:numId w:val="1"/>
        </w:numPr>
        <w:tabs>
          <w:tab w:val="left" w:pos="426"/>
        </w:tabs>
        <w:spacing w:line="276" w:lineRule="auto"/>
        <w:ind w:left="0" w:firstLine="0"/>
        <w:jc w:val="center"/>
        <w:outlineLvl w:val="0"/>
        <w:rPr>
          <w:rFonts w:ascii="Times New Roman" w:hAnsi="Times New Roman" w:cs="Times New Roman"/>
          <w:b/>
          <w:sz w:val="28"/>
          <w:szCs w:val="28"/>
          <w:lang w:val="ro-RO"/>
        </w:rPr>
      </w:pPr>
      <w:bookmarkStart w:id="25" w:name="_Toc159413649"/>
      <w:r w:rsidRPr="00650D66">
        <w:rPr>
          <w:rFonts w:ascii="Times New Roman" w:hAnsi="Times New Roman" w:cs="Times New Roman"/>
          <w:b/>
          <w:sz w:val="28"/>
          <w:szCs w:val="28"/>
          <w:lang w:val="ro-RO"/>
        </w:rPr>
        <w:lastRenderedPageBreak/>
        <w:t>ANEXE</w:t>
      </w:r>
      <w:bookmarkEnd w:id="25"/>
    </w:p>
    <w:p w14:paraId="65046F72" w14:textId="77777777" w:rsidR="00346A7B" w:rsidRPr="00EA0E29" w:rsidRDefault="00346A7B" w:rsidP="00EA0E29">
      <w:pPr>
        <w:jc w:val="right"/>
        <w:rPr>
          <w:rFonts w:ascii="Times New Roman" w:hAnsi="Times New Roman" w:cs="Times New Roman"/>
          <w:b/>
          <w:sz w:val="24"/>
          <w:szCs w:val="24"/>
          <w:lang w:val="ro-RO"/>
        </w:rPr>
      </w:pPr>
      <w:r w:rsidRPr="00EA0E29">
        <w:rPr>
          <w:rFonts w:ascii="Times New Roman" w:hAnsi="Times New Roman" w:cs="Times New Roman"/>
          <w:b/>
          <w:sz w:val="24"/>
          <w:szCs w:val="24"/>
          <w:lang w:val="ro-RO"/>
        </w:rPr>
        <w:t>Anexa nr</w:t>
      </w:r>
      <w:r w:rsidR="00C17E3A" w:rsidRPr="00EA0E29">
        <w:rPr>
          <w:rFonts w:ascii="Times New Roman" w:hAnsi="Times New Roman" w:cs="Times New Roman"/>
          <w:b/>
          <w:sz w:val="24"/>
          <w:szCs w:val="24"/>
          <w:lang w:val="ro-RO"/>
        </w:rPr>
        <w:t>.</w:t>
      </w:r>
      <w:r w:rsidRPr="00EA0E29">
        <w:rPr>
          <w:rFonts w:ascii="Times New Roman" w:hAnsi="Times New Roman" w:cs="Times New Roman"/>
          <w:b/>
          <w:sz w:val="24"/>
          <w:szCs w:val="24"/>
          <w:lang w:val="ro-RO"/>
        </w:rPr>
        <w:t>1</w:t>
      </w:r>
      <w:r w:rsidR="00634E27" w:rsidRPr="00EA0E29">
        <w:rPr>
          <w:rFonts w:ascii="Times New Roman" w:eastAsia="Calibri" w:hAnsi="Times New Roman" w:cs="Times New Roman"/>
          <w:b/>
          <w:sz w:val="24"/>
          <w:szCs w:val="24"/>
          <w:lang w:val="ro-RO"/>
        </w:rPr>
        <w:t xml:space="preserve"> </w:t>
      </w:r>
      <w:r w:rsidR="00634E27" w:rsidRPr="00EA0E29">
        <w:rPr>
          <w:rFonts w:ascii="Times New Roman" w:hAnsi="Times New Roman" w:cs="Times New Roman"/>
          <w:b/>
          <w:sz w:val="24"/>
          <w:szCs w:val="24"/>
          <w:lang w:val="ro-RO"/>
        </w:rPr>
        <w:t>Cadrul legislativ și instituțional de reglementare</w:t>
      </w:r>
    </w:p>
    <w:tbl>
      <w:tblPr>
        <w:tblW w:w="11143" w:type="dxa"/>
        <w:tblInd w:w="-1134" w:type="dxa"/>
        <w:tblLook w:val="04A0" w:firstRow="1" w:lastRow="0" w:firstColumn="1" w:lastColumn="0" w:noHBand="0" w:noVBand="1"/>
      </w:tblPr>
      <w:tblGrid>
        <w:gridCol w:w="1276"/>
        <w:gridCol w:w="9867"/>
      </w:tblGrid>
      <w:tr w:rsidR="00C817DC" w:rsidRPr="00650D66" w14:paraId="5195FE7A" w14:textId="77777777" w:rsidTr="00F32C69">
        <w:trPr>
          <w:trHeight w:val="204"/>
        </w:trPr>
        <w:tc>
          <w:tcPr>
            <w:tcW w:w="11141" w:type="dxa"/>
            <w:gridSpan w:val="2"/>
            <w:tcBorders>
              <w:top w:val="nil"/>
              <w:left w:val="nil"/>
              <w:bottom w:val="nil"/>
              <w:right w:val="nil"/>
            </w:tcBorders>
            <w:shd w:val="clear" w:color="auto" w:fill="auto"/>
            <w:noWrap/>
            <w:hideMark/>
          </w:tcPr>
          <w:p w14:paraId="76345B0D"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Planificarea, elaborarea, aprobarea, rectificarea, executarea și raportarea devizului de cheltuieli și alocațiilor pentru investiții</w:t>
            </w:r>
          </w:p>
        </w:tc>
      </w:tr>
      <w:tr w:rsidR="00C817DC" w:rsidRPr="00650D66" w14:paraId="28836DCC" w14:textId="77777777" w:rsidTr="00F32C69">
        <w:trPr>
          <w:trHeight w:val="204"/>
        </w:trPr>
        <w:tc>
          <w:tcPr>
            <w:tcW w:w="1276" w:type="dxa"/>
            <w:tcBorders>
              <w:top w:val="nil"/>
              <w:left w:val="nil"/>
              <w:bottom w:val="nil"/>
              <w:right w:val="nil"/>
            </w:tcBorders>
            <w:shd w:val="clear" w:color="auto" w:fill="auto"/>
            <w:hideMark/>
          </w:tcPr>
          <w:p w14:paraId="025078C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436E1DB" w14:textId="67658BFA"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cu privire la Banca </w:t>
            </w:r>
            <w:r w:rsidR="00AD3DD9">
              <w:rPr>
                <w:rFonts w:ascii="Times New Roman" w:eastAsia="Times New Roman" w:hAnsi="Times New Roman" w:cs="Times New Roman"/>
                <w:color w:val="000000"/>
                <w:sz w:val="20"/>
                <w:szCs w:val="20"/>
                <w:lang w:val="ro-RO"/>
              </w:rPr>
              <w:t>Națională a Moldovei nr.548</w:t>
            </w:r>
            <w:r w:rsidRPr="00650D66">
              <w:rPr>
                <w:rFonts w:ascii="Times New Roman" w:eastAsia="Times New Roman" w:hAnsi="Times New Roman" w:cs="Times New Roman"/>
                <w:color w:val="000000"/>
                <w:sz w:val="20"/>
                <w:szCs w:val="20"/>
                <w:lang w:val="ro-RO"/>
              </w:rPr>
              <w:t xml:space="preserve"> din 21.07.1995, cu modificările ulterioare</w:t>
            </w:r>
          </w:p>
        </w:tc>
      </w:tr>
      <w:tr w:rsidR="00C817DC" w:rsidRPr="00650D66" w14:paraId="4A4780A0" w14:textId="77777777" w:rsidTr="00F32C69">
        <w:trPr>
          <w:trHeight w:val="204"/>
        </w:trPr>
        <w:tc>
          <w:tcPr>
            <w:tcW w:w="1276" w:type="dxa"/>
            <w:tcBorders>
              <w:top w:val="nil"/>
              <w:left w:val="nil"/>
              <w:bottom w:val="nil"/>
              <w:right w:val="nil"/>
            </w:tcBorders>
            <w:shd w:val="clear" w:color="auto" w:fill="auto"/>
            <w:hideMark/>
          </w:tcPr>
          <w:p w14:paraId="5517F06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26F136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Proces Elaborarea si executarea bugetului BNM, inclusiv a devizului de cheltuieli si </w:t>
            </w:r>
            <w:r w:rsidR="00F717E3" w:rsidRPr="00650D66">
              <w:rPr>
                <w:rFonts w:ascii="Times New Roman" w:eastAsia="Times New Roman" w:hAnsi="Times New Roman" w:cs="Times New Roman"/>
                <w:color w:val="000000"/>
                <w:sz w:val="20"/>
                <w:szCs w:val="20"/>
                <w:lang w:val="ro-RO"/>
              </w:rPr>
              <w:t>alocațiilor</w:t>
            </w:r>
            <w:r w:rsidRPr="00650D66">
              <w:rPr>
                <w:rFonts w:ascii="Times New Roman" w:eastAsia="Times New Roman" w:hAnsi="Times New Roman" w:cs="Times New Roman"/>
                <w:color w:val="000000"/>
                <w:sz w:val="20"/>
                <w:szCs w:val="20"/>
                <w:lang w:val="ro-RO"/>
              </w:rPr>
              <w:t xml:space="preserve"> pentru </w:t>
            </w:r>
            <w:r w:rsidR="00F717E3" w:rsidRPr="00650D66">
              <w:rPr>
                <w:rFonts w:ascii="Times New Roman" w:eastAsia="Times New Roman" w:hAnsi="Times New Roman" w:cs="Times New Roman"/>
                <w:color w:val="000000"/>
                <w:sz w:val="20"/>
                <w:szCs w:val="20"/>
                <w:lang w:val="ro-RO"/>
              </w:rPr>
              <w:t>investiții</w:t>
            </w:r>
            <w:r w:rsidRPr="00650D66">
              <w:rPr>
                <w:rFonts w:ascii="Times New Roman" w:eastAsia="Times New Roman" w:hAnsi="Times New Roman" w:cs="Times New Roman"/>
                <w:color w:val="000000"/>
                <w:sz w:val="20"/>
                <w:szCs w:val="20"/>
                <w:lang w:val="ro-RO"/>
              </w:rPr>
              <w:t xml:space="preserve"> - anual si pe termen mediu</w:t>
            </w:r>
          </w:p>
        </w:tc>
      </w:tr>
      <w:tr w:rsidR="00C817DC" w:rsidRPr="00650D66" w14:paraId="5AF1619A" w14:textId="77777777" w:rsidTr="00F32C69">
        <w:trPr>
          <w:trHeight w:val="204"/>
        </w:trPr>
        <w:tc>
          <w:tcPr>
            <w:tcW w:w="1276" w:type="dxa"/>
            <w:tcBorders>
              <w:top w:val="nil"/>
              <w:left w:val="nil"/>
              <w:bottom w:val="nil"/>
              <w:right w:val="nil"/>
            </w:tcBorders>
            <w:shd w:val="clear" w:color="auto" w:fill="auto"/>
            <w:hideMark/>
          </w:tcPr>
          <w:p w14:paraId="341E54C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AA79AF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elaborarea și executarea devizului de cheltuieli și alocațiilor pentru investiții ale Băncii Naționale a Moldovei, HCS nr.5 din 23.12.2015</w:t>
            </w:r>
          </w:p>
        </w:tc>
      </w:tr>
      <w:tr w:rsidR="00C817DC" w:rsidRPr="00650D66" w14:paraId="485FF4CB" w14:textId="77777777" w:rsidTr="00F32C69">
        <w:trPr>
          <w:trHeight w:val="204"/>
        </w:trPr>
        <w:tc>
          <w:tcPr>
            <w:tcW w:w="1276" w:type="dxa"/>
            <w:tcBorders>
              <w:top w:val="nil"/>
              <w:left w:val="nil"/>
              <w:bottom w:val="nil"/>
              <w:right w:val="nil"/>
            </w:tcBorders>
            <w:shd w:val="clear" w:color="auto" w:fill="auto"/>
            <w:hideMark/>
          </w:tcPr>
          <w:p w14:paraId="793A49A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C287D6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cu privire la gestiunea Tehnologiei Informației și Comunicațiilor în cadrul Băncii Naționale a Moldovei, HCE, Nr.59 din 28.03.2018</w:t>
            </w:r>
          </w:p>
        </w:tc>
      </w:tr>
      <w:tr w:rsidR="00C817DC" w:rsidRPr="00650D66" w14:paraId="786B7AF1" w14:textId="77777777" w:rsidTr="00F32C69">
        <w:trPr>
          <w:trHeight w:val="204"/>
        </w:trPr>
        <w:tc>
          <w:tcPr>
            <w:tcW w:w="1276" w:type="dxa"/>
            <w:tcBorders>
              <w:top w:val="nil"/>
              <w:left w:val="nil"/>
              <w:bottom w:val="nil"/>
              <w:right w:val="nil"/>
            </w:tcBorders>
            <w:shd w:val="clear" w:color="auto" w:fill="auto"/>
            <w:hideMark/>
          </w:tcPr>
          <w:p w14:paraId="243EECC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D0F8B9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Concept cu privire la implementarea cadrului de gestiune a proiectelor și programelor în Banca Națională a Moldovei, HCA, Nr.276 din 26.12.2013</w:t>
            </w:r>
          </w:p>
        </w:tc>
      </w:tr>
      <w:tr w:rsidR="00C817DC" w:rsidRPr="00650D66" w14:paraId="224879B9" w14:textId="77777777" w:rsidTr="00F32C69">
        <w:trPr>
          <w:trHeight w:val="204"/>
        </w:trPr>
        <w:tc>
          <w:tcPr>
            <w:tcW w:w="1276" w:type="dxa"/>
            <w:tcBorders>
              <w:top w:val="nil"/>
              <w:left w:val="nil"/>
              <w:bottom w:val="nil"/>
              <w:right w:val="nil"/>
            </w:tcBorders>
            <w:shd w:val="clear" w:color="auto" w:fill="auto"/>
            <w:hideMark/>
          </w:tcPr>
          <w:p w14:paraId="4E58744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3270891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Cadrul general privind sistemul de gestiune a proiectelor și programelor în Banca Națională a Moldovei, HCE, Nr.21 din 30.01.2020</w:t>
            </w:r>
          </w:p>
        </w:tc>
      </w:tr>
      <w:tr w:rsidR="00C817DC" w:rsidRPr="00650D66" w14:paraId="4C13AC6F" w14:textId="77777777" w:rsidTr="00F32C69">
        <w:trPr>
          <w:trHeight w:val="204"/>
        </w:trPr>
        <w:tc>
          <w:tcPr>
            <w:tcW w:w="1276" w:type="dxa"/>
            <w:tcBorders>
              <w:top w:val="nil"/>
              <w:left w:val="nil"/>
              <w:bottom w:val="nil"/>
              <w:right w:val="nil"/>
            </w:tcBorders>
            <w:shd w:val="clear" w:color="auto" w:fill="auto"/>
            <w:hideMark/>
          </w:tcPr>
          <w:p w14:paraId="5172686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D1CFC9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Cadrul general privind planificarea strategică în Banca Națională a Moldovei, HCE, Nr.92 din 03.05.2018</w:t>
            </w:r>
          </w:p>
        </w:tc>
      </w:tr>
      <w:tr w:rsidR="00C817DC" w:rsidRPr="00650D66" w14:paraId="0BE26D99" w14:textId="77777777" w:rsidTr="00F32C69">
        <w:trPr>
          <w:trHeight w:val="204"/>
        </w:trPr>
        <w:tc>
          <w:tcPr>
            <w:tcW w:w="1276" w:type="dxa"/>
            <w:tcBorders>
              <w:top w:val="nil"/>
              <w:left w:val="nil"/>
              <w:bottom w:val="nil"/>
              <w:right w:val="nil"/>
            </w:tcBorders>
            <w:shd w:val="clear" w:color="auto" w:fill="auto"/>
            <w:hideMark/>
          </w:tcPr>
          <w:p w14:paraId="29CB0E4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DEF2EC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Cadrul general privind sistemul de gestiune a proceselor de activitate în Banca </w:t>
            </w:r>
            <w:r w:rsidR="00F32C69" w:rsidRPr="00650D66">
              <w:rPr>
                <w:rFonts w:ascii="Times New Roman" w:eastAsia="Times New Roman" w:hAnsi="Times New Roman" w:cs="Times New Roman"/>
                <w:color w:val="000000"/>
                <w:sz w:val="20"/>
                <w:szCs w:val="20"/>
                <w:lang w:val="ro-RO"/>
              </w:rPr>
              <w:t>Națională</w:t>
            </w:r>
            <w:r w:rsidRPr="00650D66">
              <w:rPr>
                <w:rFonts w:ascii="Times New Roman" w:eastAsia="Times New Roman" w:hAnsi="Times New Roman" w:cs="Times New Roman"/>
                <w:color w:val="000000"/>
                <w:sz w:val="20"/>
                <w:szCs w:val="20"/>
                <w:lang w:val="ro-RO"/>
              </w:rPr>
              <w:t xml:space="preserve"> a Moldovei, HCE, Nr.82 din 30.10.2015</w:t>
            </w:r>
          </w:p>
        </w:tc>
      </w:tr>
      <w:tr w:rsidR="00C817DC" w:rsidRPr="00650D66" w14:paraId="60E5A549" w14:textId="77777777" w:rsidTr="00F32C69">
        <w:trPr>
          <w:trHeight w:val="204"/>
        </w:trPr>
        <w:tc>
          <w:tcPr>
            <w:tcW w:w="1276" w:type="dxa"/>
            <w:tcBorders>
              <w:top w:val="nil"/>
              <w:left w:val="nil"/>
              <w:bottom w:val="nil"/>
              <w:right w:val="nil"/>
            </w:tcBorders>
            <w:shd w:val="clear" w:color="auto" w:fill="auto"/>
            <w:hideMark/>
          </w:tcPr>
          <w:p w14:paraId="0893503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679FCD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Cadrul privind gestiunea riscurilor operaționale în Banca Națională a Moldovei, HCS, Nr.28 din 28.11.2018</w:t>
            </w:r>
          </w:p>
        </w:tc>
      </w:tr>
      <w:tr w:rsidR="00C817DC" w:rsidRPr="00650D66" w14:paraId="67BB1532" w14:textId="77777777" w:rsidTr="00F32C69">
        <w:trPr>
          <w:trHeight w:val="204"/>
        </w:trPr>
        <w:tc>
          <w:tcPr>
            <w:tcW w:w="1276" w:type="dxa"/>
            <w:tcBorders>
              <w:top w:val="nil"/>
              <w:left w:val="nil"/>
              <w:bottom w:val="nil"/>
              <w:right w:val="nil"/>
            </w:tcBorders>
            <w:shd w:val="clear" w:color="auto" w:fill="auto"/>
            <w:hideMark/>
          </w:tcPr>
          <w:p w14:paraId="6502D1E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83BC32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privind Sistemul de Control Intern în cadrul Băncii </w:t>
            </w:r>
            <w:r w:rsidR="001812C8"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HCA, Nr.72 din 08.04.2010</w:t>
            </w:r>
          </w:p>
        </w:tc>
      </w:tr>
      <w:tr w:rsidR="00C817DC" w:rsidRPr="00650D66" w14:paraId="373FA404" w14:textId="77777777" w:rsidTr="00F32C69">
        <w:trPr>
          <w:trHeight w:val="204"/>
        </w:trPr>
        <w:tc>
          <w:tcPr>
            <w:tcW w:w="1276" w:type="dxa"/>
            <w:tcBorders>
              <w:top w:val="nil"/>
              <w:left w:val="nil"/>
              <w:bottom w:val="nil"/>
              <w:right w:val="nil"/>
            </w:tcBorders>
            <w:shd w:val="clear" w:color="auto" w:fill="auto"/>
            <w:hideMark/>
          </w:tcPr>
          <w:p w14:paraId="0F29116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58E82E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Regulamente de activitate ale </w:t>
            </w:r>
            <w:r w:rsidR="005909B1" w:rsidRPr="00650D66">
              <w:rPr>
                <w:rFonts w:ascii="Times New Roman" w:eastAsia="Times New Roman" w:hAnsi="Times New Roman" w:cs="Times New Roman"/>
                <w:color w:val="000000"/>
                <w:sz w:val="20"/>
                <w:szCs w:val="20"/>
                <w:lang w:val="ro-RO"/>
              </w:rPr>
              <w:t>Subdiviziunilor</w:t>
            </w:r>
            <w:r w:rsidRPr="00650D66">
              <w:rPr>
                <w:rFonts w:ascii="Times New Roman" w:eastAsia="Times New Roman" w:hAnsi="Times New Roman" w:cs="Times New Roman"/>
                <w:color w:val="000000"/>
                <w:sz w:val="20"/>
                <w:szCs w:val="20"/>
                <w:lang w:val="ro-RO"/>
              </w:rPr>
              <w:t xml:space="preserve"> participante la procesul de planificare și executare a Devizului de cheltuieli și alocații pentru investiții</w:t>
            </w:r>
          </w:p>
        </w:tc>
      </w:tr>
      <w:tr w:rsidR="00C817DC" w:rsidRPr="00650D66" w14:paraId="2F0E6A6E" w14:textId="77777777" w:rsidTr="00F32C69">
        <w:trPr>
          <w:trHeight w:val="204"/>
        </w:trPr>
        <w:tc>
          <w:tcPr>
            <w:tcW w:w="1276" w:type="dxa"/>
            <w:tcBorders>
              <w:top w:val="nil"/>
              <w:left w:val="nil"/>
              <w:bottom w:val="nil"/>
              <w:right w:val="nil"/>
            </w:tcBorders>
            <w:shd w:val="clear" w:color="auto" w:fill="auto"/>
            <w:hideMark/>
          </w:tcPr>
          <w:p w14:paraId="1F8402B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66941C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de organizare și funcționare a Consiliului de supraveghere al Băncii Naționale a Moldovei HCS, Nr.25 din 23.08.2019</w:t>
            </w:r>
          </w:p>
        </w:tc>
      </w:tr>
      <w:tr w:rsidR="00C817DC" w:rsidRPr="00650D66" w14:paraId="3F8DD825" w14:textId="77777777" w:rsidTr="00F32C69">
        <w:trPr>
          <w:trHeight w:val="204"/>
        </w:trPr>
        <w:tc>
          <w:tcPr>
            <w:tcW w:w="1276" w:type="dxa"/>
            <w:tcBorders>
              <w:top w:val="nil"/>
              <w:left w:val="nil"/>
              <w:bottom w:val="nil"/>
              <w:right w:val="nil"/>
            </w:tcBorders>
            <w:shd w:val="clear" w:color="auto" w:fill="auto"/>
            <w:hideMark/>
          </w:tcPr>
          <w:p w14:paraId="5715DBB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7C9A1E6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de funcționare a Comitetului executiv, HCE, Nr.214 din 24.09.2020</w:t>
            </w:r>
          </w:p>
        </w:tc>
      </w:tr>
      <w:tr w:rsidR="00C817DC" w:rsidRPr="00650D66" w14:paraId="64714AD0" w14:textId="77777777" w:rsidTr="00F32C69">
        <w:trPr>
          <w:trHeight w:val="204"/>
        </w:trPr>
        <w:tc>
          <w:tcPr>
            <w:tcW w:w="1276" w:type="dxa"/>
            <w:tcBorders>
              <w:top w:val="nil"/>
              <w:left w:val="nil"/>
              <w:bottom w:val="nil"/>
              <w:right w:val="nil"/>
            </w:tcBorders>
            <w:shd w:val="clear" w:color="auto" w:fill="auto"/>
            <w:hideMark/>
          </w:tcPr>
          <w:p w14:paraId="3FA9E53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73CB971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Politica de continuitate a </w:t>
            </w:r>
            <w:r w:rsidR="00413EE4" w:rsidRPr="00650D66">
              <w:rPr>
                <w:rFonts w:ascii="Times New Roman" w:eastAsia="Times New Roman" w:hAnsi="Times New Roman" w:cs="Times New Roman"/>
                <w:color w:val="000000"/>
                <w:sz w:val="20"/>
                <w:szCs w:val="20"/>
                <w:lang w:val="ro-RO"/>
              </w:rPr>
              <w:t>activității</w:t>
            </w:r>
            <w:r w:rsidRPr="00650D66">
              <w:rPr>
                <w:rFonts w:ascii="Times New Roman" w:eastAsia="Times New Roman" w:hAnsi="Times New Roman" w:cs="Times New Roman"/>
                <w:color w:val="000000"/>
                <w:sz w:val="20"/>
                <w:szCs w:val="20"/>
                <w:lang w:val="ro-RO"/>
              </w:rPr>
              <w:t xml:space="preserve"> Băncii </w:t>
            </w:r>
            <w:r w:rsidR="00413EE4"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HCS, Nr.2 din 14.04.2020</w:t>
            </w:r>
          </w:p>
        </w:tc>
      </w:tr>
      <w:tr w:rsidR="00C817DC" w:rsidRPr="00650D66" w14:paraId="23ACCEA3" w14:textId="77777777" w:rsidTr="00F32C69">
        <w:trPr>
          <w:trHeight w:val="204"/>
        </w:trPr>
        <w:tc>
          <w:tcPr>
            <w:tcW w:w="1276" w:type="dxa"/>
            <w:tcBorders>
              <w:top w:val="nil"/>
              <w:left w:val="nil"/>
              <w:bottom w:val="nil"/>
              <w:right w:val="nil"/>
            </w:tcBorders>
            <w:shd w:val="clear" w:color="auto" w:fill="auto"/>
            <w:hideMark/>
          </w:tcPr>
          <w:p w14:paraId="6950039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3DA5FB7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privind gestiunea continuității activității Băncii Naționale a Moldovei, HCE, Nr.116 din 07.05.2020 </w:t>
            </w:r>
          </w:p>
        </w:tc>
      </w:tr>
      <w:tr w:rsidR="00C817DC" w:rsidRPr="00650D66" w14:paraId="4F79182E" w14:textId="77777777" w:rsidTr="00F32C69">
        <w:trPr>
          <w:trHeight w:val="204"/>
        </w:trPr>
        <w:tc>
          <w:tcPr>
            <w:tcW w:w="1276" w:type="dxa"/>
            <w:tcBorders>
              <w:top w:val="nil"/>
              <w:left w:val="nil"/>
              <w:bottom w:val="nil"/>
              <w:right w:val="nil"/>
            </w:tcBorders>
            <w:shd w:val="clear" w:color="auto" w:fill="auto"/>
            <w:hideMark/>
          </w:tcPr>
          <w:p w14:paraId="378004D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4546FD88"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176CECF2" w14:textId="77777777" w:rsidTr="00F32C69">
        <w:trPr>
          <w:trHeight w:val="204"/>
        </w:trPr>
        <w:tc>
          <w:tcPr>
            <w:tcW w:w="11141" w:type="dxa"/>
            <w:gridSpan w:val="2"/>
            <w:tcBorders>
              <w:top w:val="nil"/>
              <w:left w:val="nil"/>
              <w:bottom w:val="nil"/>
              <w:right w:val="nil"/>
            </w:tcBorders>
            <w:shd w:val="clear" w:color="auto" w:fill="auto"/>
            <w:noWrap/>
            <w:hideMark/>
          </w:tcPr>
          <w:p w14:paraId="73A18B61"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Generale de evidență contabilă și impozitare, aplicabile procesului de executare a devizului de cheltuieli și alocații pentru investiții </w:t>
            </w:r>
          </w:p>
        </w:tc>
      </w:tr>
      <w:tr w:rsidR="00C817DC" w:rsidRPr="00650D66" w14:paraId="00A2B365" w14:textId="77777777" w:rsidTr="00F32C69">
        <w:trPr>
          <w:trHeight w:val="204"/>
        </w:trPr>
        <w:tc>
          <w:tcPr>
            <w:tcW w:w="1276" w:type="dxa"/>
            <w:tcBorders>
              <w:top w:val="nil"/>
              <w:left w:val="nil"/>
              <w:bottom w:val="nil"/>
              <w:right w:val="nil"/>
            </w:tcBorders>
            <w:shd w:val="clear" w:color="auto" w:fill="auto"/>
            <w:hideMark/>
          </w:tcPr>
          <w:p w14:paraId="48CAB82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408CCB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287/2017 </w:t>
            </w:r>
            <w:r w:rsidR="00204044" w:rsidRPr="00650D66">
              <w:rPr>
                <w:rFonts w:ascii="Times New Roman" w:eastAsia="Times New Roman" w:hAnsi="Times New Roman" w:cs="Times New Roman"/>
                <w:color w:val="000000"/>
                <w:sz w:val="20"/>
                <w:szCs w:val="20"/>
                <w:lang w:val="ro-RO"/>
              </w:rPr>
              <w:t>contabilității</w:t>
            </w:r>
            <w:r w:rsidRPr="00650D66">
              <w:rPr>
                <w:rFonts w:ascii="Times New Roman" w:eastAsia="Times New Roman" w:hAnsi="Times New Roman" w:cs="Times New Roman"/>
                <w:color w:val="000000"/>
                <w:sz w:val="20"/>
                <w:szCs w:val="20"/>
                <w:lang w:val="ro-RO"/>
              </w:rPr>
              <w:t xml:space="preserve"> și raportării financiare, cu modificările ulterioare</w:t>
            </w:r>
          </w:p>
        </w:tc>
      </w:tr>
      <w:tr w:rsidR="00C817DC" w:rsidRPr="00650D66" w14:paraId="084A3E36" w14:textId="77777777" w:rsidTr="00F32C69">
        <w:trPr>
          <w:trHeight w:val="204"/>
        </w:trPr>
        <w:tc>
          <w:tcPr>
            <w:tcW w:w="1276" w:type="dxa"/>
            <w:tcBorders>
              <w:top w:val="nil"/>
              <w:left w:val="nil"/>
              <w:bottom w:val="nil"/>
              <w:right w:val="nil"/>
            </w:tcBorders>
            <w:shd w:val="clear" w:color="auto" w:fill="auto"/>
            <w:hideMark/>
          </w:tcPr>
          <w:p w14:paraId="7CC8E98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2B3D6F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Standardele internaționa</w:t>
            </w:r>
            <w:r w:rsidR="005C2D00" w:rsidRPr="00650D66">
              <w:rPr>
                <w:rFonts w:ascii="Times New Roman" w:eastAsia="Times New Roman" w:hAnsi="Times New Roman" w:cs="Times New Roman"/>
                <w:color w:val="000000"/>
                <w:sz w:val="20"/>
                <w:szCs w:val="20"/>
                <w:lang w:val="ro-RO"/>
              </w:rPr>
              <w:t>le de raportare financiară (IFRS</w:t>
            </w:r>
            <w:r w:rsidRPr="00650D66">
              <w:rPr>
                <w:rFonts w:ascii="Times New Roman" w:eastAsia="Times New Roman" w:hAnsi="Times New Roman" w:cs="Times New Roman"/>
                <w:color w:val="000000"/>
                <w:sz w:val="20"/>
                <w:szCs w:val="20"/>
                <w:lang w:val="ro-RO"/>
              </w:rPr>
              <w:t>)</w:t>
            </w:r>
          </w:p>
        </w:tc>
      </w:tr>
      <w:tr w:rsidR="00C817DC" w:rsidRPr="00650D66" w14:paraId="4D13F8CE" w14:textId="77777777" w:rsidTr="00F32C69">
        <w:trPr>
          <w:trHeight w:val="204"/>
        </w:trPr>
        <w:tc>
          <w:tcPr>
            <w:tcW w:w="1276" w:type="dxa"/>
            <w:tcBorders>
              <w:top w:val="nil"/>
              <w:left w:val="nil"/>
              <w:bottom w:val="nil"/>
              <w:right w:val="nil"/>
            </w:tcBorders>
            <w:shd w:val="clear" w:color="auto" w:fill="auto"/>
            <w:hideMark/>
          </w:tcPr>
          <w:p w14:paraId="234162D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E7A18B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Politici contabile ale Băncii </w:t>
            </w:r>
            <w:r w:rsidR="00204044"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HCE 315/2019 cu </w:t>
            </w:r>
            <w:r w:rsidR="00413EE4" w:rsidRPr="00650D66">
              <w:rPr>
                <w:rFonts w:ascii="Times New Roman" w:eastAsia="Times New Roman" w:hAnsi="Times New Roman" w:cs="Times New Roman"/>
                <w:color w:val="000000"/>
                <w:sz w:val="20"/>
                <w:szCs w:val="20"/>
                <w:lang w:val="ro-RO"/>
              </w:rPr>
              <w:t>modificările</w:t>
            </w:r>
            <w:r w:rsidRPr="00650D66">
              <w:rPr>
                <w:rFonts w:ascii="Times New Roman" w:eastAsia="Times New Roman" w:hAnsi="Times New Roman" w:cs="Times New Roman"/>
                <w:color w:val="000000"/>
                <w:sz w:val="20"/>
                <w:szCs w:val="20"/>
                <w:lang w:val="ro-RO"/>
              </w:rPr>
              <w:t xml:space="preserve"> HCE 354/2019, HCE 301/2020; HCE 270/2021</w:t>
            </w:r>
          </w:p>
        </w:tc>
      </w:tr>
      <w:tr w:rsidR="00C817DC" w:rsidRPr="00650D66" w14:paraId="355D990D" w14:textId="77777777" w:rsidTr="00F32C69">
        <w:trPr>
          <w:trHeight w:val="204"/>
        </w:trPr>
        <w:tc>
          <w:tcPr>
            <w:tcW w:w="1276" w:type="dxa"/>
            <w:tcBorders>
              <w:top w:val="nil"/>
              <w:left w:val="nil"/>
              <w:bottom w:val="nil"/>
              <w:right w:val="nil"/>
            </w:tcBorders>
            <w:shd w:val="clear" w:color="auto" w:fill="auto"/>
            <w:hideMark/>
          </w:tcPr>
          <w:p w14:paraId="123CD12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22F8DB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Planul de conturi al Băncii Naționale a Moldovei, aprobat prin HCE nr. 362 din 28.12.2017, cu modificările ulterioare; </w:t>
            </w:r>
          </w:p>
        </w:tc>
      </w:tr>
      <w:tr w:rsidR="00C817DC" w:rsidRPr="00650D66" w14:paraId="5DE3C29A" w14:textId="77777777" w:rsidTr="00F32C69">
        <w:trPr>
          <w:trHeight w:val="204"/>
        </w:trPr>
        <w:tc>
          <w:tcPr>
            <w:tcW w:w="1276" w:type="dxa"/>
            <w:tcBorders>
              <w:top w:val="nil"/>
              <w:left w:val="nil"/>
              <w:bottom w:val="nil"/>
              <w:right w:val="nil"/>
            </w:tcBorders>
            <w:shd w:val="clear" w:color="auto" w:fill="auto"/>
            <w:hideMark/>
          </w:tcPr>
          <w:p w14:paraId="62C5583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7D5532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Fiscal al Republicii Moldova; Legea 1164-XIII din 24.04.1997 pentru punerea în aplicare a titlurilor I și II al Codului fiscal</w:t>
            </w:r>
          </w:p>
        </w:tc>
      </w:tr>
      <w:tr w:rsidR="00C817DC" w:rsidRPr="00650D66" w14:paraId="47AE5C03" w14:textId="77777777" w:rsidTr="00F32C69">
        <w:trPr>
          <w:trHeight w:val="204"/>
        </w:trPr>
        <w:tc>
          <w:tcPr>
            <w:tcW w:w="1276" w:type="dxa"/>
            <w:tcBorders>
              <w:top w:val="nil"/>
              <w:left w:val="nil"/>
              <w:bottom w:val="nil"/>
              <w:right w:val="nil"/>
            </w:tcBorders>
            <w:shd w:val="clear" w:color="auto" w:fill="auto"/>
            <w:hideMark/>
          </w:tcPr>
          <w:p w14:paraId="05AD7A1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B30BC2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693/2018 cu privire la determinarea obligațiilor fiscale aferente impozitului pe venit</w:t>
            </w:r>
          </w:p>
        </w:tc>
      </w:tr>
      <w:tr w:rsidR="00C817DC" w:rsidRPr="00650D66" w14:paraId="7A78D525" w14:textId="77777777" w:rsidTr="00F32C69">
        <w:trPr>
          <w:trHeight w:val="612"/>
        </w:trPr>
        <w:tc>
          <w:tcPr>
            <w:tcW w:w="1276" w:type="dxa"/>
            <w:tcBorders>
              <w:top w:val="nil"/>
              <w:left w:val="nil"/>
              <w:bottom w:val="nil"/>
              <w:right w:val="nil"/>
            </w:tcBorders>
            <w:shd w:val="clear" w:color="auto" w:fill="auto"/>
            <w:hideMark/>
          </w:tcPr>
          <w:p w14:paraId="070CBC1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E980EB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Hotărârea Guvernului nr. 697/2014 pentru aprobarea Regulamentului cu privire la reținerea impozitului pe venit din salariu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din alte </w:t>
            </w:r>
            <w:r w:rsidR="00204044" w:rsidRPr="00650D66">
              <w:rPr>
                <w:rFonts w:ascii="Times New Roman" w:eastAsia="Times New Roman" w:hAnsi="Times New Roman" w:cs="Times New Roman"/>
                <w:color w:val="000000"/>
                <w:sz w:val="20"/>
                <w:szCs w:val="20"/>
                <w:lang w:val="ro-RO"/>
              </w:rPr>
              <w:t>plăți</w:t>
            </w:r>
            <w:r w:rsidRPr="00650D66">
              <w:rPr>
                <w:rFonts w:ascii="Times New Roman" w:eastAsia="Times New Roman" w:hAnsi="Times New Roman" w:cs="Times New Roman"/>
                <w:color w:val="000000"/>
                <w:sz w:val="20"/>
                <w:szCs w:val="20"/>
                <w:lang w:val="ro-RO"/>
              </w:rPr>
              <w:t xml:space="preserve"> efectuate</w:t>
            </w:r>
            <w:r w:rsidRPr="00650D66">
              <w:rPr>
                <w:rFonts w:ascii="Times New Roman" w:eastAsia="Times New Roman" w:hAnsi="Times New Roman" w:cs="Times New Roman"/>
                <w:color w:val="000000"/>
                <w:sz w:val="20"/>
                <w:szCs w:val="20"/>
                <w:lang w:val="ro-RO"/>
              </w:rPr>
              <w:br/>
              <w:t xml:space="preserve">de către patron în folosul angajatului, precum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din </w:t>
            </w:r>
            <w:r w:rsidR="00204044" w:rsidRPr="00650D66">
              <w:rPr>
                <w:rFonts w:ascii="Times New Roman" w:eastAsia="Times New Roman" w:hAnsi="Times New Roman" w:cs="Times New Roman"/>
                <w:color w:val="000000"/>
                <w:sz w:val="20"/>
                <w:szCs w:val="20"/>
                <w:lang w:val="ro-RO"/>
              </w:rPr>
              <w:t>plățile</w:t>
            </w:r>
            <w:r w:rsidRPr="00650D66">
              <w:rPr>
                <w:rFonts w:ascii="Times New Roman" w:eastAsia="Times New Roman" w:hAnsi="Times New Roman" w:cs="Times New Roman"/>
                <w:color w:val="000000"/>
                <w:sz w:val="20"/>
                <w:szCs w:val="20"/>
                <w:lang w:val="ro-RO"/>
              </w:rPr>
              <w:t xml:space="preserve"> achitate în folosul persoanelor fizice care nu practică activitate de întreprinzător pentru</w:t>
            </w:r>
            <w:r w:rsidRPr="00650D66">
              <w:rPr>
                <w:rFonts w:ascii="Times New Roman" w:eastAsia="Times New Roman" w:hAnsi="Times New Roman" w:cs="Times New Roman"/>
                <w:color w:val="000000"/>
                <w:sz w:val="20"/>
                <w:szCs w:val="20"/>
                <w:lang w:val="ro-RO"/>
              </w:rPr>
              <w:br/>
              <w:t xml:space="preserve">serviciile prestate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/sau efectuarea de lucrări; </w:t>
            </w:r>
          </w:p>
        </w:tc>
      </w:tr>
      <w:tr w:rsidR="00C817DC" w:rsidRPr="00650D66" w14:paraId="3C82AB27" w14:textId="77777777" w:rsidTr="00F32C69">
        <w:trPr>
          <w:trHeight w:val="204"/>
        </w:trPr>
        <w:tc>
          <w:tcPr>
            <w:tcW w:w="1276" w:type="dxa"/>
            <w:tcBorders>
              <w:top w:val="nil"/>
              <w:left w:val="nil"/>
              <w:bottom w:val="nil"/>
              <w:right w:val="nil"/>
            </w:tcBorders>
            <w:shd w:val="clear" w:color="auto" w:fill="auto"/>
            <w:hideMark/>
          </w:tcPr>
          <w:p w14:paraId="0895F0C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B4260A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489/1999 privind sistemul public de asigurări sociale, cu modificările ulterioare</w:t>
            </w:r>
          </w:p>
        </w:tc>
      </w:tr>
      <w:tr w:rsidR="00C817DC" w:rsidRPr="00650D66" w14:paraId="1EDE1849" w14:textId="77777777" w:rsidTr="00F32C69">
        <w:trPr>
          <w:trHeight w:val="204"/>
        </w:trPr>
        <w:tc>
          <w:tcPr>
            <w:tcW w:w="1276" w:type="dxa"/>
            <w:tcBorders>
              <w:top w:val="nil"/>
              <w:left w:val="nil"/>
              <w:bottom w:val="nil"/>
              <w:right w:val="nil"/>
            </w:tcBorders>
            <w:shd w:val="clear" w:color="auto" w:fill="auto"/>
            <w:hideMark/>
          </w:tcPr>
          <w:p w14:paraId="7BECD1E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73D89D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1585/1998 cu privire la asigurarea obligatorie de </w:t>
            </w:r>
            <w:r w:rsidR="00204044" w:rsidRPr="00650D66">
              <w:rPr>
                <w:rFonts w:ascii="Times New Roman" w:eastAsia="Times New Roman" w:hAnsi="Times New Roman" w:cs="Times New Roman"/>
                <w:color w:val="000000"/>
                <w:sz w:val="20"/>
                <w:szCs w:val="20"/>
                <w:lang w:val="ro-RO"/>
              </w:rPr>
              <w:t>asistență</w:t>
            </w:r>
            <w:r w:rsidRPr="00650D66">
              <w:rPr>
                <w:rFonts w:ascii="Times New Roman" w:eastAsia="Times New Roman" w:hAnsi="Times New Roman" w:cs="Times New Roman"/>
                <w:color w:val="000000"/>
                <w:sz w:val="20"/>
                <w:szCs w:val="20"/>
                <w:lang w:val="ro-RO"/>
              </w:rPr>
              <w:t xml:space="preserve"> medicală, cu modificările ulterioare</w:t>
            </w:r>
          </w:p>
        </w:tc>
      </w:tr>
      <w:tr w:rsidR="00C817DC" w:rsidRPr="00650D66" w14:paraId="7DD6AF23" w14:textId="77777777" w:rsidTr="00F32C69">
        <w:trPr>
          <w:trHeight w:val="204"/>
        </w:trPr>
        <w:tc>
          <w:tcPr>
            <w:tcW w:w="1276" w:type="dxa"/>
            <w:tcBorders>
              <w:top w:val="nil"/>
              <w:left w:val="nil"/>
              <w:bottom w:val="nil"/>
              <w:right w:val="nil"/>
            </w:tcBorders>
            <w:shd w:val="clear" w:color="auto" w:fill="auto"/>
            <w:hideMark/>
          </w:tcPr>
          <w:p w14:paraId="495662D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219AB8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Legile bugetelor de asigurări sociale de stat anuale (2019-2022), Legile fondurilor asigurării obligatorii de asistență medicală anuale (2019-2022)</w:t>
            </w:r>
          </w:p>
        </w:tc>
      </w:tr>
      <w:tr w:rsidR="00C817DC" w:rsidRPr="00650D66" w14:paraId="308D0C70" w14:textId="77777777" w:rsidTr="00F32C69">
        <w:trPr>
          <w:trHeight w:val="204"/>
        </w:trPr>
        <w:tc>
          <w:tcPr>
            <w:tcW w:w="1276" w:type="dxa"/>
            <w:tcBorders>
              <w:top w:val="nil"/>
              <w:left w:val="nil"/>
              <w:bottom w:val="nil"/>
              <w:right w:val="nil"/>
            </w:tcBorders>
            <w:shd w:val="clear" w:color="auto" w:fill="auto"/>
            <w:hideMark/>
          </w:tcPr>
          <w:p w14:paraId="3009C20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165918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62-XVI din 21 martie 2008 privind reglementarea valutară, cu modificările ulterioare</w:t>
            </w:r>
          </w:p>
        </w:tc>
      </w:tr>
      <w:tr w:rsidR="00C817DC" w:rsidRPr="00650D66" w14:paraId="79008AEA" w14:textId="77777777" w:rsidTr="00F32C69">
        <w:trPr>
          <w:trHeight w:val="204"/>
        </w:trPr>
        <w:tc>
          <w:tcPr>
            <w:tcW w:w="1276" w:type="dxa"/>
            <w:tcBorders>
              <w:top w:val="nil"/>
              <w:left w:val="nil"/>
              <w:bottom w:val="nil"/>
              <w:right w:val="nil"/>
            </w:tcBorders>
            <w:shd w:val="clear" w:color="auto" w:fill="auto"/>
            <w:hideMark/>
          </w:tcPr>
          <w:p w14:paraId="2E22EC1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CC83E0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Civil</w:t>
            </w:r>
          </w:p>
        </w:tc>
      </w:tr>
      <w:tr w:rsidR="00C817DC" w:rsidRPr="00650D66" w14:paraId="749D0413" w14:textId="77777777" w:rsidTr="00F32C69">
        <w:trPr>
          <w:trHeight w:val="204"/>
        </w:trPr>
        <w:tc>
          <w:tcPr>
            <w:tcW w:w="1276" w:type="dxa"/>
            <w:tcBorders>
              <w:top w:val="nil"/>
              <w:left w:val="nil"/>
              <w:bottom w:val="nil"/>
              <w:right w:val="nil"/>
            </w:tcBorders>
            <w:shd w:val="clear" w:color="auto" w:fill="auto"/>
            <w:hideMark/>
          </w:tcPr>
          <w:p w14:paraId="24DE189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77618E4C"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2AB26850" w14:textId="77777777" w:rsidTr="00F32C69">
        <w:trPr>
          <w:trHeight w:val="204"/>
        </w:trPr>
        <w:tc>
          <w:tcPr>
            <w:tcW w:w="1276" w:type="dxa"/>
            <w:tcBorders>
              <w:top w:val="nil"/>
              <w:left w:val="nil"/>
              <w:bottom w:val="nil"/>
              <w:right w:val="nil"/>
            </w:tcBorders>
            <w:shd w:val="clear" w:color="auto" w:fill="auto"/>
            <w:hideMark/>
          </w:tcPr>
          <w:p w14:paraId="46B24084"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c>
          <w:tcPr>
            <w:tcW w:w="9867" w:type="dxa"/>
            <w:tcBorders>
              <w:top w:val="nil"/>
              <w:left w:val="nil"/>
              <w:bottom w:val="nil"/>
              <w:right w:val="nil"/>
            </w:tcBorders>
            <w:shd w:val="clear" w:color="auto" w:fill="auto"/>
            <w:hideMark/>
          </w:tcPr>
          <w:p w14:paraId="3F61EC48"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778A18F3" w14:textId="77777777" w:rsidTr="00F32C69">
        <w:trPr>
          <w:trHeight w:val="204"/>
        </w:trPr>
        <w:tc>
          <w:tcPr>
            <w:tcW w:w="11141" w:type="dxa"/>
            <w:gridSpan w:val="2"/>
            <w:tcBorders>
              <w:top w:val="nil"/>
              <w:left w:val="nil"/>
              <w:bottom w:val="nil"/>
              <w:right w:val="nil"/>
            </w:tcBorders>
            <w:shd w:val="clear" w:color="auto" w:fill="auto"/>
            <w:noWrap/>
            <w:hideMark/>
          </w:tcPr>
          <w:p w14:paraId="19589CF5" w14:textId="77777777" w:rsidR="00C817DC" w:rsidRPr="00650D66" w:rsidRDefault="00C817DC" w:rsidP="00C817DC">
            <w:pPr>
              <w:spacing w:after="0" w:line="240" w:lineRule="auto"/>
              <w:rPr>
                <w:rFonts w:ascii="Times New Roman" w:eastAsia="Times New Roman" w:hAnsi="Times New Roman" w:cs="Times New Roman"/>
                <w:b/>
                <w:bCs/>
                <w:i/>
                <w:iCs/>
                <w:color w:val="000000"/>
                <w:sz w:val="20"/>
                <w:szCs w:val="20"/>
                <w:lang w:val="ro-RO"/>
              </w:rPr>
            </w:pPr>
            <w:r w:rsidRPr="00650D66">
              <w:rPr>
                <w:rFonts w:ascii="Times New Roman" w:eastAsia="Times New Roman" w:hAnsi="Times New Roman" w:cs="Times New Roman"/>
                <w:b/>
                <w:bCs/>
                <w:i/>
                <w:iCs/>
                <w:color w:val="000000"/>
                <w:sz w:val="20"/>
                <w:szCs w:val="20"/>
                <w:lang w:val="ro-RO"/>
              </w:rPr>
              <w:t>Servicii prestate BNM, cotizații în Organizații de profil</w:t>
            </w:r>
          </w:p>
        </w:tc>
      </w:tr>
      <w:tr w:rsidR="00C817DC" w:rsidRPr="00650D66" w14:paraId="45A9FA90" w14:textId="77777777" w:rsidTr="00F32C69">
        <w:trPr>
          <w:trHeight w:val="204"/>
        </w:trPr>
        <w:tc>
          <w:tcPr>
            <w:tcW w:w="1276" w:type="dxa"/>
            <w:tcBorders>
              <w:top w:val="nil"/>
              <w:left w:val="nil"/>
              <w:bottom w:val="nil"/>
              <w:right w:val="nil"/>
            </w:tcBorders>
            <w:shd w:val="clear" w:color="auto" w:fill="auto"/>
            <w:hideMark/>
          </w:tcPr>
          <w:p w14:paraId="07EC1A1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7B1A8E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Națională a Moldovei nr.548-XIII din 21.07.1995, cu modificările ulterioare</w:t>
            </w:r>
          </w:p>
        </w:tc>
      </w:tr>
      <w:tr w:rsidR="00C817DC" w:rsidRPr="00650D66" w14:paraId="20C7C6BA" w14:textId="77777777" w:rsidTr="00F32C69">
        <w:trPr>
          <w:trHeight w:val="408"/>
        </w:trPr>
        <w:tc>
          <w:tcPr>
            <w:tcW w:w="1276" w:type="dxa"/>
            <w:tcBorders>
              <w:top w:val="nil"/>
              <w:left w:val="nil"/>
              <w:bottom w:val="nil"/>
              <w:right w:val="nil"/>
            </w:tcBorders>
            <w:shd w:val="clear" w:color="auto" w:fill="auto"/>
            <w:hideMark/>
          </w:tcPr>
          <w:p w14:paraId="24FE532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4BCA08F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cu privire la selectarea, mandatul și revocarea organizației de audit pentru efectuarea auditului extern al situațiilor financiare anuale, conturilor și registrelor Băncii Naționale a Moldovei HCS, Nr.27 din 12.10.2020</w:t>
            </w:r>
          </w:p>
        </w:tc>
      </w:tr>
      <w:tr w:rsidR="00C817DC" w:rsidRPr="00650D66" w14:paraId="2AD25F59" w14:textId="77777777" w:rsidTr="00F32C69">
        <w:trPr>
          <w:trHeight w:val="204"/>
        </w:trPr>
        <w:tc>
          <w:tcPr>
            <w:tcW w:w="1276" w:type="dxa"/>
            <w:tcBorders>
              <w:top w:val="nil"/>
              <w:left w:val="nil"/>
              <w:bottom w:val="nil"/>
              <w:right w:val="nil"/>
            </w:tcBorders>
            <w:shd w:val="clear" w:color="auto" w:fill="auto"/>
            <w:hideMark/>
          </w:tcPr>
          <w:p w14:paraId="2B1F87D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3AC0F4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271/2017 privind auditul situațiilor financiare, cu modificările ulterioare</w:t>
            </w:r>
          </w:p>
        </w:tc>
      </w:tr>
      <w:tr w:rsidR="00C817DC" w:rsidRPr="00650D66" w14:paraId="6ACD0599" w14:textId="77777777" w:rsidTr="00F32C69">
        <w:trPr>
          <w:trHeight w:val="204"/>
        </w:trPr>
        <w:tc>
          <w:tcPr>
            <w:tcW w:w="1276" w:type="dxa"/>
            <w:tcBorders>
              <w:top w:val="nil"/>
              <w:left w:val="nil"/>
              <w:bottom w:val="nil"/>
              <w:right w:val="nil"/>
            </w:tcBorders>
            <w:shd w:val="clear" w:color="auto" w:fill="auto"/>
            <w:hideMark/>
          </w:tcPr>
          <w:p w14:paraId="63A0A34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4A50C13" w14:textId="0AEAD503"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232/2016 privind redresarea </w:t>
            </w:r>
            <w:r w:rsidR="00383804" w:rsidRPr="00650D66">
              <w:rPr>
                <w:rFonts w:ascii="Times New Roman" w:eastAsia="Times New Roman" w:hAnsi="Times New Roman" w:cs="Times New Roman"/>
                <w:color w:val="000000"/>
                <w:sz w:val="20"/>
                <w:szCs w:val="20"/>
                <w:lang w:val="ro-RO"/>
              </w:rPr>
              <w:t>și</w:t>
            </w:r>
            <w:r w:rsidRPr="00650D66">
              <w:rPr>
                <w:rFonts w:ascii="Times New Roman" w:eastAsia="Times New Roman" w:hAnsi="Times New Roman" w:cs="Times New Roman"/>
                <w:color w:val="000000"/>
                <w:sz w:val="20"/>
                <w:szCs w:val="20"/>
                <w:lang w:val="ro-RO"/>
              </w:rPr>
              <w:t xml:space="preserve"> </w:t>
            </w:r>
            <w:r w:rsidR="00383804" w:rsidRPr="00650D66">
              <w:rPr>
                <w:rFonts w:ascii="Times New Roman" w:eastAsia="Times New Roman" w:hAnsi="Times New Roman" w:cs="Times New Roman"/>
                <w:color w:val="000000"/>
                <w:sz w:val="20"/>
                <w:szCs w:val="20"/>
                <w:lang w:val="ro-RO"/>
              </w:rPr>
              <w:t>rezoluția</w:t>
            </w:r>
            <w:r w:rsidRPr="00650D66">
              <w:rPr>
                <w:rFonts w:ascii="Times New Roman" w:eastAsia="Times New Roman" w:hAnsi="Times New Roman" w:cs="Times New Roman"/>
                <w:color w:val="000000"/>
                <w:sz w:val="20"/>
                <w:szCs w:val="20"/>
                <w:lang w:val="ro-RO"/>
              </w:rPr>
              <w:t xml:space="preserve"> băncilor, cu modificările ulterioare</w:t>
            </w:r>
          </w:p>
        </w:tc>
      </w:tr>
      <w:tr w:rsidR="00C817DC" w:rsidRPr="00650D66" w14:paraId="1BEEBC93" w14:textId="77777777" w:rsidTr="00F32C69">
        <w:trPr>
          <w:trHeight w:val="204"/>
        </w:trPr>
        <w:tc>
          <w:tcPr>
            <w:tcW w:w="1276" w:type="dxa"/>
            <w:tcBorders>
              <w:top w:val="nil"/>
              <w:left w:val="nil"/>
              <w:bottom w:val="nil"/>
              <w:right w:val="nil"/>
            </w:tcBorders>
            <w:shd w:val="clear" w:color="auto" w:fill="auto"/>
            <w:hideMark/>
          </w:tcPr>
          <w:p w14:paraId="565CB07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CEAEF6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1260/2002 cu privire la avocatură, cu modificările ulterioare</w:t>
            </w:r>
          </w:p>
        </w:tc>
      </w:tr>
      <w:tr w:rsidR="00C817DC" w:rsidRPr="00650D66" w14:paraId="1EA645F5" w14:textId="77777777" w:rsidTr="00F32C69">
        <w:trPr>
          <w:trHeight w:val="204"/>
        </w:trPr>
        <w:tc>
          <w:tcPr>
            <w:tcW w:w="1276" w:type="dxa"/>
            <w:tcBorders>
              <w:top w:val="nil"/>
              <w:left w:val="nil"/>
              <w:bottom w:val="nil"/>
              <w:right w:val="nil"/>
            </w:tcBorders>
            <w:shd w:val="clear" w:color="auto" w:fill="auto"/>
            <w:hideMark/>
          </w:tcPr>
          <w:p w14:paraId="30C526C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66E405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Regulamentului cu privire la asistența de lichiditate în situații de urgență, HCE 343/2019 cu modificări ulterioare</w:t>
            </w:r>
          </w:p>
        </w:tc>
      </w:tr>
      <w:tr w:rsidR="00C817DC" w:rsidRPr="00650D66" w14:paraId="7CE9E585" w14:textId="77777777" w:rsidTr="00F32C69">
        <w:trPr>
          <w:trHeight w:val="204"/>
        </w:trPr>
        <w:tc>
          <w:tcPr>
            <w:tcW w:w="1276" w:type="dxa"/>
            <w:tcBorders>
              <w:top w:val="nil"/>
              <w:left w:val="nil"/>
              <w:bottom w:val="nil"/>
              <w:right w:val="nil"/>
            </w:tcBorders>
            <w:shd w:val="clear" w:color="auto" w:fill="auto"/>
            <w:hideMark/>
          </w:tcPr>
          <w:p w14:paraId="6BD69C5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339D69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Strategia de comunicare a BNM, HCE, 28.08.2017</w:t>
            </w:r>
          </w:p>
        </w:tc>
      </w:tr>
      <w:tr w:rsidR="00C817DC" w:rsidRPr="00650D66" w14:paraId="08DDA602" w14:textId="77777777" w:rsidTr="00F32C69">
        <w:trPr>
          <w:trHeight w:val="204"/>
        </w:trPr>
        <w:tc>
          <w:tcPr>
            <w:tcW w:w="1276" w:type="dxa"/>
            <w:tcBorders>
              <w:top w:val="nil"/>
              <w:left w:val="nil"/>
              <w:bottom w:val="nil"/>
              <w:right w:val="nil"/>
            </w:tcBorders>
            <w:shd w:val="clear" w:color="auto" w:fill="auto"/>
            <w:hideMark/>
          </w:tcPr>
          <w:p w14:paraId="341725E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71557F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activitate Direcției stabilitate financiară (2017;2021)</w:t>
            </w:r>
          </w:p>
        </w:tc>
      </w:tr>
      <w:tr w:rsidR="00C817DC" w:rsidRPr="00650D66" w14:paraId="29D0D9F7" w14:textId="77777777" w:rsidTr="00F32C69">
        <w:trPr>
          <w:trHeight w:val="204"/>
        </w:trPr>
        <w:tc>
          <w:tcPr>
            <w:tcW w:w="1276" w:type="dxa"/>
            <w:tcBorders>
              <w:top w:val="nil"/>
              <w:left w:val="nil"/>
              <w:bottom w:val="nil"/>
              <w:right w:val="nil"/>
            </w:tcBorders>
            <w:shd w:val="clear" w:color="auto" w:fill="auto"/>
            <w:hideMark/>
          </w:tcPr>
          <w:p w14:paraId="3A36629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370CF6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114/2012 cu privire la serviciile de plată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moneda electronică</w:t>
            </w:r>
          </w:p>
        </w:tc>
      </w:tr>
      <w:tr w:rsidR="00C817DC" w:rsidRPr="00650D66" w14:paraId="6B0FA1B2" w14:textId="77777777" w:rsidTr="00F32C69">
        <w:trPr>
          <w:trHeight w:val="204"/>
        </w:trPr>
        <w:tc>
          <w:tcPr>
            <w:tcW w:w="1276" w:type="dxa"/>
            <w:tcBorders>
              <w:top w:val="nil"/>
              <w:left w:val="nil"/>
              <w:bottom w:val="nil"/>
              <w:right w:val="nil"/>
            </w:tcBorders>
            <w:shd w:val="clear" w:color="auto" w:fill="auto"/>
            <w:hideMark/>
          </w:tcPr>
          <w:p w14:paraId="4C4699C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B85E784" w14:textId="0B9DBFDE"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cu privire la Banca </w:t>
            </w:r>
            <w:r w:rsidR="00451715">
              <w:rPr>
                <w:rFonts w:ascii="Times New Roman" w:eastAsia="Times New Roman" w:hAnsi="Times New Roman" w:cs="Times New Roman"/>
                <w:color w:val="000000"/>
                <w:sz w:val="20"/>
                <w:szCs w:val="20"/>
                <w:lang w:val="ro-RO"/>
              </w:rPr>
              <w:t>Națională a Moldovei nr.548</w:t>
            </w:r>
            <w:r w:rsidRPr="00650D66">
              <w:rPr>
                <w:rFonts w:ascii="Times New Roman" w:eastAsia="Times New Roman" w:hAnsi="Times New Roman" w:cs="Times New Roman"/>
                <w:color w:val="000000"/>
                <w:sz w:val="20"/>
                <w:szCs w:val="20"/>
                <w:lang w:val="ro-RO"/>
              </w:rPr>
              <w:t xml:space="preserve"> din 21.07.1995, cu modificările ulterioare</w:t>
            </w:r>
          </w:p>
        </w:tc>
      </w:tr>
      <w:tr w:rsidR="00C817DC" w:rsidRPr="00650D66" w14:paraId="3AF8DC02" w14:textId="77777777" w:rsidTr="00F32C69">
        <w:trPr>
          <w:trHeight w:val="204"/>
        </w:trPr>
        <w:tc>
          <w:tcPr>
            <w:tcW w:w="1276" w:type="dxa"/>
            <w:tcBorders>
              <w:top w:val="nil"/>
              <w:left w:val="nil"/>
              <w:bottom w:val="nil"/>
              <w:right w:val="nil"/>
            </w:tcBorders>
            <w:shd w:val="clear" w:color="auto" w:fill="auto"/>
            <w:hideMark/>
          </w:tcPr>
          <w:p w14:paraId="51BB155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lastRenderedPageBreak/>
              <w:t>2019-2022</w:t>
            </w:r>
          </w:p>
        </w:tc>
        <w:tc>
          <w:tcPr>
            <w:tcW w:w="9867" w:type="dxa"/>
            <w:tcBorders>
              <w:top w:val="nil"/>
              <w:left w:val="nil"/>
              <w:bottom w:val="nil"/>
              <w:right w:val="nil"/>
            </w:tcBorders>
            <w:shd w:val="clear" w:color="auto" w:fill="auto"/>
            <w:hideMark/>
          </w:tcPr>
          <w:p w14:paraId="112E5ED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HCA nr. 39 din 25.02.1998  - aderarea la Grupul supraveghetorilor Bancari din Europa Centrală și de est</w:t>
            </w:r>
          </w:p>
        </w:tc>
      </w:tr>
      <w:tr w:rsidR="00C817DC" w:rsidRPr="00650D66" w14:paraId="5671FAAE" w14:textId="77777777" w:rsidTr="00F32C69">
        <w:trPr>
          <w:trHeight w:val="408"/>
        </w:trPr>
        <w:tc>
          <w:tcPr>
            <w:tcW w:w="1276" w:type="dxa"/>
            <w:tcBorders>
              <w:top w:val="nil"/>
              <w:left w:val="nil"/>
              <w:bottom w:val="nil"/>
              <w:right w:val="nil"/>
            </w:tcBorders>
            <w:shd w:val="clear" w:color="auto" w:fill="auto"/>
            <w:hideMark/>
          </w:tcPr>
          <w:p w14:paraId="781D0F4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DDF9C0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HCA nr.70 din 04.04.2014 cu privire la aderarea </w:t>
            </w:r>
            <w:r w:rsidR="00345155" w:rsidRPr="00650D66">
              <w:rPr>
                <w:rFonts w:ascii="Times New Roman" w:eastAsia="Times New Roman" w:hAnsi="Times New Roman" w:cs="Times New Roman"/>
                <w:color w:val="000000"/>
                <w:sz w:val="20"/>
                <w:szCs w:val="20"/>
                <w:lang w:val="ro-RO"/>
              </w:rPr>
              <w:t>Băncii</w:t>
            </w:r>
            <w:r w:rsidRPr="00650D66">
              <w:rPr>
                <w:rFonts w:ascii="Times New Roman" w:eastAsia="Times New Roman" w:hAnsi="Times New Roman" w:cs="Times New Roman"/>
                <w:color w:val="000000"/>
                <w:sz w:val="20"/>
                <w:szCs w:val="20"/>
                <w:lang w:val="ro-RO"/>
              </w:rPr>
              <w:t xml:space="preserve"> </w:t>
            </w:r>
            <w:r w:rsidR="00345155"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la </w:t>
            </w:r>
            <w:r w:rsidR="00345155" w:rsidRPr="00650D66">
              <w:rPr>
                <w:rFonts w:ascii="Times New Roman" w:eastAsia="Times New Roman" w:hAnsi="Times New Roman" w:cs="Times New Roman"/>
                <w:color w:val="000000"/>
                <w:sz w:val="20"/>
                <w:szCs w:val="20"/>
                <w:lang w:val="ro-RO"/>
              </w:rPr>
              <w:t>Asociația</w:t>
            </w:r>
            <w:r w:rsidRPr="00650D66">
              <w:rPr>
                <w:rFonts w:ascii="Times New Roman" w:eastAsia="Times New Roman" w:hAnsi="Times New Roman" w:cs="Times New Roman"/>
                <w:color w:val="000000"/>
                <w:sz w:val="20"/>
                <w:szCs w:val="20"/>
                <w:lang w:val="ro-RO"/>
              </w:rPr>
              <w:t xml:space="preserve"> Europeana a Caselor de Compensare Automata (European </w:t>
            </w:r>
            <w:proofErr w:type="spellStart"/>
            <w:r w:rsidRPr="00650D66">
              <w:rPr>
                <w:rFonts w:ascii="Times New Roman" w:eastAsia="Times New Roman" w:hAnsi="Times New Roman" w:cs="Times New Roman"/>
                <w:color w:val="000000"/>
                <w:sz w:val="20"/>
                <w:szCs w:val="20"/>
                <w:lang w:val="ro-RO"/>
              </w:rPr>
              <w:t>Automated</w:t>
            </w:r>
            <w:proofErr w:type="spellEnd"/>
            <w:r w:rsidRPr="00650D66">
              <w:rPr>
                <w:rFonts w:ascii="Times New Roman" w:eastAsia="Times New Roman" w:hAnsi="Times New Roman" w:cs="Times New Roman"/>
                <w:color w:val="000000"/>
                <w:sz w:val="20"/>
                <w:szCs w:val="20"/>
                <w:lang w:val="ro-RO"/>
              </w:rPr>
              <w:t xml:space="preserve"> Clearing </w:t>
            </w:r>
            <w:proofErr w:type="spellStart"/>
            <w:r w:rsidRPr="00650D66">
              <w:rPr>
                <w:rFonts w:ascii="Times New Roman" w:eastAsia="Times New Roman" w:hAnsi="Times New Roman" w:cs="Times New Roman"/>
                <w:color w:val="000000"/>
                <w:sz w:val="20"/>
                <w:szCs w:val="20"/>
                <w:lang w:val="ro-RO"/>
              </w:rPr>
              <w:t>House</w:t>
            </w:r>
            <w:proofErr w:type="spellEnd"/>
            <w:r w:rsidRPr="00650D66">
              <w:rPr>
                <w:rFonts w:ascii="Times New Roman" w:eastAsia="Times New Roman" w:hAnsi="Times New Roman" w:cs="Times New Roman"/>
                <w:color w:val="000000"/>
                <w:sz w:val="20"/>
                <w:szCs w:val="20"/>
                <w:lang w:val="ro-RO"/>
              </w:rPr>
              <w:t xml:space="preserve"> Association), in calitate de membru </w:t>
            </w:r>
          </w:p>
        </w:tc>
      </w:tr>
      <w:tr w:rsidR="00C817DC" w:rsidRPr="00650D66" w14:paraId="6E7BC1D6" w14:textId="77777777" w:rsidTr="00F32C69">
        <w:trPr>
          <w:trHeight w:val="408"/>
        </w:trPr>
        <w:tc>
          <w:tcPr>
            <w:tcW w:w="1276" w:type="dxa"/>
            <w:tcBorders>
              <w:top w:val="nil"/>
              <w:left w:val="nil"/>
              <w:bottom w:val="nil"/>
              <w:right w:val="nil"/>
            </w:tcBorders>
            <w:shd w:val="clear" w:color="auto" w:fill="auto"/>
            <w:hideMark/>
          </w:tcPr>
          <w:p w14:paraId="6DAAD74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E109D9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HCA nr. 254 din 11.12.2013 Cu privire la aderarea Băncii </w:t>
            </w:r>
            <w:proofErr w:type="spellStart"/>
            <w:r w:rsidRPr="00650D66">
              <w:rPr>
                <w:rFonts w:ascii="Times New Roman" w:eastAsia="Times New Roman" w:hAnsi="Times New Roman" w:cs="Times New Roman"/>
                <w:color w:val="000000"/>
                <w:sz w:val="20"/>
                <w:szCs w:val="20"/>
                <w:lang w:val="ro-RO"/>
              </w:rPr>
              <w:t>Naţionale</w:t>
            </w:r>
            <w:proofErr w:type="spellEnd"/>
            <w:r w:rsidRPr="00650D66">
              <w:rPr>
                <w:rFonts w:ascii="Times New Roman" w:eastAsia="Times New Roman" w:hAnsi="Times New Roman" w:cs="Times New Roman"/>
                <w:color w:val="000000"/>
                <w:sz w:val="20"/>
                <w:szCs w:val="20"/>
                <w:lang w:val="ro-RO"/>
              </w:rPr>
              <w:t xml:space="preserve"> a Moldovei la </w:t>
            </w:r>
            <w:proofErr w:type="spellStart"/>
            <w:r w:rsidRPr="00650D66">
              <w:rPr>
                <w:rFonts w:ascii="Times New Roman" w:eastAsia="Times New Roman" w:hAnsi="Times New Roman" w:cs="Times New Roman"/>
                <w:color w:val="000000"/>
                <w:sz w:val="20"/>
                <w:szCs w:val="20"/>
                <w:lang w:val="ro-RO"/>
              </w:rPr>
              <w:t>Asociaţia</w:t>
            </w:r>
            <w:proofErr w:type="spellEnd"/>
            <w:r w:rsidRPr="00650D66">
              <w:rPr>
                <w:rFonts w:ascii="Times New Roman" w:eastAsia="Times New Roman" w:hAnsi="Times New Roman" w:cs="Times New Roman"/>
                <w:color w:val="000000"/>
                <w:sz w:val="20"/>
                <w:szCs w:val="20"/>
                <w:lang w:val="ro-RO"/>
              </w:rPr>
              <w:t xml:space="preserve"> Europeană de Istorie Bancară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Financiară (The European Association for Banking </w:t>
            </w:r>
            <w:proofErr w:type="spellStart"/>
            <w:r w:rsidRPr="00650D66">
              <w:rPr>
                <w:rFonts w:ascii="Times New Roman" w:eastAsia="Times New Roman" w:hAnsi="Times New Roman" w:cs="Times New Roman"/>
                <w:color w:val="000000"/>
                <w:sz w:val="20"/>
                <w:szCs w:val="20"/>
                <w:lang w:val="ro-RO"/>
              </w:rPr>
              <w:t>and</w:t>
            </w:r>
            <w:proofErr w:type="spellEnd"/>
            <w:r w:rsidRPr="00650D66">
              <w:rPr>
                <w:rFonts w:ascii="Times New Roman" w:eastAsia="Times New Roman" w:hAnsi="Times New Roman" w:cs="Times New Roman"/>
                <w:color w:val="000000"/>
                <w:sz w:val="20"/>
                <w:szCs w:val="20"/>
                <w:lang w:val="ro-RO"/>
              </w:rPr>
              <w:t xml:space="preserve"> Financial </w:t>
            </w:r>
            <w:proofErr w:type="spellStart"/>
            <w:r w:rsidRPr="00650D66">
              <w:rPr>
                <w:rFonts w:ascii="Times New Roman" w:eastAsia="Times New Roman" w:hAnsi="Times New Roman" w:cs="Times New Roman"/>
                <w:color w:val="000000"/>
                <w:sz w:val="20"/>
                <w:szCs w:val="20"/>
                <w:lang w:val="ro-RO"/>
              </w:rPr>
              <w:t>History</w:t>
            </w:r>
            <w:proofErr w:type="spellEnd"/>
            <w:r w:rsidRPr="00650D66">
              <w:rPr>
                <w:rFonts w:ascii="Times New Roman" w:eastAsia="Times New Roman" w:hAnsi="Times New Roman" w:cs="Times New Roman"/>
                <w:color w:val="000000"/>
                <w:sz w:val="20"/>
                <w:szCs w:val="20"/>
                <w:lang w:val="ro-RO"/>
              </w:rPr>
              <w:t>), în calitate de membru cu drepturi depline</w:t>
            </w:r>
          </w:p>
        </w:tc>
      </w:tr>
      <w:tr w:rsidR="00C817DC" w:rsidRPr="00650D66" w14:paraId="4CE51B06" w14:textId="77777777" w:rsidTr="00F32C69">
        <w:trPr>
          <w:trHeight w:val="204"/>
        </w:trPr>
        <w:tc>
          <w:tcPr>
            <w:tcW w:w="1276" w:type="dxa"/>
            <w:tcBorders>
              <w:top w:val="nil"/>
              <w:left w:val="nil"/>
              <w:bottom w:val="nil"/>
              <w:right w:val="nil"/>
            </w:tcBorders>
            <w:shd w:val="clear" w:color="auto" w:fill="auto"/>
            <w:hideMark/>
          </w:tcPr>
          <w:p w14:paraId="1CC8303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6EEA96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 MSI 742 Asigurarea securității informației în cadrul BNM</w:t>
            </w:r>
          </w:p>
        </w:tc>
      </w:tr>
      <w:tr w:rsidR="00C817DC" w:rsidRPr="00650D66" w14:paraId="2E6F9474" w14:textId="77777777" w:rsidTr="00F32C69">
        <w:trPr>
          <w:trHeight w:val="204"/>
        </w:trPr>
        <w:tc>
          <w:tcPr>
            <w:tcW w:w="1276" w:type="dxa"/>
            <w:tcBorders>
              <w:top w:val="nil"/>
              <w:left w:val="nil"/>
              <w:bottom w:val="nil"/>
              <w:right w:val="nil"/>
            </w:tcBorders>
            <w:shd w:val="clear" w:color="auto" w:fill="auto"/>
            <w:hideMark/>
          </w:tcPr>
          <w:p w14:paraId="0C4A89C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2944D8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SWIFT </w:t>
            </w:r>
            <w:proofErr w:type="spellStart"/>
            <w:r w:rsidRPr="00650D66">
              <w:rPr>
                <w:rFonts w:ascii="Times New Roman" w:eastAsia="Times New Roman" w:hAnsi="Times New Roman" w:cs="Times New Roman"/>
                <w:color w:val="000000"/>
                <w:sz w:val="20"/>
                <w:szCs w:val="20"/>
                <w:lang w:val="ro-RO"/>
              </w:rPr>
              <w:t>Customer</w:t>
            </w:r>
            <w:proofErr w:type="spellEnd"/>
            <w:r w:rsidRPr="00650D66">
              <w:rPr>
                <w:rFonts w:ascii="Times New Roman" w:eastAsia="Times New Roman" w:hAnsi="Times New Roman" w:cs="Times New Roman"/>
                <w:color w:val="000000"/>
                <w:sz w:val="20"/>
                <w:szCs w:val="20"/>
                <w:lang w:val="ro-RO"/>
              </w:rPr>
              <w:t xml:space="preserve"> </w:t>
            </w:r>
            <w:proofErr w:type="spellStart"/>
            <w:r w:rsidRPr="00650D66">
              <w:rPr>
                <w:rFonts w:ascii="Times New Roman" w:eastAsia="Times New Roman" w:hAnsi="Times New Roman" w:cs="Times New Roman"/>
                <w:color w:val="000000"/>
                <w:sz w:val="20"/>
                <w:szCs w:val="20"/>
                <w:lang w:val="ro-RO"/>
              </w:rPr>
              <w:t>Security</w:t>
            </w:r>
            <w:proofErr w:type="spellEnd"/>
            <w:r w:rsidRPr="00650D66">
              <w:rPr>
                <w:rFonts w:ascii="Times New Roman" w:eastAsia="Times New Roman" w:hAnsi="Times New Roman" w:cs="Times New Roman"/>
                <w:color w:val="000000"/>
                <w:sz w:val="20"/>
                <w:szCs w:val="20"/>
                <w:lang w:val="ro-RO"/>
              </w:rPr>
              <w:t xml:space="preserve"> </w:t>
            </w:r>
            <w:proofErr w:type="spellStart"/>
            <w:r w:rsidRPr="00650D66">
              <w:rPr>
                <w:rFonts w:ascii="Times New Roman" w:eastAsia="Times New Roman" w:hAnsi="Times New Roman" w:cs="Times New Roman"/>
                <w:color w:val="000000"/>
                <w:sz w:val="20"/>
                <w:szCs w:val="20"/>
                <w:lang w:val="ro-RO"/>
              </w:rPr>
              <w:t>Controls</w:t>
            </w:r>
            <w:proofErr w:type="spellEnd"/>
            <w:r w:rsidRPr="00650D66">
              <w:rPr>
                <w:rFonts w:ascii="Times New Roman" w:eastAsia="Times New Roman" w:hAnsi="Times New Roman" w:cs="Times New Roman"/>
                <w:color w:val="000000"/>
                <w:sz w:val="20"/>
                <w:szCs w:val="20"/>
                <w:lang w:val="ro-RO"/>
              </w:rPr>
              <w:t xml:space="preserve"> Framework în cadrul programului CSP al SWIFT (</w:t>
            </w:r>
            <w:proofErr w:type="spellStart"/>
            <w:r w:rsidRPr="00650D66">
              <w:rPr>
                <w:rFonts w:ascii="Times New Roman" w:eastAsia="Times New Roman" w:hAnsi="Times New Roman" w:cs="Times New Roman"/>
                <w:color w:val="000000"/>
                <w:sz w:val="20"/>
                <w:szCs w:val="20"/>
                <w:lang w:val="ro-RO"/>
              </w:rPr>
              <w:t>Customer</w:t>
            </w:r>
            <w:proofErr w:type="spellEnd"/>
            <w:r w:rsidRPr="00650D66">
              <w:rPr>
                <w:rFonts w:ascii="Times New Roman" w:eastAsia="Times New Roman" w:hAnsi="Times New Roman" w:cs="Times New Roman"/>
                <w:color w:val="000000"/>
                <w:sz w:val="20"/>
                <w:szCs w:val="20"/>
                <w:lang w:val="ro-RO"/>
              </w:rPr>
              <w:t xml:space="preserve"> </w:t>
            </w:r>
            <w:proofErr w:type="spellStart"/>
            <w:r w:rsidRPr="00650D66">
              <w:rPr>
                <w:rFonts w:ascii="Times New Roman" w:eastAsia="Times New Roman" w:hAnsi="Times New Roman" w:cs="Times New Roman"/>
                <w:color w:val="000000"/>
                <w:sz w:val="20"/>
                <w:szCs w:val="20"/>
                <w:lang w:val="ro-RO"/>
              </w:rPr>
              <w:t>security</w:t>
            </w:r>
            <w:proofErr w:type="spellEnd"/>
            <w:r w:rsidRPr="00650D66">
              <w:rPr>
                <w:rFonts w:ascii="Times New Roman" w:eastAsia="Times New Roman" w:hAnsi="Times New Roman" w:cs="Times New Roman"/>
                <w:color w:val="000000"/>
                <w:sz w:val="20"/>
                <w:szCs w:val="20"/>
                <w:lang w:val="ro-RO"/>
              </w:rPr>
              <w:t xml:space="preserve"> programe)</w:t>
            </w:r>
          </w:p>
        </w:tc>
      </w:tr>
      <w:tr w:rsidR="00C817DC" w:rsidRPr="00650D66" w14:paraId="2DD9BD2F" w14:textId="77777777" w:rsidTr="00F32C69">
        <w:trPr>
          <w:trHeight w:val="204"/>
        </w:trPr>
        <w:tc>
          <w:tcPr>
            <w:tcW w:w="1276" w:type="dxa"/>
            <w:tcBorders>
              <w:top w:val="nil"/>
              <w:left w:val="nil"/>
              <w:bottom w:val="nil"/>
              <w:right w:val="nil"/>
            </w:tcBorders>
            <w:shd w:val="clear" w:color="auto" w:fill="auto"/>
            <w:hideMark/>
          </w:tcPr>
          <w:p w14:paraId="099F008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3E330F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 de securitate a informației (ISO 27000)</w:t>
            </w:r>
          </w:p>
        </w:tc>
      </w:tr>
      <w:tr w:rsidR="00C817DC" w:rsidRPr="00650D66" w14:paraId="3BF118B9" w14:textId="77777777" w:rsidTr="00F32C69">
        <w:trPr>
          <w:trHeight w:val="204"/>
        </w:trPr>
        <w:tc>
          <w:tcPr>
            <w:tcW w:w="1276" w:type="dxa"/>
            <w:tcBorders>
              <w:top w:val="nil"/>
              <w:left w:val="nil"/>
              <w:bottom w:val="nil"/>
              <w:right w:val="nil"/>
            </w:tcBorders>
            <w:shd w:val="clear" w:color="auto" w:fill="auto"/>
            <w:hideMark/>
          </w:tcPr>
          <w:p w14:paraId="153B84E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27672B33"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72E75C74" w14:textId="77777777" w:rsidTr="00F32C69">
        <w:trPr>
          <w:trHeight w:val="204"/>
        </w:trPr>
        <w:tc>
          <w:tcPr>
            <w:tcW w:w="11141" w:type="dxa"/>
            <w:gridSpan w:val="2"/>
            <w:tcBorders>
              <w:top w:val="nil"/>
              <w:left w:val="nil"/>
              <w:bottom w:val="nil"/>
              <w:right w:val="nil"/>
            </w:tcBorders>
            <w:shd w:val="clear" w:color="auto" w:fill="auto"/>
            <w:noWrap/>
            <w:hideMark/>
          </w:tcPr>
          <w:p w14:paraId="2B4E38D7"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Alte cheltuieli și taxe</w:t>
            </w:r>
          </w:p>
        </w:tc>
      </w:tr>
      <w:tr w:rsidR="00C817DC" w:rsidRPr="00650D66" w14:paraId="384AB892" w14:textId="77777777" w:rsidTr="00F32C69">
        <w:trPr>
          <w:trHeight w:val="204"/>
        </w:trPr>
        <w:tc>
          <w:tcPr>
            <w:tcW w:w="1276" w:type="dxa"/>
            <w:tcBorders>
              <w:top w:val="nil"/>
              <w:left w:val="nil"/>
              <w:bottom w:val="nil"/>
              <w:right w:val="nil"/>
            </w:tcBorders>
            <w:shd w:val="clear" w:color="auto" w:fill="auto"/>
            <w:hideMark/>
          </w:tcPr>
          <w:p w14:paraId="30D2D1D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noWrap/>
            <w:vAlign w:val="center"/>
            <w:hideMark/>
          </w:tcPr>
          <w:p w14:paraId="22C9F1B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 1149/2000 Codul Vamal Al Republicii Moldova* cu modificările ulterioare</w:t>
            </w:r>
          </w:p>
        </w:tc>
      </w:tr>
      <w:tr w:rsidR="00C817DC" w:rsidRPr="00650D66" w14:paraId="4FE593D0" w14:textId="77777777" w:rsidTr="00F32C69">
        <w:trPr>
          <w:trHeight w:val="204"/>
        </w:trPr>
        <w:tc>
          <w:tcPr>
            <w:tcW w:w="1276" w:type="dxa"/>
            <w:tcBorders>
              <w:top w:val="nil"/>
              <w:left w:val="nil"/>
              <w:bottom w:val="nil"/>
              <w:right w:val="nil"/>
            </w:tcBorders>
            <w:shd w:val="clear" w:color="auto" w:fill="auto"/>
            <w:hideMark/>
          </w:tcPr>
          <w:p w14:paraId="259790A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294574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1380 / 1997 cu privire la tariful vamal*, cu modificări ulterioare</w:t>
            </w:r>
          </w:p>
        </w:tc>
      </w:tr>
      <w:tr w:rsidR="00C817DC" w:rsidRPr="00650D66" w14:paraId="747E541C" w14:textId="77777777" w:rsidTr="00F32C69">
        <w:trPr>
          <w:trHeight w:val="204"/>
        </w:trPr>
        <w:tc>
          <w:tcPr>
            <w:tcW w:w="1276" w:type="dxa"/>
            <w:tcBorders>
              <w:top w:val="nil"/>
              <w:left w:val="nil"/>
              <w:bottom w:val="nil"/>
              <w:right w:val="nil"/>
            </w:tcBorders>
            <w:shd w:val="clear" w:color="auto" w:fill="auto"/>
            <w:hideMark/>
          </w:tcPr>
          <w:p w14:paraId="35647BE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AF2825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172/2014 privind aprobarea Nomenclaturii combinate a mărfurilor, cu modificări ulterioare</w:t>
            </w:r>
          </w:p>
        </w:tc>
      </w:tr>
      <w:tr w:rsidR="00C817DC" w:rsidRPr="00650D66" w14:paraId="6AA4EDDD" w14:textId="77777777" w:rsidTr="00F32C69">
        <w:trPr>
          <w:trHeight w:val="204"/>
        </w:trPr>
        <w:tc>
          <w:tcPr>
            <w:tcW w:w="1276" w:type="dxa"/>
            <w:tcBorders>
              <w:top w:val="nil"/>
              <w:left w:val="nil"/>
              <w:bottom w:val="nil"/>
              <w:right w:val="nil"/>
            </w:tcBorders>
            <w:shd w:val="clear" w:color="auto" w:fill="auto"/>
            <w:hideMark/>
          </w:tcPr>
          <w:p w14:paraId="2D6DAB9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35C653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1422/ 1997 privind </w:t>
            </w:r>
            <w:r w:rsidR="004B78F8" w:rsidRPr="00650D66">
              <w:rPr>
                <w:rFonts w:ascii="Times New Roman" w:eastAsia="Times New Roman" w:hAnsi="Times New Roman" w:cs="Times New Roman"/>
                <w:color w:val="000000"/>
                <w:sz w:val="20"/>
                <w:szCs w:val="20"/>
                <w:lang w:val="ro-RO"/>
              </w:rPr>
              <w:t>protecția</w:t>
            </w:r>
            <w:r w:rsidRPr="00650D66">
              <w:rPr>
                <w:rFonts w:ascii="Times New Roman" w:eastAsia="Times New Roman" w:hAnsi="Times New Roman" w:cs="Times New Roman"/>
                <w:color w:val="000000"/>
                <w:sz w:val="20"/>
                <w:szCs w:val="20"/>
                <w:lang w:val="ro-RO"/>
              </w:rPr>
              <w:t xml:space="preserve"> aerului atmosferic, cu </w:t>
            </w:r>
            <w:r w:rsidR="004B78F8" w:rsidRPr="00650D66">
              <w:rPr>
                <w:rFonts w:ascii="Times New Roman" w:eastAsia="Times New Roman" w:hAnsi="Times New Roman" w:cs="Times New Roman"/>
                <w:color w:val="000000"/>
                <w:sz w:val="20"/>
                <w:szCs w:val="20"/>
                <w:lang w:val="ro-RO"/>
              </w:rPr>
              <w:t>modificări</w:t>
            </w:r>
            <w:r w:rsidRPr="00650D66">
              <w:rPr>
                <w:rFonts w:ascii="Times New Roman" w:eastAsia="Times New Roman" w:hAnsi="Times New Roman" w:cs="Times New Roman"/>
                <w:color w:val="000000"/>
                <w:sz w:val="20"/>
                <w:szCs w:val="20"/>
                <w:lang w:val="ro-RO"/>
              </w:rPr>
              <w:t xml:space="preserve"> ulterioare</w:t>
            </w:r>
          </w:p>
        </w:tc>
      </w:tr>
      <w:tr w:rsidR="00C817DC" w:rsidRPr="00650D66" w14:paraId="203780B9" w14:textId="77777777" w:rsidTr="00F32C69">
        <w:trPr>
          <w:trHeight w:val="204"/>
        </w:trPr>
        <w:tc>
          <w:tcPr>
            <w:tcW w:w="1276" w:type="dxa"/>
            <w:tcBorders>
              <w:top w:val="nil"/>
              <w:left w:val="nil"/>
              <w:bottom w:val="nil"/>
              <w:right w:val="nil"/>
            </w:tcBorders>
            <w:shd w:val="clear" w:color="auto" w:fill="auto"/>
            <w:hideMark/>
          </w:tcPr>
          <w:p w14:paraId="5446182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019FE2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1540/ 1998 privind plata pentru poluarea mediului, cu </w:t>
            </w:r>
            <w:r w:rsidR="004B78F8" w:rsidRPr="00650D66">
              <w:rPr>
                <w:rFonts w:ascii="Times New Roman" w:eastAsia="Times New Roman" w:hAnsi="Times New Roman" w:cs="Times New Roman"/>
                <w:color w:val="000000"/>
                <w:sz w:val="20"/>
                <w:szCs w:val="20"/>
                <w:lang w:val="ro-RO"/>
              </w:rPr>
              <w:t>modificări</w:t>
            </w:r>
            <w:r w:rsidRPr="00650D66">
              <w:rPr>
                <w:rFonts w:ascii="Times New Roman" w:eastAsia="Times New Roman" w:hAnsi="Times New Roman" w:cs="Times New Roman"/>
                <w:color w:val="000000"/>
                <w:sz w:val="20"/>
                <w:szCs w:val="20"/>
                <w:lang w:val="ro-RO"/>
              </w:rPr>
              <w:t xml:space="preserve"> ulterioare</w:t>
            </w:r>
          </w:p>
        </w:tc>
      </w:tr>
      <w:tr w:rsidR="00C817DC" w:rsidRPr="00650D66" w14:paraId="3019E0D6" w14:textId="77777777" w:rsidTr="00F32C69">
        <w:trPr>
          <w:trHeight w:val="408"/>
        </w:trPr>
        <w:tc>
          <w:tcPr>
            <w:tcW w:w="1276" w:type="dxa"/>
            <w:tcBorders>
              <w:top w:val="nil"/>
              <w:left w:val="nil"/>
              <w:bottom w:val="nil"/>
              <w:right w:val="nil"/>
            </w:tcBorders>
            <w:shd w:val="clear" w:color="auto" w:fill="auto"/>
            <w:hideMark/>
          </w:tcPr>
          <w:p w14:paraId="0C52044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17B3E8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reglementarea categoriilor de cheltuieli și procedurilor de suportare de către Banca Națională a Moldovei a cheltuielilor ocazionate de procedurile penale, civile sau administrative inițiate împotriva membrilor organelor de conducere a Băncii Naționale a Moldovei și a personalului acesteia, HCE, Nr.18 din 23.01.2017</w:t>
            </w:r>
          </w:p>
        </w:tc>
      </w:tr>
      <w:tr w:rsidR="00C817DC" w:rsidRPr="00650D66" w14:paraId="52CAEAB2" w14:textId="77777777" w:rsidTr="00F32C69">
        <w:trPr>
          <w:trHeight w:val="204"/>
        </w:trPr>
        <w:tc>
          <w:tcPr>
            <w:tcW w:w="1276" w:type="dxa"/>
            <w:tcBorders>
              <w:top w:val="nil"/>
              <w:left w:val="nil"/>
              <w:bottom w:val="nil"/>
              <w:right w:val="nil"/>
            </w:tcBorders>
            <w:shd w:val="clear" w:color="auto" w:fill="auto"/>
            <w:hideMark/>
          </w:tcPr>
          <w:p w14:paraId="6BD342E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2B9F3C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Înregistrări contabile aferente cheltuielilor </w:t>
            </w:r>
            <w:r w:rsidR="004B78F8" w:rsidRPr="00650D66">
              <w:rPr>
                <w:rFonts w:ascii="Times New Roman" w:eastAsia="Times New Roman" w:hAnsi="Times New Roman" w:cs="Times New Roman"/>
                <w:color w:val="000000"/>
                <w:sz w:val="20"/>
                <w:szCs w:val="20"/>
                <w:lang w:val="ro-RO"/>
              </w:rPr>
              <w:t>activității</w:t>
            </w:r>
            <w:r w:rsidRPr="00650D66">
              <w:rPr>
                <w:rFonts w:ascii="Times New Roman" w:eastAsia="Times New Roman" w:hAnsi="Times New Roman" w:cs="Times New Roman"/>
                <w:color w:val="000000"/>
                <w:sz w:val="20"/>
                <w:szCs w:val="20"/>
                <w:lang w:val="ro-RO"/>
              </w:rPr>
              <w:t xml:space="preserve"> </w:t>
            </w:r>
            <w:r w:rsidR="004B78F8" w:rsidRPr="00650D66">
              <w:rPr>
                <w:rFonts w:ascii="Times New Roman" w:eastAsia="Times New Roman" w:hAnsi="Times New Roman" w:cs="Times New Roman"/>
                <w:color w:val="000000"/>
                <w:sz w:val="20"/>
                <w:szCs w:val="20"/>
                <w:lang w:val="ro-RO"/>
              </w:rPr>
              <w:t>operaționale</w:t>
            </w:r>
            <w:r w:rsidRPr="00650D66">
              <w:rPr>
                <w:rFonts w:ascii="Times New Roman" w:eastAsia="Times New Roman" w:hAnsi="Times New Roman" w:cs="Times New Roman"/>
                <w:color w:val="000000"/>
                <w:sz w:val="20"/>
                <w:szCs w:val="20"/>
                <w:lang w:val="ro-RO"/>
              </w:rPr>
              <w:t xml:space="preserve"> a BNM, nr.11-01204/64 din 16.05.2006</w:t>
            </w:r>
          </w:p>
        </w:tc>
      </w:tr>
      <w:tr w:rsidR="00C817DC" w:rsidRPr="00650D66" w14:paraId="4802A934" w14:textId="77777777" w:rsidTr="00F32C69">
        <w:trPr>
          <w:trHeight w:val="264"/>
        </w:trPr>
        <w:tc>
          <w:tcPr>
            <w:tcW w:w="1276" w:type="dxa"/>
            <w:tcBorders>
              <w:top w:val="nil"/>
              <w:left w:val="nil"/>
              <w:bottom w:val="nil"/>
              <w:right w:val="nil"/>
            </w:tcBorders>
            <w:shd w:val="clear" w:color="auto" w:fill="auto"/>
            <w:hideMark/>
          </w:tcPr>
          <w:p w14:paraId="4D9A85B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vAlign w:val="bottom"/>
            <w:hideMark/>
          </w:tcPr>
          <w:p w14:paraId="3C093352"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1BCA865D" w14:textId="77777777" w:rsidTr="00F32C69">
        <w:trPr>
          <w:trHeight w:val="210"/>
        </w:trPr>
        <w:tc>
          <w:tcPr>
            <w:tcW w:w="11141" w:type="dxa"/>
            <w:gridSpan w:val="2"/>
            <w:tcBorders>
              <w:top w:val="nil"/>
              <w:left w:val="nil"/>
              <w:bottom w:val="nil"/>
              <w:right w:val="nil"/>
            </w:tcBorders>
            <w:shd w:val="clear" w:color="auto" w:fill="auto"/>
            <w:noWrap/>
            <w:hideMark/>
          </w:tcPr>
          <w:p w14:paraId="2922169E" w14:textId="77777777" w:rsidR="00C817DC" w:rsidRPr="00650D66" w:rsidRDefault="004241FA"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Remunerarea personalului</w:t>
            </w:r>
            <w:r w:rsidR="00C817DC" w:rsidRPr="00650D66">
              <w:rPr>
                <w:rFonts w:ascii="Times New Roman" w:eastAsia="Times New Roman" w:hAnsi="Times New Roman" w:cs="Times New Roman"/>
                <w:b/>
                <w:bCs/>
                <w:color w:val="000000"/>
                <w:sz w:val="20"/>
                <w:szCs w:val="20"/>
                <w:lang w:val="ro-RO"/>
              </w:rPr>
              <w:t xml:space="preserve"> scriptic și nescriptic</w:t>
            </w:r>
          </w:p>
        </w:tc>
      </w:tr>
      <w:tr w:rsidR="00C817DC" w:rsidRPr="00650D66" w14:paraId="77F930D4" w14:textId="77777777" w:rsidTr="00F32C69">
        <w:trPr>
          <w:trHeight w:val="210"/>
        </w:trPr>
        <w:tc>
          <w:tcPr>
            <w:tcW w:w="1276" w:type="dxa"/>
            <w:tcBorders>
              <w:top w:val="nil"/>
              <w:left w:val="nil"/>
              <w:bottom w:val="nil"/>
              <w:right w:val="nil"/>
            </w:tcBorders>
            <w:shd w:val="clear" w:color="auto" w:fill="auto"/>
            <w:hideMark/>
          </w:tcPr>
          <w:p w14:paraId="439164E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BD8672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Muncii al Republicii Moldova nr.154 din 28.03.2003</w:t>
            </w:r>
          </w:p>
        </w:tc>
      </w:tr>
      <w:tr w:rsidR="00C817DC" w:rsidRPr="00650D66" w14:paraId="79C99D42" w14:textId="77777777" w:rsidTr="00F32C69">
        <w:trPr>
          <w:trHeight w:val="210"/>
        </w:trPr>
        <w:tc>
          <w:tcPr>
            <w:tcW w:w="1276" w:type="dxa"/>
            <w:tcBorders>
              <w:top w:val="nil"/>
              <w:left w:val="nil"/>
              <w:bottom w:val="nil"/>
              <w:right w:val="nil"/>
            </w:tcBorders>
            <w:shd w:val="clear" w:color="auto" w:fill="auto"/>
            <w:hideMark/>
          </w:tcPr>
          <w:p w14:paraId="2DD33F0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C26063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Fiscal al Republicii Moldova</w:t>
            </w:r>
          </w:p>
        </w:tc>
      </w:tr>
      <w:tr w:rsidR="00C817DC" w:rsidRPr="00650D66" w14:paraId="62A22533" w14:textId="77777777" w:rsidTr="00F32C69">
        <w:trPr>
          <w:trHeight w:val="204"/>
        </w:trPr>
        <w:tc>
          <w:tcPr>
            <w:tcW w:w="1276" w:type="dxa"/>
            <w:tcBorders>
              <w:top w:val="nil"/>
              <w:left w:val="nil"/>
              <w:bottom w:val="nil"/>
              <w:right w:val="nil"/>
            </w:tcBorders>
            <w:shd w:val="clear" w:color="auto" w:fill="auto"/>
            <w:hideMark/>
          </w:tcPr>
          <w:p w14:paraId="46A2E40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2131F3C" w14:textId="7A59DBE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cu privire la Banca </w:t>
            </w:r>
            <w:r w:rsidR="00451715">
              <w:rPr>
                <w:rFonts w:ascii="Times New Roman" w:eastAsia="Times New Roman" w:hAnsi="Times New Roman" w:cs="Times New Roman"/>
                <w:color w:val="000000"/>
                <w:sz w:val="20"/>
                <w:szCs w:val="20"/>
                <w:lang w:val="ro-RO"/>
              </w:rPr>
              <w:t>Națională a Moldovei nr.548</w:t>
            </w:r>
            <w:r w:rsidRPr="00650D66">
              <w:rPr>
                <w:rFonts w:ascii="Times New Roman" w:eastAsia="Times New Roman" w:hAnsi="Times New Roman" w:cs="Times New Roman"/>
                <w:color w:val="000000"/>
                <w:sz w:val="20"/>
                <w:szCs w:val="20"/>
                <w:lang w:val="ro-RO"/>
              </w:rPr>
              <w:t xml:space="preserve"> din 21.07.1995, cu modificările ulterioare</w:t>
            </w:r>
          </w:p>
        </w:tc>
      </w:tr>
      <w:tr w:rsidR="00C817DC" w:rsidRPr="00650D66" w14:paraId="51884560" w14:textId="77777777" w:rsidTr="00F32C69">
        <w:trPr>
          <w:trHeight w:val="204"/>
        </w:trPr>
        <w:tc>
          <w:tcPr>
            <w:tcW w:w="1276" w:type="dxa"/>
            <w:tcBorders>
              <w:top w:val="nil"/>
              <w:left w:val="nil"/>
              <w:bottom w:val="nil"/>
              <w:right w:val="nil"/>
            </w:tcBorders>
            <w:shd w:val="clear" w:color="auto" w:fill="auto"/>
            <w:hideMark/>
          </w:tcPr>
          <w:p w14:paraId="0179FEA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02B207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Nr. 199 din 16-07-2010 cu privire la statutul persoanelor cu </w:t>
            </w:r>
            <w:r w:rsidR="00EE25FC" w:rsidRPr="00650D66">
              <w:rPr>
                <w:rFonts w:ascii="Times New Roman" w:eastAsia="Times New Roman" w:hAnsi="Times New Roman" w:cs="Times New Roman"/>
                <w:color w:val="000000"/>
                <w:sz w:val="20"/>
                <w:szCs w:val="20"/>
                <w:lang w:val="ro-RO"/>
              </w:rPr>
              <w:t>funcții</w:t>
            </w:r>
            <w:r w:rsidRPr="00650D66">
              <w:rPr>
                <w:rFonts w:ascii="Times New Roman" w:eastAsia="Times New Roman" w:hAnsi="Times New Roman" w:cs="Times New Roman"/>
                <w:color w:val="000000"/>
                <w:sz w:val="20"/>
                <w:szCs w:val="20"/>
                <w:lang w:val="ro-RO"/>
              </w:rPr>
              <w:t xml:space="preserve"> de demnitate publică</w:t>
            </w:r>
          </w:p>
        </w:tc>
      </w:tr>
      <w:tr w:rsidR="00C817DC" w:rsidRPr="00650D66" w14:paraId="707E3136" w14:textId="77777777" w:rsidTr="00F32C69">
        <w:trPr>
          <w:trHeight w:val="204"/>
        </w:trPr>
        <w:tc>
          <w:tcPr>
            <w:tcW w:w="1276" w:type="dxa"/>
            <w:tcBorders>
              <w:top w:val="nil"/>
              <w:left w:val="nil"/>
              <w:bottom w:val="nil"/>
              <w:right w:val="nil"/>
            </w:tcBorders>
            <w:shd w:val="clear" w:color="auto" w:fill="auto"/>
            <w:hideMark/>
          </w:tcPr>
          <w:p w14:paraId="73DA4D4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8D2F7E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Legea nr. 847/2002 salarizării, cu modificările ulterioare; </w:t>
            </w:r>
          </w:p>
        </w:tc>
      </w:tr>
      <w:tr w:rsidR="00C817DC" w:rsidRPr="00650D66" w14:paraId="068A79BB" w14:textId="77777777" w:rsidTr="00F32C69">
        <w:trPr>
          <w:trHeight w:val="204"/>
        </w:trPr>
        <w:tc>
          <w:tcPr>
            <w:tcW w:w="1276" w:type="dxa"/>
            <w:tcBorders>
              <w:top w:val="nil"/>
              <w:left w:val="nil"/>
              <w:bottom w:val="nil"/>
              <w:right w:val="nil"/>
            </w:tcBorders>
            <w:shd w:val="clear" w:color="auto" w:fill="auto"/>
            <w:hideMark/>
          </w:tcPr>
          <w:p w14:paraId="3432D6F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D6D560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186 din 10-07-2008 </w:t>
            </w:r>
            <w:r w:rsidR="00EE25FC" w:rsidRPr="00650D66">
              <w:rPr>
                <w:rFonts w:ascii="Times New Roman" w:eastAsia="Times New Roman" w:hAnsi="Times New Roman" w:cs="Times New Roman"/>
                <w:color w:val="000000"/>
                <w:sz w:val="20"/>
                <w:szCs w:val="20"/>
                <w:lang w:val="ro-RO"/>
              </w:rPr>
              <w:t>securității</w:t>
            </w:r>
            <w:r w:rsidRPr="00650D66">
              <w:rPr>
                <w:rFonts w:ascii="Times New Roman" w:eastAsia="Times New Roman" w:hAnsi="Times New Roman" w:cs="Times New Roman"/>
                <w:color w:val="000000"/>
                <w:sz w:val="20"/>
                <w:szCs w:val="20"/>
                <w:lang w:val="ro-RO"/>
              </w:rPr>
              <w:t xml:space="preserve">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w:t>
            </w:r>
            <w:r w:rsidR="00EE25FC" w:rsidRPr="00650D66">
              <w:rPr>
                <w:rFonts w:ascii="Times New Roman" w:eastAsia="Times New Roman" w:hAnsi="Times New Roman" w:cs="Times New Roman"/>
                <w:color w:val="000000"/>
                <w:sz w:val="20"/>
                <w:szCs w:val="20"/>
                <w:lang w:val="ro-RO"/>
              </w:rPr>
              <w:t>sănătății</w:t>
            </w:r>
            <w:r w:rsidRPr="00650D66">
              <w:rPr>
                <w:rFonts w:ascii="Times New Roman" w:eastAsia="Times New Roman" w:hAnsi="Times New Roman" w:cs="Times New Roman"/>
                <w:color w:val="000000"/>
                <w:sz w:val="20"/>
                <w:szCs w:val="20"/>
                <w:lang w:val="ro-RO"/>
              </w:rPr>
              <w:t xml:space="preserve"> în muncă</w:t>
            </w:r>
          </w:p>
        </w:tc>
      </w:tr>
      <w:tr w:rsidR="00C817DC" w:rsidRPr="00650D66" w14:paraId="249B5878" w14:textId="77777777" w:rsidTr="00F32C69">
        <w:trPr>
          <w:trHeight w:val="204"/>
        </w:trPr>
        <w:tc>
          <w:tcPr>
            <w:tcW w:w="1276" w:type="dxa"/>
            <w:tcBorders>
              <w:top w:val="nil"/>
              <w:left w:val="nil"/>
              <w:bottom w:val="nil"/>
              <w:right w:val="nil"/>
            </w:tcBorders>
            <w:shd w:val="clear" w:color="auto" w:fill="auto"/>
            <w:hideMark/>
          </w:tcPr>
          <w:p w14:paraId="096CA1F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78E994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asigurării pentru accidente de muncă și boli profesionale nr.756-XIV din 24.12.1999</w:t>
            </w:r>
          </w:p>
        </w:tc>
      </w:tr>
      <w:tr w:rsidR="00C817DC" w:rsidRPr="00650D66" w14:paraId="291D25D2" w14:textId="77777777" w:rsidTr="00F32C69">
        <w:trPr>
          <w:trHeight w:val="204"/>
        </w:trPr>
        <w:tc>
          <w:tcPr>
            <w:tcW w:w="1276" w:type="dxa"/>
            <w:tcBorders>
              <w:top w:val="nil"/>
              <w:left w:val="nil"/>
              <w:bottom w:val="nil"/>
              <w:right w:val="nil"/>
            </w:tcBorders>
            <w:shd w:val="clear" w:color="auto" w:fill="auto"/>
            <w:hideMark/>
          </w:tcPr>
          <w:p w14:paraId="769DA9F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98F4A2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privind indemnizațiile pentru incapacitate temporară de muncă și alte prestații de asigurări sociale nr.289 din 22.07.2004</w:t>
            </w:r>
          </w:p>
        </w:tc>
      </w:tr>
      <w:tr w:rsidR="00C817DC" w:rsidRPr="00650D66" w14:paraId="1F1D5A3A" w14:textId="77777777" w:rsidTr="00F32C69">
        <w:trPr>
          <w:trHeight w:val="204"/>
        </w:trPr>
        <w:tc>
          <w:tcPr>
            <w:tcW w:w="1276" w:type="dxa"/>
            <w:tcBorders>
              <w:top w:val="nil"/>
              <w:left w:val="nil"/>
              <w:bottom w:val="nil"/>
              <w:right w:val="nil"/>
            </w:tcBorders>
            <w:shd w:val="clear" w:color="auto" w:fill="auto"/>
            <w:hideMark/>
          </w:tcPr>
          <w:p w14:paraId="5E40A6B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1492BA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489/1999 privind sistemul public de asigurări sociale, cu modificările ulterioare</w:t>
            </w:r>
          </w:p>
        </w:tc>
      </w:tr>
      <w:tr w:rsidR="00C817DC" w:rsidRPr="00650D66" w14:paraId="5D329CCB" w14:textId="77777777" w:rsidTr="00F32C69">
        <w:trPr>
          <w:trHeight w:val="204"/>
        </w:trPr>
        <w:tc>
          <w:tcPr>
            <w:tcW w:w="1276" w:type="dxa"/>
            <w:tcBorders>
              <w:top w:val="nil"/>
              <w:left w:val="nil"/>
              <w:bottom w:val="nil"/>
              <w:right w:val="nil"/>
            </w:tcBorders>
            <w:shd w:val="clear" w:color="auto" w:fill="auto"/>
            <w:hideMark/>
          </w:tcPr>
          <w:p w14:paraId="441B168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E3CCA8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1585/1998 cu privire la asigurarea obligatorie de </w:t>
            </w:r>
            <w:r w:rsidR="00EE25FC" w:rsidRPr="00650D66">
              <w:rPr>
                <w:rFonts w:ascii="Times New Roman" w:eastAsia="Times New Roman" w:hAnsi="Times New Roman" w:cs="Times New Roman"/>
                <w:color w:val="000000"/>
                <w:sz w:val="20"/>
                <w:szCs w:val="20"/>
                <w:lang w:val="ro-RO"/>
              </w:rPr>
              <w:t>asistență</w:t>
            </w:r>
            <w:r w:rsidRPr="00650D66">
              <w:rPr>
                <w:rFonts w:ascii="Times New Roman" w:eastAsia="Times New Roman" w:hAnsi="Times New Roman" w:cs="Times New Roman"/>
                <w:color w:val="000000"/>
                <w:sz w:val="20"/>
                <w:szCs w:val="20"/>
                <w:lang w:val="ro-RO"/>
              </w:rPr>
              <w:t xml:space="preserve"> medicală, cu modificările ulterioare</w:t>
            </w:r>
          </w:p>
        </w:tc>
      </w:tr>
      <w:tr w:rsidR="00C817DC" w:rsidRPr="00650D66" w14:paraId="2E26A4B1" w14:textId="77777777" w:rsidTr="00F32C69">
        <w:trPr>
          <w:trHeight w:val="204"/>
        </w:trPr>
        <w:tc>
          <w:tcPr>
            <w:tcW w:w="1276" w:type="dxa"/>
            <w:tcBorders>
              <w:top w:val="nil"/>
              <w:left w:val="nil"/>
              <w:bottom w:val="nil"/>
              <w:right w:val="nil"/>
            </w:tcBorders>
            <w:shd w:val="clear" w:color="auto" w:fill="auto"/>
            <w:hideMark/>
          </w:tcPr>
          <w:p w14:paraId="79B60C5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8040AF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Legile bugetelor de asigurări sociale de stat anuale (2019-2022), Legile fondurilor asigurării obligatorii de asistență medicală anuale (2019-2022)</w:t>
            </w:r>
          </w:p>
        </w:tc>
      </w:tr>
      <w:tr w:rsidR="00C817DC" w:rsidRPr="00650D66" w14:paraId="6C1262AC" w14:textId="77777777" w:rsidTr="00F32C69">
        <w:trPr>
          <w:trHeight w:val="204"/>
        </w:trPr>
        <w:tc>
          <w:tcPr>
            <w:tcW w:w="1276" w:type="dxa"/>
            <w:tcBorders>
              <w:top w:val="nil"/>
              <w:left w:val="nil"/>
              <w:bottom w:val="nil"/>
              <w:right w:val="nil"/>
            </w:tcBorders>
            <w:shd w:val="clear" w:color="auto" w:fill="auto"/>
            <w:hideMark/>
          </w:tcPr>
          <w:p w14:paraId="1B88DBC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C64A4C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Convenția colectivă (nivel național) nr.2 din 09.07.2004</w:t>
            </w:r>
          </w:p>
        </w:tc>
      </w:tr>
      <w:tr w:rsidR="00C817DC" w:rsidRPr="00650D66" w14:paraId="1918599D" w14:textId="77777777" w:rsidTr="00F32C69">
        <w:trPr>
          <w:trHeight w:val="204"/>
        </w:trPr>
        <w:tc>
          <w:tcPr>
            <w:tcW w:w="1276" w:type="dxa"/>
            <w:tcBorders>
              <w:top w:val="nil"/>
              <w:left w:val="nil"/>
              <w:bottom w:val="nil"/>
              <w:right w:val="nil"/>
            </w:tcBorders>
            <w:shd w:val="clear" w:color="auto" w:fill="auto"/>
            <w:hideMark/>
          </w:tcPr>
          <w:p w14:paraId="18604E6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1ACB13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privind salarizarea angajaților Băncii Naționale a Moldovei (cu modificările ulterioare), HCS nr.15 din 11.07.2018</w:t>
            </w:r>
          </w:p>
        </w:tc>
      </w:tr>
      <w:tr w:rsidR="00C817DC" w:rsidRPr="00650D66" w14:paraId="225FCA24" w14:textId="77777777" w:rsidTr="00F32C69">
        <w:trPr>
          <w:trHeight w:val="204"/>
        </w:trPr>
        <w:tc>
          <w:tcPr>
            <w:tcW w:w="1276" w:type="dxa"/>
            <w:tcBorders>
              <w:top w:val="nil"/>
              <w:left w:val="nil"/>
              <w:bottom w:val="nil"/>
              <w:right w:val="nil"/>
            </w:tcBorders>
            <w:shd w:val="clear" w:color="auto" w:fill="auto"/>
            <w:hideMark/>
          </w:tcPr>
          <w:p w14:paraId="5632977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DE9188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intern al BNM, HCE nr.62 din 16.03.2016, cu modificările ulterioare</w:t>
            </w:r>
          </w:p>
        </w:tc>
      </w:tr>
      <w:tr w:rsidR="00C817DC" w:rsidRPr="00650D66" w14:paraId="02372342" w14:textId="77777777" w:rsidTr="00F32C69">
        <w:trPr>
          <w:trHeight w:val="204"/>
        </w:trPr>
        <w:tc>
          <w:tcPr>
            <w:tcW w:w="1276" w:type="dxa"/>
            <w:tcBorders>
              <w:top w:val="nil"/>
              <w:left w:val="nil"/>
              <w:bottom w:val="nil"/>
              <w:right w:val="nil"/>
            </w:tcBorders>
            <w:shd w:val="clear" w:color="auto" w:fill="auto"/>
            <w:hideMark/>
          </w:tcPr>
          <w:p w14:paraId="4FDA96B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FD53AA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privind sistemul de management al </w:t>
            </w:r>
            <w:r w:rsidR="00EE25FC" w:rsidRPr="00650D66">
              <w:rPr>
                <w:rFonts w:ascii="Times New Roman" w:eastAsia="Times New Roman" w:hAnsi="Times New Roman" w:cs="Times New Roman"/>
                <w:color w:val="000000"/>
                <w:sz w:val="20"/>
                <w:szCs w:val="20"/>
                <w:lang w:val="ro-RO"/>
              </w:rPr>
              <w:t>performanței</w:t>
            </w:r>
            <w:r w:rsidRPr="00650D66">
              <w:rPr>
                <w:rFonts w:ascii="Times New Roman" w:eastAsia="Times New Roman" w:hAnsi="Times New Roman" w:cs="Times New Roman"/>
                <w:color w:val="000000"/>
                <w:sz w:val="20"/>
                <w:szCs w:val="20"/>
                <w:lang w:val="ro-RO"/>
              </w:rPr>
              <w:t xml:space="preserve">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dezvoltarea profesională a </w:t>
            </w:r>
            <w:r w:rsidR="00EE25FC" w:rsidRPr="00650D66">
              <w:rPr>
                <w:rFonts w:ascii="Times New Roman" w:eastAsia="Times New Roman" w:hAnsi="Times New Roman" w:cs="Times New Roman"/>
                <w:color w:val="000000"/>
                <w:sz w:val="20"/>
                <w:szCs w:val="20"/>
                <w:lang w:val="ro-RO"/>
              </w:rPr>
              <w:t>angajaților</w:t>
            </w:r>
            <w:r w:rsidRPr="00650D66">
              <w:rPr>
                <w:rFonts w:ascii="Times New Roman" w:eastAsia="Times New Roman" w:hAnsi="Times New Roman" w:cs="Times New Roman"/>
                <w:color w:val="000000"/>
                <w:sz w:val="20"/>
                <w:szCs w:val="20"/>
                <w:lang w:val="ro-RO"/>
              </w:rPr>
              <w:t xml:space="preserve"> în Banca </w:t>
            </w:r>
            <w:r w:rsidR="00EE25FC" w:rsidRPr="00650D66">
              <w:rPr>
                <w:rFonts w:ascii="Times New Roman" w:eastAsia="Times New Roman" w:hAnsi="Times New Roman" w:cs="Times New Roman"/>
                <w:color w:val="000000"/>
                <w:sz w:val="20"/>
                <w:szCs w:val="20"/>
                <w:lang w:val="ro-RO"/>
              </w:rPr>
              <w:t>Națională</w:t>
            </w:r>
            <w:r w:rsidRPr="00650D66">
              <w:rPr>
                <w:rFonts w:ascii="Times New Roman" w:eastAsia="Times New Roman" w:hAnsi="Times New Roman" w:cs="Times New Roman"/>
                <w:color w:val="000000"/>
                <w:sz w:val="20"/>
                <w:szCs w:val="20"/>
                <w:lang w:val="ro-RO"/>
              </w:rPr>
              <w:t xml:space="preserve"> a Moldovei. HCE, Nr.321 din 05.12.2019</w:t>
            </w:r>
          </w:p>
        </w:tc>
      </w:tr>
      <w:tr w:rsidR="00C817DC" w:rsidRPr="00650D66" w14:paraId="6D560E4A" w14:textId="77777777" w:rsidTr="00F32C69">
        <w:trPr>
          <w:trHeight w:val="408"/>
        </w:trPr>
        <w:tc>
          <w:tcPr>
            <w:tcW w:w="1276" w:type="dxa"/>
            <w:tcBorders>
              <w:top w:val="nil"/>
              <w:left w:val="nil"/>
              <w:bottom w:val="nil"/>
              <w:right w:val="nil"/>
            </w:tcBorders>
            <w:shd w:val="clear" w:color="auto" w:fill="auto"/>
            <w:hideMark/>
          </w:tcPr>
          <w:p w14:paraId="18505C9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DFDD15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Hotărârea nr. 139/2010 a Consiliului de administrație al Băncii Naționale a  Moldovei cu privire la concediile de odihnă anuale suplimentare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cuantumurile lor acordate salariaților Băncii Naționale a Moldovei </w:t>
            </w:r>
          </w:p>
        </w:tc>
      </w:tr>
      <w:tr w:rsidR="00C817DC" w:rsidRPr="00650D66" w14:paraId="082D59F7" w14:textId="77777777" w:rsidTr="00F32C69">
        <w:trPr>
          <w:trHeight w:val="204"/>
        </w:trPr>
        <w:tc>
          <w:tcPr>
            <w:tcW w:w="1276" w:type="dxa"/>
            <w:tcBorders>
              <w:top w:val="nil"/>
              <w:left w:val="nil"/>
              <w:bottom w:val="nil"/>
              <w:right w:val="nil"/>
            </w:tcBorders>
            <w:shd w:val="clear" w:color="auto" w:fill="auto"/>
            <w:hideMark/>
          </w:tcPr>
          <w:p w14:paraId="196F127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525049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cu privire la condițiile de stabilire, modul de calcul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de plată a indemnizațiilor pentru incapacitate temporară de muncă, HG 108 din 03.02.2005</w:t>
            </w:r>
          </w:p>
        </w:tc>
      </w:tr>
      <w:tr w:rsidR="00C817DC" w:rsidRPr="00650D66" w14:paraId="638A1295" w14:textId="77777777" w:rsidTr="00F32C69">
        <w:trPr>
          <w:trHeight w:val="408"/>
        </w:trPr>
        <w:tc>
          <w:tcPr>
            <w:tcW w:w="1276" w:type="dxa"/>
            <w:tcBorders>
              <w:top w:val="nil"/>
              <w:left w:val="nil"/>
              <w:bottom w:val="nil"/>
              <w:right w:val="nil"/>
            </w:tcBorders>
            <w:shd w:val="clear" w:color="auto" w:fill="auto"/>
            <w:hideMark/>
          </w:tcPr>
          <w:p w14:paraId="4EE1150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BF14FA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reținerea impozitului pe venit din salariu și din alte plăți efectuate de către patron în folosul angajatului, precum și din plățile achitate în folosul persoanelor fizice care nu practică activitate de întreprinzător pentru serviciile prestate și/sau efectuare de lucrări, HG nr.697 din 22.08.2014;</w:t>
            </w:r>
          </w:p>
        </w:tc>
      </w:tr>
      <w:tr w:rsidR="00C817DC" w:rsidRPr="00650D66" w14:paraId="48D40508" w14:textId="77777777" w:rsidTr="00F32C69">
        <w:trPr>
          <w:trHeight w:val="204"/>
        </w:trPr>
        <w:tc>
          <w:tcPr>
            <w:tcW w:w="1276" w:type="dxa"/>
            <w:tcBorders>
              <w:top w:val="nil"/>
              <w:left w:val="nil"/>
              <w:bottom w:val="nil"/>
              <w:right w:val="nil"/>
            </w:tcBorders>
            <w:shd w:val="clear" w:color="auto" w:fill="auto"/>
            <w:hideMark/>
          </w:tcPr>
          <w:p w14:paraId="42F7D89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93BDE8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nr.426 din 26.04.2004 „Privind aprobarea Modului de calculare a salariului mediu”</w:t>
            </w:r>
          </w:p>
        </w:tc>
      </w:tr>
      <w:tr w:rsidR="00C817DC" w:rsidRPr="00650D66" w14:paraId="501F15E6" w14:textId="77777777" w:rsidTr="00F32C69">
        <w:trPr>
          <w:trHeight w:val="204"/>
        </w:trPr>
        <w:tc>
          <w:tcPr>
            <w:tcW w:w="1276" w:type="dxa"/>
            <w:tcBorders>
              <w:top w:val="nil"/>
              <w:left w:val="nil"/>
              <w:bottom w:val="nil"/>
              <w:right w:val="nil"/>
            </w:tcBorders>
            <w:shd w:val="clear" w:color="auto" w:fill="auto"/>
            <w:hideMark/>
          </w:tcPr>
          <w:p w14:paraId="08D1DBA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5E43DA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661 Angajarea personalului</w:t>
            </w:r>
          </w:p>
        </w:tc>
      </w:tr>
      <w:tr w:rsidR="00C817DC" w:rsidRPr="00650D66" w14:paraId="60679B56" w14:textId="77777777" w:rsidTr="00F32C69">
        <w:trPr>
          <w:trHeight w:val="204"/>
        </w:trPr>
        <w:tc>
          <w:tcPr>
            <w:tcW w:w="1276" w:type="dxa"/>
            <w:tcBorders>
              <w:top w:val="nil"/>
              <w:left w:val="nil"/>
              <w:bottom w:val="nil"/>
              <w:right w:val="nil"/>
            </w:tcBorders>
            <w:shd w:val="clear" w:color="auto" w:fill="auto"/>
            <w:hideMark/>
          </w:tcPr>
          <w:p w14:paraId="539802B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9AD822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662 Elaborarea si modificarea structurii de state</w:t>
            </w:r>
          </w:p>
        </w:tc>
      </w:tr>
      <w:tr w:rsidR="00C817DC" w:rsidRPr="00650D66" w14:paraId="63C4821D" w14:textId="77777777" w:rsidTr="00F32C69">
        <w:trPr>
          <w:trHeight w:val="204"/>
        </w:trPr>
        <w:tc>
          <w:tcPr>
            <w:tcW w:w="1276" w:type="dxa"/>
            <w:tcBorders>
              <w:top w:val="nil"/>
              <w:left w:val="nil"/>
              <w:bottom w:val="nil"/>
              <w:right w:val="nil"/>
            </w:tcBorders>
            <w:shd w:val="clear" w:color="auto" w:fill="auto"/>
            <w:hideMark/>
          </w:tcPr>
          <w:p w14:paraId="01BF2BC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DFF3C9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663 Evidența timpului de munca</w:t>
            </w:r>
          </w:p>
        </w:tc>
      </w:tr>
      <w:tr w:rsidR="00C817DC" w:rsidRPr="00650D66" w14:paraId="32C91A4E" w14:textId="77777777" w:rsidTr="00F32C69">
        <w:trPr>
          <w:trHeight w:val="204"/>
        </w:trPr>
        <w:tc>
          <w:tcPr>
            <w:tcW w:w="1276" w:type="dxa"/>
            <w:tcBorders>
              <w:top w:val="nil"/>
              <w:left w:val="nil"/>
              <w:bottom w:val="nil"/>
              <w:right w:val="nil"/>
            </w:tcBorders>
            <w:shd w:val="clear" w:color="auto" w:fill="auto"/>
            <w:hideMark/>
          </w:tcPr>
          <w:p w14:paraId="04C07CC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77FF43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664 Salarizarea personalului</w:t>
            </w:r>
          </w:p>
        </w:tc>
      </w:tr>
      <w:tr w:rsidR="00C817DC" w:rsidRPr="00650D66" w14:paraId="0BD20665" w14:textId="77777777" w:rsidTr="00F32C69">
        <w:trPr>
          <w:trHeight w:val="204"/>
        </w:trPr>
        <w:tc>
          <w:tcPr>
            <w:tcW w:w="1276" w:type="dxa"/>
            <w:tcBorders>
              <w:top w:val="nil"/>
              <w:left w:val="nil"/>
              <w:bottom w:val="nil"/>
              <w:right w:val="nil"/>
            </w:tcBorders>
            <w:shd w:val="clear" w:color="auto" w:fill="auto"/>
            <w:hideMark/>
          </w:tcPr>
          <w:p w14:paraId="6802F5E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49FA6E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670 Încetarea contractului individual de muncă</w:t>
            </w:r>
          </w:p>
        </w:tc>
      </w:tr>
      <w:tr w:rsidR="00C817DC" w:rsidRPr="00650D66" w14:paraId="6B588285" w14:textId="77777777" w:rsidTr="00F32C69">
        <w:trPr>
          <w:trHeight w:val="204"/>
        </w:trPr>
        <w:tc>
          <w:tcPr>
            <w:tcW w:w="1276" w:type="dxa"/>
            <w:tcBorders>
              <w:top w:val="nil"/>
              <w:left w:val="nil"/>
              <w:bottom w:val="nil"/>
              <w:right w:val="nil"/>
            </w:tcBorders>
            <w:shd w:val="clear" w:color="auto" w:fill="auto"/>
            <w:hideMark/>
          </w:tcPr>
          <w:p w14:paraId="134BFF7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5939F7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672 Gestiunea relațiilor de muncă</w:t>
            </w:r>
          </w:p>
        </w:tc>
      </w:tr>
      <w:tr w:rsidR="00C817DC" w:rsidRPr="00650D66" w14:paraId="7CDDCD93" w14:textId="77777777" w:rsidTr="00F32C69">
        <w:trPr>
          <w:trHeight w:val="204"/>
        </w:trPr>
        <w:tc>
          <w:tcPr>
            <w:tcW w:w="1276" w:type="dxa"/>
            <w:tcBorders>
              <w:top w:val="nil"/>
              <w:left w:val="nil"/>
              <w:bottom w:val="nil"/>
              <w:right w:val="nil"/>
            </w:tcBorders>
            <w:shd w:val="clear" w:color="auto" w:fill="auto"/>
            <w:hideMark/>
          </w:tcPr>
          <w:p w14:paraId="3D942BA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85C02A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aferente remunerării personalului Băncii Naționale a Moldovei, nr. 11-01205/19 din 06.03.2002, cu modificările ulterioare</w:t>
            </w:r>
          </w:p>
        </w:tc>
      </w:tr>
      <w:tr w:rsidR="00C817DC" w:rsidRPr="00650D66" w14:paraId="6417D571" w14:textId="77777777" w:rsidTr="00F32C69">
        <w:trPr>
          <w:trHeight w:val="204"/>
        </w:trPr>
        <w:tc>
          <w:tcPr>
            <w:tcW w:w="1276" w:type="dxa"/>
            <w:tcBorders>
              <w:top w:val="nil"/>
              <w:left w:val="nil"/>
              <w:bottom w:val="nil"/>
              <w:right w:val="nil"/>
            </w:tcBorders>
            <w:shd w:val="clear" w:color="auto" w:fill="auto"/>
            <w:hideMark/>
          </w:tcPr>
          <w:p w14:paraId="6424809A" w14:textId="77777777" w:rsidR="00C817DC" w:rsidRPr="00650D66" w:rsidRDefault="00C817DC" w:rsidP="00C817DC">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2022</w:t>
            </w:r>
          </w:p>
        </w:tc>
        <w:tc>
          <w:tcPr>
            <w:tcW w:w="9867" w:type="dxa"/>
            <w:tcBorders>
              <w:top w:val="nil"/>
              <w:left w:val="nil"/>
              <w:bottom w:val="nil"/>
              <w:right w:val="nil"/>
            </w:tcBorders>
            <w:shd w:val="clear" w:color="auto" w:fill="auto"/>
            <w:hideMark/>
          </w:tcPr>
          <w:p w14:paraId="67668C0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Înregistrări contabile aferente remunerațiilor personalului Băncii </w:t>
            </w:r>
            <w:r w:rsidR="00520C84"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nr. 11-01102/1 din 23.06.2022</w:t>
            </w:r>
          </w:p>
        </w:tc>
      </w:tr>
      <w:tr w:rsidR="00C817DC" w:rsidRPr="00650D66" w14:paraId="2C93AFDF" w14:textId="77777777" w:rsidTr="00F32C69">
        <w:trPr>
          <w:trHeight w:val="408"/>
        </w:trPr>
        <w:tc>
          <w:tcPr>
            <w:tcW w:w="1276" w:type="dxa"/>
            <w:tcBorders>
              <w:top w:val="nil"/>
              <w:left w:val="nil"/>
              <w:bottom w:val="nil"/>
              <w:right w:val="nil"/>
            </w:tcBorders>
            <w:shd w:val="clear" w:color="auto" w:fill="auto"/>
            <w:hideMark/>
          </w:tcPr>
          <w:p w14:paraId="0164408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E0BFA7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nr.335 din 28.11.2018</w:t>
            </w:r>
          </w:p>
        </w:tc>
      </w:tr>
      <w:tr w:rsidR="00C817DC" w:rsidRPr="00650D66" w14:paraId="401737E2" w14:textId="77777777" w:rsidTr="00F32C69">
        <w:trPr>
          <w:trHeight w:val="204"/>
        </w:trPr>
        <w:tc>
          <w:tcPr>
            <w:tcW w:w="1276" w:type="dxa"/>
            <w:tcBorders>
              <w:top w:val="nil"/>
              <w:left w:val="nil"/>
              <w:bottom w:val="nil"/>
              <w:right w:val="nil"/>
            </w:tcBorders>
            <w:shd w:val="clear" w:color="auto" w:fill="auto"/>
            <w:hideMark/>
          </w:tcPr>
          <w:p w14:paraId="38CED5E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71F0DB3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CONVENŢIE COLECTIVĂ Nr. 17 din 28-02-2020 (nivel național) cu privire la modelu</w:t>
            </w:r>
            <w:r w:rsidR="00217F10" w:rsidRPr="00650D66">
              <w:rPr>
                <w:rFonts w:ascii="Times New Roman" w:eastAsia="Times New Roman" w:hAnsi="Times New Roman" w:cs="Times New Roman"/>
                <w:color w:val="000000"/>
                <w:sz w:val="20"/>
                <w:szCs w:val="20"/>
                <w:lang w:val="ro-RO"/>
              </w:rPr>
              <w:t>l</w:t>
            </w:r>
            <w:r w:rsidRPr="00650D66">
              <w:rPr>
                <w:rFonts w:ascii="Times New Roman" w:eastAsia="Times New Roman" w:hAnsi="Times New Roman" w:cs="Times New Roman"/>
                <w:color w:val="000000"/>
                <w:sz w:val="20"/>
                <w:szCs w:val="20"/>
                <w:lang w:val="ro-RO"/>
              </w:rPr>
              <w:t xml:space="preserve"> Tabelului de evidență a timpului de muncă</w:t>
            </w:r>
          </w:p>
        </w:tc>
      </w:tr>
      <w:tr w:rsidR="00C817DC" w:rsidRPr="00650D66" w14:paraId="7F6D8025" w14:textId="77777777" w:rsidTr="00F32C69">
        <w:trPr>
          <w:trHeight w:val="204"/>
        </w:trPr>
        <w:tc>
          <w:tcPr>
            <w:tcW w:w="1276" w:type="dxa"/>
            <w:tcBorders>
              <w:top w:val="nil"/>
              <w:left w:val="nil"/>
              <w:bottom w:val="nil"/>
              <w:right w:val="nil"/>
            </w:tcBorders>
            <w:shd w:val="clear" w:color="auto" w:fill="auto"/>
            <w:hideMark/>
          </w:tcPr>
          <w:p w14:paraId="55C79DA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lastRenderedPageBreak/>
              <w:t>2020-2022</w:t>
            </w:r>
          </w:p>
        </w:tc>
        <w:tc>
          <w:tcPr>
            <w:tcW w:w="9867" w:type="dxa"/>
            <w:tcBorders>
              <w:top w:val="nil"/>
              <w:left w:val="nil"/>
              <w:bottom w:val="nil"/>
              <w:right w:val="nil"/>
            </w:tcBorders>
            <w:shd w:val="clear" w:color="auto" w:fill="auto"/>
            <w:hideMark/>
          </w:tcPr>
          <w:p w14:paraId="65F83DF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CONVENŢIE COLECTIVĂ Nr. 19 din 28-02-2020 (nivel național) cu privire la modelul Programării concediilor de odihnă anuale</w:t>
            </w:r>
          </w:p>
        </w:tc>
      </w:tr>
      <w:tr w:rsidR="00C817DC" w:rsidRPr="00650D66" w14:paraId="6E0160B0" w14:textId="77777777" w:rsidTr="00F32C69">
        <w:trPr>
          <w:trHeight w:val="204"/>
        </w:trPr>
        <w:tc>
          <w:tcPr>
            <w:tcW w:w="1276" w:type="dxa"/>
            <w:tcBorders>
              <w:top w:val="nil"/>
              <w:left w:val="nil"/>
              <w:bottom w:val="nil"/>
              <w:right w:val="nil"/>
            </w:tcBorders>
            <w:shd w:val="clear" w:color="auto" w:fill="auto"/>
            <w:hideMark/>
          </w:tcPr>
          <w:p w14:paraId="26DA08B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noWrap/>
            <w:hideMark/>
          </w:tcPr>
          <w:p w14:paraId="158D6FA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Lista certificărilor profesionale care corespund domeniilor de activitate ale Băncii Naționale a Moldovei, HCE, Nr.66 din 15.04.2021</w:t>
            </w:r>
          </w:p>
        </w:tc>
      </w:tr>
      <w:tr w:rsidR="00C817DC" w:rsidRPr="00650D66" w14:paraId="3D5A9747" w14:textId="77777777" w:rsidTr="00F32C69">
        <w:trPr>
          <w:trHeight w:val="408"/>
        </w:trPr>
        <w:tc>
          <w:tcPr>
            <w:tcW w:w="1276" w:type="dxa"/>
            <w:tcBorders>
              <w:top w:val="nil"/>
              <w:left w:val="nil"/>
              <w:bottom w:val="nil"/>
              <w:right w:val="nil"/>
            </w:tcBorders>
            <w:shd w:val="clear" w:color="auto" w:fill="auto"/>
            <w:hideMark/>
          </w:tcPr>
          <w:p w14:paraId="45E725E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2020-2021</w:t>
            </w:r>
          </w:p>
        </w:tc>
        <w:tc>
          <w:tcPr>
            <w:tcW w:w="9867" w:type="dxa"/>
            <w:tcBorders>
              <w:top w:val="nil"/>
              <w:left w:val="nil"/>
              <w:bottom w:val="nil"/>
              <w:right w:val="nil"/>
            </w:tcBorders>
            <w:shd w:val="clear" w:color="auto" w:fill="auto"/>
            <w:hideMark/>
          </w:tcPr>
          <w:p w14:paraId="4FA66417" w14:textId="77777777" w:rsidR="00C817DC" w:rsidRPr="00650D66" w:rsidRDefault="00E401BF" w:rsidP="00E401BF">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Hotărârea</w:t>
            </w:r>
            <w:r w:rsidR="00C817DC" w:rsidRPr="00650D66">
              <w:rPr>
                <w:rFonts w:ascii="Times New Roman" w:eastAsia="Times New Roman" w:hAnsi="Times New Roman" w:cs="Times New Roman"/>
                <w:color w:val="000000"/>
                <w:sz w:val="20"/>
                <w:szCs w:val="20"/>
                <w:lang w:val="ro-RO"/>
              </w:rPr>
              <w:t xml:space="preserve"> Comitetului executiv nr. 67 din 16.03.2020 Cu privire la aplicarea masurilor sporite suplimentare de </w:t>
            </w:r>
            <w:r w:rsidR="0051406F" w:rsidRPr="00650D66">
              <w:rPr>
                <w:rFonts w:ascii="Times New Roman" w:eastAsia="Times New Roman" w:hAnsi="Times New Roman" w:cs="Times New Roman"/>
                <w:color w:val="000000"/>
                <w:sz w:val="20"/>
                <w:szCs w:val="20"/>
                <w:lang w:val="ro-RO"/>
              </w:rPr>
              <w:t>protecție</w:t>
            </w:r>
            <w:r w:rsidR="00C817DC" w:rsidRPr="00650D66">
              <w:rPr>
                <w:rFonts w:ascii="Times New Roman" w:eastAsia="Times New Roman" w:hAnsi="Times New Roman" w:cs="Times New Roman"/>
                <w:color w:val="000000"/>
                <w:sz w:val="20"/>
                <w:szCs w:val="20"/>
                <w:lang w:val="ro-RO"/>
              </w:rPr>
              <w:t xml:space="preserve"> a </w:t>
            </w:r>
            <w:r w:rsidR="001828CF" w:rsidRPr="00650D66">
              <w:rPr>
                <w:rFonts w:ascii="Times New Roman" w:eastAsia="Times New Roman" w:hAnsi="Times New Roman" w:cs="Times New Roman"/>
                <w:color w:val="000000"/>
                <w:sz w:val="20"/>
                <w:szCs w:val="20"/>
                <w:lang w:val="ro-RO"/>
              </w:rPr>
              <w:t>angajaților</w:t>
            </w:r>
            <w:r w:rsidR="00C817DC" w:rsidRPr="00650D66">
              <w:rPr>
                <w:rFonts w:ascii="Times New Roman" w:eastAsia="Times New Roman" w:hAnsi="Times New Roman" w:cs="Times New Roman"/>
                <w:color w:val="000000"/>
                <w:sz w:val="20"/>
                <w:szCs w:val="20"/>
                <w:lang w:val="ro-RO"/>
              </w:rPr>
              <w:t xml:space="preserve"> si </w:t>
            </w:r>
            <w:r w:rsidR="001828CF" w:rsidRPr="00650D66">
              <w:rPr>
                <w:rFonts w:ascii="Times New Roman" w:eastAsia="Times New Roman" w:hAnsi="Times New Roman" w:cs="Times New Roman"/>
                <w:color w:val="000000"/>
                <w:sz w:val="20"/>
                <w:szCs w:val="20"/>
                <w:lang w:val="ro-RO"/>
              </w:rPr>
              <w:t>continuității</w:t>
            </w:r>
            <w:r w:rsidR="00C817DC" w:rsidRPr="00650D66">
              <w:rPr>
                <w:rFonts w:ascii="Times New Roman" w:eastAsia="Times New Roman" w:hAnsi="Times New Roman" w:cs="Times New Roman"/>
                <w:color w:val="000000"/>
                <w:sz w:val="20"/>
                <w:szCs w:val="20"/>
                <w:lang w:val="ro-RO"/>
              </w:rPr>
              <w:t xml:space="preserve"> </w:t>
            </w:r>
            <w:r w:rsidRPr="00650D66">
              <w:rPr>
                <w:rFonts w:ascii="Times New Roman" w:eastAsia="Times New Roman" w:hAnsi="Times New Roman" w:cs="Times New Roman"/>
                <w:color w:val="000000"/>
                <w:sz w:val="20"/>
                <w:szCs w:val="20"/>
                <w:lang w:val="ro-RO"/>
              </w:rPr>
              <w:t>activității</w:t>
            </w:r>
            <w:r w:rsidR="00C817DC" w:rsidRPr="00650D66">
              <w:rPr>
                <w:rFonts w:ascii="Times New Roman" w:eastAsia="Times New Roman" w:hAnsi="Times New Roman" w:cs="Times New Roman"/>
                <w:color w:val="000000"/>
                <w:sz w:val="20"/>
                <w:szCs w:val="20"/>
                <w:lang w:val="ro-RO"/>
              </w:rPr>
              <w:t xml:space="preserve"> </w:t>
            </w:r>
            <w:r w:rsidRPr="00650D66">
              <w:rPr>
                <w:rFonts w:ascii="Times New Roman" w:eastAsia="Times New Roman" w:hAnsi="Times New Roman" w:cs="Times New Roman"/>
                <w:color w:val="000000"/>
                <w:sz w:val="20"/>
                <w:szCs w:val="20"/>
                <w:lang w:val="ro-RO"/>
              </w:rPr>
              <w:t>BNM</w:t>
            </w:r>
            <w:r w:rsidR="00C817DC" w:rsidRPr="00650D66">
              <w:rPr>
                <w:rFonts w:ascii="Times New Roman" w:eastAsia="Times New Roman" w:hAnsi="Times New Roman" w:cs="Times New Roman"/>
                <w:color w:val="000000"/>
                <w:sz w:val="20"/>
                <w:szCs w:val="20"/>
                <w:lang w:val="ro-RO"/>
              </w:rPr>
              <w:t xml:space="preserve"> in contextul </w:t>
            </w:r>
            <w:r w:rsidRPr="00650D66">
              <w:rPr>
                <w:rFonts w:ascii="Times New Roman" w:eastAsia="Times New Roman" w:hAnsi="Times New Roman" w:cs="Times New Roman"/>
                <w:color w:val="000000"/>
                <w:sz w:val="20"/>
                <w:szCs w:val="20"/>
                <w:lang w:val="ro-RO"/>
              </w:rPr>
              <w:t>răspândirii</w:t>
            </w:r>
            <w:r w:rsidR="00C817DC" w:rsidRPr="00650D66">
              <w:rPr>
                <w:rFonts w:ascii="Times New Roman" w:eastAsia="Times New Roman" w:hAnsi="Times New Roman" w:cs="Times New Roman"/>
                <w:color w:val="000000"/>
                <w:sz w:val="20"/>
                <w:szCs w:val="20"/>
                <w:lang w:val="ro-RO"/>
              </w:rPr>
              <w:t xml:space="preserve"> </w:t>
            </w:r>
            <w:r w:rsidRPr="00650D66">
              <w:rPr>
                <w:rFonts w:ascii="Times New Roman" w:eastAsia="Times New Roman" w:hAnsi="Times New Roman" w:cs="Times New Roman"/>
                <w:color w:val="000000"/>
                <w:sz w:val="20"/>
                <w:szCs w:val="20"/>
                <w:lang w:val="ro-RO"/>
              </w:rPr>
              <w:t>infecției</w:t>
            </w:r>
            <w:r w:rsidR="00C817DC" w:rsidRPr="00650D66">
              <w:rPr>
                <w:rFonts w:ascii="Times New Roman" w:eastAsia="Times New Roman" w:hAnsi="Times New Roman" w:cs="Times New Roman"/>
                <w:color w:val="000000"/>
                <w:sz w:val="20"/>
                <w:szCs w:val="20"/>
                <w:lang w:val="ro-RO"/>
              </w:rPr>
              <w:t xml:space="preserve"> COVID-19 cu </w:t>
            </w:r>
            <w:r w:rsidRPr="00650D66">
              <w:rPr>
                <w:rFonts w:ascii="Times New Roman" w:eastAsia="Times New Roman" w:hAnsi="Times New Roman" w:cs="Times New Roman"/>
                <w:color w:val="000000"/>
                <w:sz w:val="20"/>
                <w:szCs w:val="20"/>
                <w:lang w:val="ro-RO"/>
              </w:rPr>
              <w:t>modificările</w:t>
            </w:r>
            <w:r w:rsidR="00C817DC" w:rsidRPr="00650D66">
              <w:rPr>
                <w:rFonts w:ascii="Times New Roman" w:eastAsia="Times New Roman" w:hAnsi="Times New Roman" w:cs="Times New Roman"/>
                <w:color w:val="000000"/>
                <w:sz w:val="20"/>
                <w:szCs w:val="20"/>
                <w:lang w:val="ro-RO"/>
              </w:rPr>
              <w:t xml:space="preserve"> ulterioare</w:t>
            </w:r>
          </w:p>
        </w:tc>
      </w:tr>
      <w:tr w:rsidR="00C817DC" w:rsidRPr="00650D66" w14:paraId="2ED62473" w14:textId="77777777" w:rsidTr="00F32C69">
        <w:trPr>
          <w:trHeight w:val="408"/>
        </w:trPr>
        <w:tc>
          <w:tcPr>
            <w:tcW w:w="1276" w:type="dxa"/>
            <w:tcBorders>
              <w:top w:val="nil"/>
              <w:left w:val="nil"/>
              <w:bottom w:val="nil"/>
              <w:right w:val="nil"/>
            </w:tcBorders>
            <w:shd w:val="clear" w:color="auto" w:fill="auto"/>
            <w:hideMark/>
          </w:tcPr>
          <w:p w14:paraId="576A5F3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2020-2021</w:t>
            </w:r>
          </w:p>
        </w:tc>
        <w:tc>
          <w:tcPr>
            <w:tcW w:w="9867" w:type="dxa"/>
            <w:tcBorders>
              <w:top w:val="nil"/>
              <w:left w:val="nil"/>
              <w:bottom w:val="nil"/>
              <w:right w:val="nil"/>
            </w:tcBorders>
            <w:shd w:val="clear" w:color="auto" w:fill="auto"/>
            <w:hideMark/>
          </w:tcPr>
          <w:p w14:paraId="26D40525" w14:textId="77777777" w:rsidR="00C817DC" w:rsidRPr="00650D66" w:rsidRDefault="00E401BF"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Hotărârea</w:t>
            </w:r>
            <w:r w:rsidR="00C817DC" w:rsidRPr="00650D66">
              <w:rPr>
                <w:rFonts w:ascii="Times New Roman" w:eastAsia="Times New Roman" w:hAnsi="Times New Roman" w:cs="Times New Roman"/>
                <w:color w:val="000000"/>
                <w:sz w:val="20"/>
                <w:szCs w:val="20"/>
                <w:lang w:val="ro-RO"/>
              </w:rPr>
              <w:t xml:space="preserve"> Comitetului executiv nr. 61 din 09.03.2020 Cu privire la aplicarea masurilor sporite de </w:t>
            </w:r>
            <w:r w:rsidR="00E1603F" w:rsidRPr="00650D66">
              <w:rPr>
                <w:rFonts w:ascii="Times New Roman" w:eastAsia="Times New Roman" w:hAnsi="Times New Roman" w:cs="Times New Roman"/>
                <w:color w:val="000000"/>
                <w:sz w:val="20"/>
                <w:szCs w:val="20"/>
                <w:lang w:val="ro-RO"/>
              </w:rPr>
              <w:t>protecție</w:t>
            </w:r>
            <w:r w:rsidR="00C817DC" w:rsidRPr="00650D66">
              <w:rPr>
                <w:rFonts w:ascii="Times New Roman" w:eastAsia="Times New Roman" w:hAnsi="Times New Roman" w:cs="Times New Roman"/>
                <w:color w:val="000000"/>
                <w:sz w:val="20"/>
                <w:szCs w:val="20"/>
                <w:lang w:val="ro-RO"/>
              </w:rPr>
              <w:t xml:space="preserve"> a </w:t>
            </w:r>
            <w:r w:rsidR="0051406F" w:rsidRPr="00650D66">
              <w:rPr>
                <w:rFonts w:ascii="Times New Roman" w:eastAsia="Times New Roman" w:hAnsi="Times New Roman" w:cs="Times New Roman"/>
                <w:color w:val="000000"/>
                <w:sz w:val="20"/>
                <w:szCs w:val="20"/>
                <w:lang w:val="ro-RO"/>
              </w:rPr>
              <w:t>angajaților</w:t>
            </w:r>
            <w:r w:rsidR="00C817DC"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Băncii</w:t>
            </w:r>
            <w:r w:rsidR="00C817DC"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Naționale</w:t>
            </w:r>
            <w:r w:rsidR="00C817DC" w:rsidRPr="00650D66">
              <w:rPr>
                <w:rFonts w:ascii="Times New Roman" w:eastAsia="Times New Roman" w:hAnsi="Times New Roman" w:cs="Times New Roman"/>
                <w:color w:val="000000"/>
                <w:sz w:val="20"/>
                <w:szCs w:val="20"/>
                <w:lang w:val="ro-RO"/>
              </w:rPr>
              <w:t xml:space="preserve"> a Moldovei in contextul </w:t>
            </w:r>
            <w:r w:rsidRPr="00650D66">
              <w:rPr>
                <w:rFonts w:ascii="Times New Roman" w:eastAsia="Times New Roman" w:hAnsi="Times New Roman" w:cs="Times New Roman"/>
                <w:color w:val="000000"/>
                <w:sz w:val="20"/>
                <w:szCs w:val="20"/>
                <w:lang w:val="ro-RO"/>
              </w:rPr>
              <w:t>răspândirii</w:t>
            </w:r>
            <w:r w:rsidR="00C817DC" w:rsidRPr="00650D66">
              <w:rPr>
                <w:rFonts w:ascii="Times New Roman" w:eastAsia="Times New Roman" w:hAnsi="Times New Roman" w:cs="Times New Roman"/>
                <w:color w:val="000000"/>
                <w:sz w:val="20"/>
                <w:szCs w:val="20"/>
                <w:lang w:val="ro-RO"/>
              </w:rPr>
              <w:t xml:space="preserve"> </w:t>
            </w:r>
            <w:r w:rsidRPr="00650D66">
              <w:rPr>
                <w:rFonts w:ascii="Times New Roman" w:eastAsia="Times New Roman" w:hAnsi="Times New Roman" w:cs="Times New Roman"/>
                <w:color w:val="000000"/>
                <w:sz w:val="20"/>
                <w:szCs w:val="20"/>
                <w:lang w:val="ro-RO"/>
              </w:rPr>
              <w:t>infecției</w:t>
            </w:r>
            <w:r w:rsidR="00C817DC" w:rsidRPr="00650D66">
              <w:rPr>
                <w:rFonts w:ascii="Times New Roman" w:eastAsia="Times New Roman" w:hAnsi="Times New Roman" w:cs="Times New Roman"/>
                <w:color w:val="000000"/>
                <w:sz w:val="20"/>
                <w:szCs w:val="20"/>
                <w:lang w:val="ro-RO"/>
              </w:rPr>
              <w:br/>
              <w:t xml:space="preserve">COVID-19 cu </w:t>
            </w:r>
            <w:r w:rsidRPr="00650D66">
              <w:rPr>
                <w:rFonts w:ascii="Times New Roman" w:eastAsia="Times New Roman" w:hAnsi="Times New Roman" w:cs="Times New Roman"/>
                <w:color w:val="000000"/>
                <w:sz w:val="20"/>
                <w:szCs w:val="20"/>
                <w:lang w:val="ro-RO"/>
              </w:rPr>
              <w:t>modificările</w:t>
            </w:r>
            <w:r w:rsidR="00C817DC" w:rsidRPr="00650D66">
              <w:rPr>
                <w:rFonts w:ascii="Times New Roman" w:eastAsia="Times New Roman" w:hAnsi="Times New Roman" w:cs="Times New Roman"/>
                <w:color w:val="000000"/>
                <w:sz w:val="20"/>
                <w:szCs w:val="20"/>
                <w:lang w:val="ro-RO"/>
              </w:rPr>
              <w:t xml:space="preserve"> ulterioare</w:t>
            </w:r>
          </w:p>
        </w:tc>
      </w:tr>
      <w:tr w:rsidR="00C817DC" w:rsidRPr="00650D66" w14:paraId="2729FAC0" w14:textId="77777777" w:rsidTr="00F32C69">
        <w:trPr>
          <w:trHeight w:val="408"/>
        </w:trPr>
        <w:tc>
          <w:tcPr>
            <w:tcW w:w="1276" w:type="dxa"/>
            <w:tcBorders>
              <w:top w:val="nil"/>
              <w:left w:val="nil"/>
              <w:bottom w:val="nil"/>
              <w:right w:val="nil"/>
            </w:tcBorders>
            <w:shd w:val="clear" w:color="auto" w:fill="auto"/>
            <w:hideMark/>
          </w:tcPr>
          <w:p w14:paraId="6841189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2020-2021</w:t>
            </w:r>
          </w:p>
        </w:tc>
        <w:tc>
          <w:tcPr>
            <w:tcW w:w="9867" w:type="dxa"/>
            <w:tcBorders>
              <w:top w:val="nil"/>
              <w:left w:val="nil"/>
              <w:bottom w:val="nil"/>
              <w:right w:val="nil"/>
            </w:tcBorders>
            <w:shd w:val="clear" w:color="auto" w:fill="auto"/>
            <w:hideMark/>
          </w:tcPr>
          <w:p w14:paraId="2459E16E" w14:textId="77777777" w:rsidR="00C817DC" w:rsidRPr="00650D66" w:rsidRDefault="00B07B73"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Hotărârea</w:t>
            </w:r>
            <w:r w:rsidR="00C817DC" w:rsidRPr="00650D66">
              <w:rPr>
                <w:rFonts w:ascii="Times New Roman" w:eastAsia="Times New Roman" w:hAnsi="Times New Roman" w:cs="Times New Roman"/>
                <w:color w:val="000000"/>
                <w:sz w:val="20"/>
                <w:szCs w:val="20"/>
                <w:lang w:val="ro-RO"/>
              </w:rPr>
              <w:t xml:space="preserve"> Comitetului executiv nr. 153 din 26.06.2020 Cu privire la aplicarea masurilor sporite suplimentare de </w:t>
            </w:r>
            <w:r w:rsidRPr="00650D66">
              <w:rPr>
                <w:rFonts w:ascii="Times New Roman" w:eastAsia="Times New Roman" w:hAnsi="Times New Roman" w:cs="Times New Roman"/>
                <w:color w:val="000000"/>
                <w:sz w:val="20"/>
                <w:szCs w:val="20"/>
                <w:lang w:val="ro-RO"/>
              </w:rPr>
              <w:t>protecție</w:t>
            </w:r>
            <w:r w:rsidR="00C817DC" w:rsidRPr="00650D66">
              <w:rPr>
                <w:rFonts w:ascii="Times New Roman" w:eastAsia="Times New Roman" w:hAnsi="Times New Roman" w:cs="Times New Roman"/>
                <w:color w:val="000000"/>
                <w:sz w:val="20"/>
                <w:szCs w:val="20"/>
                <w:lang w:val="ro-RO"/>
              </w:rPr>
              <w:t xml:space="preserve"> a </w:t>
            </w:r>
            <w:r w:rsidRPr="00650D66">
              <w:rPr>
                <w:rFonts w:ascii="Times New Roman" w:eastAsia="Times New Roman" w:hAnsi="Times New Roman" w:cs="Times New Roman"/>
                <w:color w:val="000000"/>
                <w:sz w:val="20"/>
                <w:szCs w:val="20"/>
                <w:lang w:val="ro-RO"/>
              </w:rPr>
              <w:t>angajaților ș</w:t>
            </w:r>
            <w:r w:rsidR="00C817DC" w:rsidRPr="00650D66">
              <w:rPr>
                <w:rFonts w:ascii="Times New Roman" w:eastAsia="Times New Roman" w:hAnsi="Times New Roman" w:cs="Times New Roman"/>
                <w:color w:val="000000"/>
                <w:sz w:val="20"/>
                <w:szCs w:val="20"/>
                <w:lang w:val="ro-RO"/>
              </w:rPr>
              <w:t xml:space="preserve">i asigurare a </w:t>
            </w:r>
            <w:r w:rsidRPr="00650D66">
              <w:rPr>
                <w:rFonts w:ascii="Times New Roman" w:eastAsia="Times New Roman" w:hAnsi="Times New Roman" w:cs="Times New Roman"/>
                <w:color w:val="000000"/>
                <w:sz w:val="20"/>
                <w:szCs w:val="20"/>
                <w:lang w:val="ro-RO"/>
              </w:rPr>
              <w:t>continuității</w:t>
            </w:r>
            <w:r w:rsidR="00C817DC" w:rsidRPr="00650D66">
              <w:rPr>
                <w:rFonts w:ascii="Times New Roman" w:eastAsia="Times New Roman" w:hAnsi="Times New Roman" w:cs="Times New Roman"/>
                <w:color w:val="000000"/>
                <w:sz w:val="20"/>
                <w:szCs w:val="20"/>
                <w:lang w:val="ro-RO"/>
              </w:rPr>
              <w:t xml:space="preserve"> </w:t>
            </w:r>
            <w:r w:rsidRPr="00650D66">
              <w:rPr>
                <w:rFonts w:ascii="Times New Roman" w:eastAsia="Times New Roman" w:hAnsi="Times New Roman" w:cs="Times New Roman"/>
                <w:color w:val="000000"/>
                <w:sz w:val="20"/>
                <w:szCs w:val="20"/>
                <w:lang w:val="ro-RO"/>
              </w:rPr>
              <w:t>activității</w:t>
            </w:r>
            <w:r w:rsidR="00C817DC" w:rsidRPr="00650D66">
              <w:rPr>
                <w:rFonts w:ascii="Times New Roman" w:eastAsia="Times New Roman" w:hAnsi="Times New Roman" w:cs="Times New Roman"/>
                <w:color w:val="000000"/>
                <w:sz w:val="20"/>
                <w:szCs w:val="20"/>
                <w:lang w:val="ro-RO"/>
              </w:rPr>
              <w:t xml:space="preserve"> </w:t>
            </w:r>
            <w:r w:rsidRPr="00650D66">
              <w:rPr>
                <w:rFonts w:ascii="Times New Roman" w:eastAsia="Times New Roman" w:hAnsi="Times New Roman" w:cs="Times New Roman"/>
                <w:color w:val="000000"/>
                <w:sz w:val="20"/>
                <w:szCs w:val="20"/>
                <w:lang w:val="ro-RO"/>
              </w:rPr>
              <w:t>Băncii</w:t>
            </w:r>
            <w:r w:rsidR="00C817DC" w:rsidRPr="00650D66">
              <w:rPr>
                <w:rFonts w:ascii="Times New Roman" w:eastAsia="Times New Roman" w:hAnsi="Times New Roman" w:cs="Times New Roman"/>
                <w:color w:val="000000"/>
                <w:sz w:val="20"/>
                <w:szCs w:val="20"/>
                <w:lang w:val="ro-RO"/>
              </w:rPr>
              <w:t xml:space="preserve"> </w:t>
            </w:r>
            <w:r w:rsidRPr="00650D66">
              <w:rPr>
                <w:rFonts w:ascii="Times New Roman" w:eastAsia="Times New Roman" w:hAnsi="Times New Roman" w:cs="Times New Roman"/>
                <w:color w:val="000000"/>
                <w:sz w:val="20"/>
                <w:szCs w:val="20"/>
                <w:lang w:val="ro-RO"/>
              </w:rPr>
              <w:t>Naționale</w:t>
            </w:r>
            <w:r w:rsidR="00C817DC" w:rsidRPr="00650D66">
              <w:rPr>
                <w:rFonts w:ascii="Times New Roman" w:eastAsia="Times New Roman" w:hAnsi="Times New Roman" w:cs="Times New Roman"/>
                <w:color w:val="000000"/>
                <w:sz w:val="20"/>
                <w:szCs w:val="20"/>
                <w:lang w:val="ro-RO"/>
              </w:rPr>
              <w:t xml:space="preserve"> a Moldovei in contextul </w:t>
            </w:r>
            <w:r w:rsidR="0051406F" w:rsidRPr="00650D66">
              <w:rPr>
                <w:rFonts w:ascii="Times New Roman" w:eastAsia="Times New Roman" w:hAnsi="Times New Roman" w:cs="Times New Roman"/>
                <w:color w:val="000000"/>
                <w:sz w:val="20"/>
                <w:szCs w:val="20"/>
                <w:lang w:val="ro-RO"/>
              </w:rPr>
              <w:t>răspândirii</w:t>
            </w:r>
            <w:r w:rsidR="00C817DC"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infecției</w:t>
            </w:r>
            <w:r w:rsidR="00C817DC" w:rsidRPr="00650D66">
              <w:rPr>
                <w:rFonts w:ascii="Times New Roman" w:eastAsia="Times New Roman" w:hAnsi="Times New Roman" w:cs="Times New Roman"/>
                <w:color w:val="000000"/>
                <w:sz w:val="20"/>
                <w:szCs w:val="20"/>
                <w:lang w:val="ro-RO"/>
              </w:rPr>
              <w:t xml:space="preserve"> COVID-19 cu </w:t>
            </w:r>
            <w:r w:rsidR="0051406F" w:rsidRPr="00650D66">
              <w:rPr>
                <w:rFonts w:ascii="Times New Roman" w:eastAsia="Times New Roman" w:hAnsi="Times New Roman" w:cs="Times New Roman"/>
                <w:color w:val="000000"/>
                <w:sz w:val="20"/>
                <w:szCs w:val="20"/>
                <w:lang w:val="ro-RO"/>
              </w:rPr>
              <w:t>modificările</w:t>
            </w:r>
            <w:r w:rsidR="00C817DC" w:rsidRPr="00650D66">
              <w:rPr>
                <w:rFonts w:ascii="Times New Roman" w:eastAsia="Times New Roman" w:hAnsi="Times New Roman" w:cs="Times New Roman"/>
                <w:color w:val="000000"/>
                <w:sz w:val="20"/>
                <w:szCs w:val="20"/>
                <w:lang w:val="ro-RO"/>
              </w:rPr>
              <w:t xml:space="preserve"> ulterioare</w:t>
            </w:r>
          </w:p>
        </w:tc>
      </w:tr>
      <w:tr w:rsidR="00C817DC" w:rsidRPr="00650D66" w14:paraId="70F63083" w14:textId="77777777" w:rsidTr="00F32C69">
        <w:trPr>
          <w:trHeight w:val="408"/>
        </w:trPr>
        <w:tc>
          <w:tcPr>
            <w:tcW w:w="1276" w:type="dxa"/>
            <w:tcBorders>
              <w:top w:val="nil"/>
              <w:left w:val="nil"/>
              <w:bottom w:val="nil"/>
              <w:right w:val="nil"/>
            </w:tcBorders>
            <w:shd w:val="clear" w:color="auto" w:fill="auto"/>
            <w:hideMark/>
          </w:tcPr>
          <w:p w14:paraId="10855DA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14:paraId="6766E1E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HCE 128 din 01.07.2021 "Cu privire la modificarea HCE nr. 99 din 03.06.2021 Cu privire la aplicarea masurilor de </w:t>
            </w:r>
            <w:r w:rsidR="0051406F" w:rsidRPr="00650D66">
              <w:rPr>
                <w:rFonts w:ascii="Times New Roman" w:eastAsia="Times New Roman" w:hAnsi="Times New Roman" w:cs="Times New Roman"/>
                <w:color w:val="000000"/>
                <w:sz w:val="20"/>
                <w:szCs w:val="20"/>
                <w:lang w:val="ro-RO"/>
              </w:rPr>
              <w:t>protecție</w:t>
            </w:r>
            <w:r w:rsidRPr="00650D66">
              <w:rPr>
                <w:rFonts w:ascii="Times New Roman" w:eastAsia="Times New Roman" w:hAnsi="Times New Roman" w:cs="Times New Roman"/>
                <w:color w:val="000000"/>
                <w:sz w:val="20"/>
                <w:szCs w:val="20"/>
                <w:lang w:val="ro-RO"/>
              </w:rPr>
              <w:t xml:space="preserve"> a </w:t>
            </w:r>
            <w:r w:rsidR="0051406F" w:rsidRPr="00650D66">
              <w:rPr>
                <w:rFonts w:ascii="Times New Roman" w:eastAsia="Times New Roman" w:hAnsi="Times New Roman" w:cs="Times New Roman"/>
                <w:color w:val="000000"/>
                <w:sz w:val="20"/>
                <w:szCs w:val="20"/>
                <w:lang w:val="ro-RO"/>
              </w:rPr>
              <w:t>angajaților</w:t>
            </w:r>
            <w:r w:rsidRPr="00650D66">
              <w:rPr>
                <w:rFonts w:ascii="Times New Roman" w:eastAsia="Times New Roman" w:hAnsi="Times New Roman" w:cs="Times New Roman"/>
                <w:color w:val="000000"/>
                <w:sz w:val="20"/>
                <w:szCs w:val="20"/>
                <w:lang w:val="ro-RO"/>
              </w:rPr>
              <w:t xml:space="preserve"> si asigurarea </w:t>
            </w:r>
            <w:r w:rsidR="0051406F" w:rsidRPr="00650D66">
              <w:rPr>
                <w:rFonts w:ascii="Times New Roman" w:eastAsia="Times New Roman" w:hAnsi="Times New Roman" w:cs="Times New Roman"/>
                <w:color w:val="000000"/>
                <w:sz w:val="20"/>
                <w:szCs w:val="20"/>
                <w:lang w:val="ro-RO"/>
              </w:rPr>
              <w:t>continuității</w:t>
            </w:r>
            <w:r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activității</w:t>
            </w:r>
            <w:r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Băncii</w:t>
            </w:r>
            <w:r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in perioada gradului de alerta de orice tip referitor la </w:t>
            </w:r>
            <w:r w:rsidR="00134F33" w:rsidRPr="00650D66">
              <w:rPr>
                <w:rFonts w:ascii="Times New Roman" w:eastAsia="Times New Roman" w:hAnsi="Times New Roman" w:cs="Times New Roman"/>
                <w:color w:val="000000"/>
                <w:sz w:val="20"/>
                <w:szCs w:val="20"/>
                <w:lang w:val="ro-RO"/>
              </w:rPr>
              <w:t>situația</w:t>
            </w:r>
            <w:r w:rsidRPr="00650D66">
              <w:rPr>
                <w:rFonts w:ascii="Times New Roman" w:eastAsia="Times New Roman" w:hAnsi="Times New Roman" w:cs="Times New Roman"/>
                <w:color w:val="000000"/>
                <w:sz w:val="20"/>
                <w:szCs w:val="20"/>
                <w:lang w:val="ro-RO"/>
              </w:rPr>
              <w:t xml:space="preserve"> epidemiologica prin </w:t>
            </w:r>
            <w:r w:rsidR="0051406F" w:rsidRPr="00650D66">
              <w:rPr>
                <w:rFonts w:ascii="Times New Roman" w:eastAsia="Times New Roman" w:hAnsi="Times New Roman" w:cs="Times New Roman"/>
                <w:color w:val="000000"/>
                <w:sz w:val="20"/>
                <w:szCs w:val="20"/>
                <w:lang w:val="ro-RO"/>
              </w:rPr>
              <w:t>infecția</w:t>
            </w:r>
            <w:r w:rsidRPr="00650D66">
              <w:rPr>
                <w:rFonts w:ascii="Times New Roman" w:eastAsia="Times New Roman" w:hAnsi="Times New Roman" w:cs="Times New Roman"/>
                <w:color w:val="000000"/>
                <w:sz w:val="20"/>
                <w:szCs w:val="20"/>
                <w:lang w:val="ro-RO"/>
              </w:rPr>
              <w:t xml:space="preserve"> cu COVID-19"</w:t>
            </w:r>
          </w:p>
        </w:tc>
      </w:tr>
      <w:tr w:rsidR="00C817DC" w:rsidRPr="00650D66" w14:paraId="79B73C6C" w14:textId="77777777" w:rsidTr="00F32C69">
        <w:trPr>
          <w:trHeight w:val="408"/>
        </w:trPr>
        <w:tc>
          <w:tcPr>
            <w:tcW w:w="1276" w:type="dxa"/>
            <w:tcBorders>
              <w:top w:val="nil"/>
              <w:left w:val="nil"/>
              <w:bottom w:val="nil"/>
              <w:right w:val="nil"/>
            </w:tcBorders>
            <w:shd w:val="clear" w:color="auto" w:fill="auto"/>
            <w:hideMark/>
          </w:tcPr>
          <w:p w14:paraId="2FB0159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14:paraId="113A03F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HCE nr. 99 din 03.06.2021 Cu privire la aplicarea masurilor de </w:t>
            </w:r>
            <w:r w:rsidR="00134F33" w:rsidRPr="00650D66">
              <w:rPr>
                <w:rFonts w:ascii="Times New Roman" w:eastAsia="Times New Roman" w:hAnsi="Times New Roman" w:cs="Times New Roman"/>
                <w:color w:val="000000"/>
                <w:sz w:val="20"/>
                <w:szCs w:val="20"/>
                <w:lang w:val="ro-RO"/>
              </w:rPr>
              <w:t>protecție</w:t>
            </w:r>
            <w:r w:rsidRPr="00650D66">
              <w:rPr>
                <w:rFonts w:ascii="Times New Roman" w:eastAsia="Times New Roman" w:hAnsi="Times New Roman" w:cs="Times New Roman"/>
                <w:color w:val="000000"/>
                <w:sz w:val="20"/>
                <w:szCs w:val="20"/>
                <w:lang w:val="ro-RO"/>
              </w:rPr>
              <w:t xml:space="preserve"> a </w:t>
            </w:r>
            <w:r w:rsidR="0051406F" w:rsidRPr="00650D66">
              <w:rPr>
                <w:rFonts w:ascii="Times New Roman" w:eastAsia="Times New Roman" w:hAnsi="Times New Roman" w:cs="Times New Roman"/>
                <w:color w:val="000000"/>
                <w:sz w:val="20"/>
                <w:szCs w:val="20"/>
                <w:lang w:val="ro-RO"/>
              </w:rPr>
              <w:t>angajaților</w:t>
            </w:r>
            <w:r w:rsidRPr="00650D66">
              <w:rPr>
                <w:rFonts w:ascii="Times New Roman" w:eastAsia="Times New Roman" w:hAnsi="Times New Roman" w:cs="Times New Roman"/>
                <w:color w:val="000000"/>
                <w:sz w:val="20"/>
                <w:szCs w:val="20"/>
                <w:lang w:val="ro-RO"/>
              </w:rPr>
              <w:t xml:space="preserve"> si asigurarea </w:t>
            </w:r>
            <w:r w:rsidR="0051406F" w:rsidRPr="00650D66">
              <w:rPr>
                <w:rFonts w:ascii="Times New Roman" w:eastAsia="Times New Roman" w:hAnsi="Times New Roman" w:cs="Times New Roman"/>
                <w:color w:val="000000"/>
                <w:sz w:val="20"/>
                <w:szCs w:val="20"/>
                <w:lang w:val="ro-RO"/>
              </w:rPr>
              <w:t>continuității</w:t>
            </w:r>
            <w:r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activității</w:t>
            </w:r>
            <w:r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Băncii</w:t>
            </w:r>
            <w:r w:rsidRPr="00650D66">
              <w:rPr>
                <w:rFonts w:ascii="Times New Roman" w:eastAsia="Times New Roman" w:hAnsi="Times New Roman" w:cs="Times New Roman"/>
                <w:color w:val="000000"/>
                <w:sz w:val="20"/>
                <w:szCs w:val="20"/>
                <w:lang w:val="ro-RO"/>
              </w:rPr>
              <w:t xml:space="preserve"> </w:t>
            </w:r>
            <w:r w:rsidR="0051406F"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in perioada gradului de alerte de orice tip referitor la </w:t>
            </w:r>
            <w:r w:rsidR="0051406F" w:rsidRPr="00650D66">
              <w:rPr>
                <w:rFonts w:ascii="Times New Roman" w:eastAsia="Times New Roman" w:hAnsi="Times New Roman" w:cs="Times New Roman"/>
                <w:color w:val="000000"/>
                <w:sz w:val="20"/>
                <w:szCs w:val="20"/>
                <w:lang w:val="ro-RO"/>
              </w:rPr>
              <w:t>situația</w:t>
            </w:r>
            <w:r w:rsidRPr="00650D66">
              <w:rPr>
                <w:rFonts w:ascii="Times New Roman" w:eastAsia="Times New Roman" w:hAnsi="Times New Roman" w:cs="Times New Roman"/>
                <w:color w:val="000000"/>
                <w:sz w:val="20"/>
                <w:szCs w:val="20"/>
                <w:lang w:val="ro-RO"/>
              </w:rPr>
              <w:t xml:space="preserve"> epidemiologica prin </w:t>
            </w:r>
            <w:r w:rsidR="0051406F" w:rsidRPr="00650D66">
              <w:rPr>
                <w:rFonts w:ascii="Times New Roman" w:eastAsia="Times New Roman" w:hAnsi="Times New Roman" w:cs="Times New Roman"/>
                <w:color w:val="000000"/>
                <w:sz w:val="20"/>
                <w:szCs w:val="20"/>
                <w:lang w:val="ro-RO"/>
              </w:rPr>
              <w:t>infecția</w:t>
            </w:r>
            <w:r w:rsidRPr="00650D66">
              <w:rPr>
                <w:rFonts w:ascii="Times New Roman" w:eastAsia="Times New Roman" w:hAnsi="Times New Roman" w:cs="Times New Roman"/>
                <w:color w:val="000000"/>
                <w:sz w:val="20"/>
                <w:szCs w:val="20"/>
                <w:lang w:val="ro-RO"/>
              </w:rPr>
              <w:t xml:space="preserve"> cu COVID-19</w:t>
            </w:r>
          </w:p>
        </w:tc>
      </w:tr>
      <w:tr w:rsidR="00C817DC" w:rsidRPr="00650D66" w14:paraId="6D0B64C6" w14:textId="77777777" w:rsidTr="00F32C69">
        <w:trPr>
          <w:trHeight w:val="408"/>
        </w:trPr>
        <w:tc>
          <w:tcPr>
            <w:tcW w:w="1276" w:type="dxa"/>
            <w:tcBorders>
              <w:top w:val="nil"/>
              <w:left w:val="nil"/>
              <w:bottom w:val="nil"/>
              <w:right w:val="nil"/>
            </w:tcBorders>
            <w:shd w:val="clear" w:color="auto" w:fill="auto"/>
            <w:hideMark/>
          </w:tcPr>
          <w:p w14:paraId="0595FAB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14:paraId="65BF0AB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HCE nr. 26 din 18.02.2021 Cu privire la modificarea Hotărârii Comitetului executiv al Băncii Naționale a Moldovei nr.61 din 09.03.2020 Cu privire la aplicarea măsurilor sporite de protecție a </w:t>
            </w:r>
            <w:r w:rsidR="00565FB7" w:rsidRPr="00650D66">
              <w:rPr>
                <w:rFonts w:ascii="Times New Roman" w:eastAsia="Times New Roman" w:hAnsi="Times New Roman" w:cs="Times New Roman"/>
                <w:color w:val="000000"/>
                <w:sz w:val="20"/>
                <w:szCs w:val="20"/>
                <w:lang w:val="ro-RO"/>
              </w:rPr>
              <w:t>angajaților</w:t>
            </w:r>
            <w:r w:rsidRPr="00650D66">
              <w:rPr>
                <w:rFonts w:ascii="Times New Roman" w:eastAsia="Times New Roman" w:hAnsi="Times New Roman" w:cs="Times New Roman"/>
                <w:color w:val="000000"/>
                <w:sz w:val="20"/>
                <w:szCs w:val="20"/>
                <w:lang w:val="ro-RO"/>
              </w:rPr>
              <w:t xml:space="preserve"> Băncii Naționale a Moldovei în contextul răspândirii infecției COVID-19</w:t>
            </w:r>
          </w:p>
        </w:tc>
      </w:tr>
      <w:tr w:rsidR="00C817DC" w:rsidRPr="00650D66" w14:paraId="36A115DE" w14:textId="77777777" w:rsidTr="00F32C69">
        <w:trPr>
          <w:trHeight w:val="408"/>
        </w:trPr>
        <w:tc>
          <w:tcPr>
            <w:tcW w:w="1276" w:type="dxa"/>
            <w:tcBorders>
              <w:top w:val="nil"/>
              <w:left w:val="nil"/>
              <w:bottom w:val="nil"/>
              <w:right w:val="nil"/>
            </w:tcBorders>
            <w:shd w:val="clear" w:color="auto" w:fill="auto"/>
            <w:hideMark/>
          </w:tcPr>
          <w:p w14:paraId="6925ECA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14:paraId="6EF48BB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nr. 99 din 31.05.2021 Cu privire la modificarea Ordinului nr. 86 din 27.04.2020 ,, Cu privire la unele măsuri suplimentare de organizare a activității Băncii Naționale a Moldovei în perioada stării de urgență”</w:t>
            </w:r>
          </w:p>
        </w:tc>
      </w:tr>
      <w:tr w:rsidR="00C817DC" w:rsidRPr="00650D66" w14:paraId="3210C3F5" w14:textId="77777777" w:rsidTr="00F32C69">
        <w:trPr>
          <w:trHeight w:val="204"/>
        </w:trPr>
        <w:tc>
          <w:tcPr>
            <w:tcW w:w="1276" w:type="dxa"/>
            <w:tcBorders>
              <w:top w:val="nil"/>
              <w:left w:val="nil"/>
              <w:bottom w:val="nil"/>
              <w:right w:val="nil"/>
            </w:tcBorders>
            <w:shd w:val="clear" w:color="auto" w:fill="auto"/>
            <w:hideMark/>
          </w:tcPr>
          <w:p w14:paraId="5CD0C19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4F9F6C7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 86 din 27,04,2020 "Cu privire la unele măsuri suplimentare de organizare a activității Băncii Naționale a Moldovei în perioada stării de urgență"</w:t>
            </w:r>
          </w:p>
        </w:tc>
      </w:tr>
      <w:tr w:rsidR="00C817DC" w:rsidRPr="00650D66" w14:paraId="6662591B" w14:textId="77777777" w:rsidTr="00F32C69">
        <w:trPr>
          <w:trHeight w:val="204"/>
        </w:trPr>
        <w:tc>
          <w:tcPr>
            <w:tcW w:w="1276" w:type="dxa"/>
            <w:tcBorders>
              <w:top w:val="nil"/>
              <w:left w:val="nil"/>
              <w:bottom w:val="nil"/>
              <w:right w:val="nil"/>
            </w:tcBorders>
            <w:shd w:val="clear" w:color="auto" w:fill="auto"/>
            <w:hideMark/>
          </w:tcPr>
          <w:p w14:paraId="483A66B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3837D1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nr. 308 din 28.11.2011 ”Cu privire la întocmirea electronică a graficului de concediu de odihnă anual”</w:t>
            </w:r>
          </w:p>
        </w:tc>
      </w:tr>
      <w:tr w:rsidR="00C817DC" w:rsidRPr="00650D66" w14:paraId="4E82CC60" w14:textId="77777777" w:rsidTr="00F32C69">
        <w:trPr>
          <w:trHeight w:val="204"/>
        </w:trPr>
        <w:tc>
          <w:tcPr>
            <w:tcW w:w="1276" w:type="dxa"/>
            <w:tcBorders>
              <w:top w:val="nil"/>
              <w:left w:val="nil"/>
              <w:bottom w:val="nil"/>
              <w:right w:val="nil"/>
            </w:tcBorders>
            <w:shd w:val="clear" w:color="auto" w:fill="auto"/>
            <w:hideMark/>
          </w:tcPr>
          <w:p w14:paraId="66014FC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B5E5F8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nr. 135 din 06.06.2012 ”Cu privire la circulația electronică a cererilor de concediu ale salariaților BNM care nu dispun de calculator”</w:t>
            </w:r>
          </w:p>
        </w:tc>
      </w:tr>
      <w:tr w:rsidR="00C817DC" w:rsidRPr="00650D66" w14:paraId="770ADC4C" w14:textId="77777777" w:rsidTr="00F32C69">
        <w:trPr>
          <w:trHeight w:val="204"/>
        </w:trPr>
        <w:tc>
          <w:tcPr>
            <w:tcW w:w="1276" w:type="dxa"/>
            <w:tcBorders>
              <w:top w:val="nil"/>
              <w:left w:val="nil"/>
              <w:bottom w:val="nil"/>
              <w:right w:val="nil"/>
            </w:tcBorders>
            <w:shd w:val="clear" w:color="auto" w:fill="auto"/>
            <w:hideMark/>
          </w:tcPr>
          <w:p w14:paraId="0AE76A0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ADB384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nr. 162 din 06.06.2016 ”Cu privire la modul de autorizare a cererilor de concediu ale salariaților BNM și a programului muncii în schimburi”</w:t>
            </w:r>
          </w:p>
        </w:tc>
      </w:tr>
      <w:tr w:rsidR="00C817DC" w:rsidRPr="00650D66" w14:paraId="725AB9C1" w14:textId="77777777" w:rsidTr="00F32C69">
        <w:trPr>
          <w:trHeight w:val="204"/>
        </w:trPr>
        <w:tc>
          <w:tcPr>
            <w:tcW w:w="1276" w:type="dxa"/>
            <w:tcBorders>
              <w:top w:val="nil"/>
              <w:left w:val="nil"/>
              <w:bottom w:val="nil"/>
              <w:right w:val="nil"/>
            </w:tcBorders>
            <w:shd w:val="clear" w:color="auto" w:fill="auto"/>
            <w:hideMark/>
          </w:tcPr>
          <w:p w14:paraId="76B24E0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167B36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 375 din 24.12.2019 "Privind modul de semnare a unor documente în Banca Națională a Moldovei"</w:t>
            </w:r>
          </w:p>
        </w:tc>
      </w:tr>
      <w:tr w:rsidR="00C817DC" w:rsidRPr="00650D66" w14:paraId="02C93A21" w14:textId="77777777" w:rsidTr="00F32C69">
        <w:trPr>
          <w:trHeight w:val="204"/>
        </w:trPr>
        <w:tc>
          <w:tcPr>
            <w:tcW w:w="1276" w:type="dxa"/>
            <w:tcBorders>
              <w:top w:val="nil"/>
              <w:left w:val="nil"/>
              <w:bottom w:val="nil"/>
              <w:right w:val="nil"/>
            </w:tcBorders>
            <w:shd w:val="clear" w:color="auto" w:fill="auto"/>
            <w:hideMark/>
          </w:tcPr>
          <w:p w14:paraId="1D950F8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A82B0E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modul de organizare și ținere a evidenței timpului de muncă în Banca Națională a Moldovei, Guvernator, Nr.1501012/99 din 30.04.2020</w:t>
            </w:r>
          </w:p>
        </w:tc>
      </w:tr>
      <w:tr w:rsidR="00C817DC" w:rsidRPr="00650D66" w14:paraId="5E13F1C3" w14:textId="77777777" w:rsidTr="00F32C69">
        <w:trPr>
          <w:trHeight w:val="408"/>
        </w:trPr>
        <w:tc>
          <w:tcPr>
            <w:tcW w:w="1276" w:type="dxa"/>
            <w:tcBorders>
              <w:top w:val="nil"/>
              <w:left w:val="nil"/>
              <w:bottom w:val="nil"/>
              <w:right w:val="nil"/>
            </w:tcBorders>
            <w:shd w:val="clear" w:color="auto" w:fill="auto"/>
            <w:hideMark/>
          </w:tcPr>
          <w:p w14:paraId="7CC7BE0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5D3168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Procedura privind structura organizatorică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elaborarea, coordonarea, aprobarea regulamentelor de </w:t>
            </w:r>
            <w:r w:rsidR="00D12CBC" w:rsidRPr="00650D66">
              <w:rPr>
                <w:rFonts w:ascii="Times New Roman" w:eastAsia="Times New Roman" w:hAnsi="Times New Roman" w:cs="Times New Roman"/>
                <w:color w:val="000000"/>
                <w:sz w:val="20"/>
                <w:szCs w:val="20"/>
                <w:lang w:val="ro-RO"/>
              </w:rPr>
              <w:t>funcționare</w:t>
            </w:r>
            <w:r w:rsidRPr="00650D66">
              <w:rPr>
                <w:rFonts w:ascii="Times New Roman" w:eastAsia="Times New Roman" w:hAnsi="Times New Roman" w:cs="Times New Roman"/>
                <w:color w:val="000000"/>
                <w:sz w:val="20"/>
                <w:szCs w:val="20"/>
                <w:lang w:val="ro-RO"/>
              </w:rPr>
              <w:t xml:space="preserve"> a subdiviziunilor </w:t>
            </w:r>
            <w:r w:rsidR="00D12CBC" w:rsidRPr="00650D66">
              <w:rPr>
                <w:rFonts w:ascii="Times New Roman" w:eastAsia="Times New Roman" w:hAnsi="Times New Roman" w:cs="Times New Roman"/>
                <w:color w:val="000000"/>
                <w:sz w:val="20"/>
                <w:szCs w:val="20"/>
                <w:lang w:val="ro-RO"/>
              </w:rPr>
              <w:t>și</w:t>
            </w:r>
            <w:r w:rsidRPr="00650D66">
              <w:rPr>
                <w:rFonts w:ascii="Times New Roman" w:eastAsia="Times New Roman" w:hAnsi="Times New Roman" w:cs="Times New Roman"/>
                <w:color w:val="000000"/>
                <w:sz w:val="20"/>
                <w:szCs w:val="20"/>
                <w:lang w:val="ro-RO"/>
              </w:rPr>
              <w:t xml:space="preserve"> a </w:t>
            </w:r>
            <w:r w:rsidR="00D12CBC" w:rsidRPr="00650D66">
              <w:rPr>
                <w:rFonts w:ascii="Times New Roman" w:eastAsia="Times New Roman" w:hAnsi="Times New Roman" w:cs="Times New Roman"/>
                <w:color w:val="000000"/>
                <w:sz w:val="20"/>
                <w:szCs w:val="20"/>
                <w:lang w:val="ro-RO"/>
              </w:rPr>
              <w:t>fișelor</w:t>
            </w:r>
            <w:r w:rsidRPr="00650D66">
              <w:rPr>
                <w:rFonts w:ascii="Times New Roman" w:eastAsia="Times New Roman" w:hAnsi="Times New Roman" w:cs="Times New Roman"/>
                <w:color w:val="000000"/>
                <w:sz w:val="20"/>
                <w:szCs w:val="20"/>
                <w:lang w:val="ro-RO"/>
              </w:rPr>
              <w:t xml:space="preserve"> de post în Banca </w:t>
            </w:r>
            <w:r w:rsidR="00D12CBC" w:rsidRPr="00650D66">
              <w:rPr>
                <w:rFonts w:ascii="Times New Roman" w:eastAsia="Times New Roman" w:hAnsi="Times New Roman" w:cs="Times New Roman"/>
                <w:color w:val="000000"/>
                <w:sz w:val="20"/>
                <w:szCs w:val="20"/>
                <w:lang w:val="ro-RO"/>
              </w:rPr>
              <w:t>Națională</w:t>
            </w:r>
            <w:r w:rsidRPr="00650D66">
              <w:rPr>
                <w:rFonts w:ascii="Times New Roman" w:eastAsia="Times New Roman" w:hAnsi="Times New Roman" w:cs="Times New Roman"/>
                <w:color w:val="000000"/>
                <w:sz w:val="20"/>
                <w:szCs w:val="20"/>
                <w:lang w:val="ro-RO"/>
              </w:rPr>
              <w:t xml:space="preserve"> a Moldovei, Guvernator, Nr.1501012/62 din 19.02.2016</w:t>
            </w:r>
          </w:p>
        </w:tc>
      </w:tr>
      <w:tr w:rsidR="00C817DC" w:rsidRPr="00650D66" w14:paraId="51D5B064" w14:textId="77777777" w:rsidTr="00F32C69">
        <w:trPr>
          <w:trHeight w:val="204"/>
        </w:trPr>
        <w:tc>
          <w:tcPr>
            <w:tcW w:w="1276" w:type="dxa"/>
            <w:tcBorders>
              <w:top w:val="nil"/>
              <w:left w:val="nil"/>
              <w:bottom w:val="nil"/>
              <w:right w:val="nil"/>
            </w:tcBorders>
            <w:shd w:val="clear" w:color="auto" w:fill="auto"/>
            <w:hideMark/>
          </w:tcPr>
          <w:p w14:paraId="3E2EB2F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09366A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Alte legi, regulamente și instrucțiuni externe conexe remunerării, salarizării și impozitării</w:t>
            </w:r>
          </w:p>
        </w:tc>
      </w:tr>
      <w:tr w:rsidR="00C817DC" w:rsidRPr="00650D66" w14:paraId="10B6BC0D" w14:textId="77777777" w:rsidTr="00F32C69">
        <w:trPr>
          <w:trHeight w:val="204"/>
        </w:trPr>
        <w:tc>
          <w:tcPr>
            <w:tcW w:w="1276" w:type="dxa"/>
            <w:tcBorders>
              <w:top w:val="nil"/>
              <w:left w:val="nil"/>
              <w:bottom w:val="nil"/>
              <w:right w:val="nil"/>
            </w:tcBorders>
            <w:shd w:val="clear" w:color="auto" w:fill="auto"/>
            <w:hideMark/>
          </w:tcPr>
          <w:p w14:paraId="0DDCCE1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6ADBE395"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66C971C9" w14:textId="77777777" w:rsidTr="00F32C69">
        <w:trPr>
          <w:trHeight w:val="204"/>
        </w:trPr>
        <w:tc>
          <w:tcPr>
            <w:tcW w:w="11141" w:type="dxa"/>
            <w:gridSpan w:val="2"/>
            <w:tcBorders>
              <w:top w:val="nil"/>
              <w:left w:val="nil"/>
              <w:bottom w:val="nil"/>
              <w:right w:val="nil"/>
            </w:tcBorders>
            <w:shd w:val="clear" w:color="auto" w:fill="auto"/>
            <w:noWrap/>
            <w:hideMark/>
          </w:tcPr>
          <w:p w14:paraId="4D58E802"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de deplasare și formare profesională</w:t>
            </w:r>
          </w:p>
        </w:tc>
      </w:tr>
      <w:tr w:rsidR="00C817DC" w:rsidRPr="00650D66" w14:paraId="31D22527" w14:textId="77777777" w:rsidTr="00F32C69">
        <w:trPr>
          <w:trHeight w:val="204"/>
        </w:trPr>
        <w:tc>
          <w:tcPr>
            <w:tcW w:w="1276" w:type="dxa"/>
            <w:tcBorders>
              <w:top w:val="nil"/>
              <w:left w:val="nil"/>
              <w:bottom w:val="nil"/>
              <w:right w:val="nil"/>
            </w:tcBorders>
            <w:shd w:val="clear" w:color="auto" w:fill="auto"/>
            <w:vAlign w:val="bottom"/>
            <w:hideMark/>
          </w:tcPr>
          <w:p w14:paraId="591F1CC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9A0330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Muncii al RM nr.154/2003</w:t>
            </w:r>
          </w:p>
        </w:tc>
      </w:tr>
      <w:tr w:rsidR="00C817DC" w:rsidRPr="00650D66" w14:paraId="0925EB0D" w14:textId="77777777" w:rsidTr="00F32C69">
        <w:trPr>
          <w:trHeight w:val="204"/>
        </w:trPr>
        <w:tc>
          <w:tcPr>
            <w:tcW w:w="1276" w:type="dxa"/>
            <w:tcBorders>
              <w:top w:val="nil"/>
              <w:left w:val="nil"/>
              <w:bottom w:val="nil"/>
              <w:right w:val="nil"/>
            </w:tcBorders>
            <w:shd w:val="clear" w:color="auto" w:fill="auto"/>
            <w:vAlign w:val="bottom"/>
            <w:hideMark/>
          </w:tcPr>
          <w:p w14:paraId="65E816F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3C50A3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nr.199 din 16.07.2010 cu privire la statutul persoanelor cu funcții de demnitate publică</w:t>
            </w:r>
          </w:p>
        </w:tc>
      </w:tr>
      <w:tr w:rsidR="00C817DC" w:rsidRPr="00650D66" w14:paraId="7405C1EB" w14:textId="77777777" w:rsidTr="00F32C69">
        <w:trPr>
          <w:trHeight w:val="204"/>
        </w:trPr>
        <w:tc>
          <w:tcPr>
            <w:tcW w:w="1276" w:type="dxa"/>
            <w:tcBorders>
              <w:top w:val="nil"/>
              <w:left w:val="nil"/>
              <w:bottom w:val="nil"/>
              <w:right w:val="nil"/>
            </w:tcBorders>
            <w:shd w:val="clear" w:color="auto" w:fill="auto"/>
            <w:vAlign w:val="bottom"/>
            <w:hideMark/>
          </w:tcPr>
          <w:p w14:paraId="0EB709F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F073EE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Națională a Moldovei nr.548-XIII din 21.07.1995, cu modificările ulterioare</w:t>
            </w:r>
          </w:p>
        </w:tc>
      </w:tr>
      <w:tr w:rsidR="00C817DC" w:rsidRPr="00650D66" w14:paraId="79D7F33A" w14:textId="77777777" w:rsidTr="00F32C69">
        <w:trPr>
          <w:trHeight w:val="204"/>
        </w:trPr>
        <w:tc>
          <w:tcPr>
            <w:tcW w:w="1276" w:type="dxa"/>
            <w:tcBorders>
              <w:top w:val="nil"/>
              <w:left w:val="nil"/>
              <w:bottom w:val="nil"/>
              <w:right w:val="nil"/>
            </w:tcBorders>
            <w:shd w:val="clear" w:color="auto" w:fill="auto"/>
            <w:vAlign w:val="bottom"/>
            <w:hideMark/>
          </w:tcPr>
          <w:p w14:paraId="1BED3A9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6ECE9F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delegarea salariaților entităților din Republica Moldova, aprobat prin HG nr.10 din 05.01.2012</w:t>
            </w:r>
          </w:p>
        </w:tc>
      </w:tr>
      <w:tr w:rsidR="00C817DC" w:rsidRPr="00650D66" w14:paraId="0B0C384A" w14:textId="77777777" w:rsidTr="00F32C69">
        <w:trPr>
          <w:trHeight w:val="204"/>
        </w:trPr>
        <w:tc>
          <w:tcPr>
            <w:tcW w:w="1276" w:type="dxa"/>
            <w:tcBorders>
              <w:top w:val="nil"/>
              <w:left w:val="nil"/>
              <w:bottom w:val="nil"/>
              <w:right w:val="nil"/>
            </w:tcBorders>
            <w:shd w:val="clear" w:color="auto" w:fill="auto"/>
            <w:vAlign w:val="bottom"/>
            <w:hideMark/>
          </w:tcPr>
          <w:p w14:paraId="6C9B044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1FF527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intern al BNM, aprobat prin HCE nr.62 din 16.03.2016</w:t>
            </w:r>
          </w:p>
        </w:tc>
      </w:tr>
      <w:tr w:rsidR="00C817DC" w:rsidRPr="00650D66" w14:paraId="06922E7E" w14:textId="77777777" w:rsidTr="00F32C69">
        <w:trPr>
          <w:trHeight w:val="204"/>
        </w:trPr>
        <w:tc>
          <w:tcPr>
            <w:tcW w:w="1276" w:type="dxa"/>
            <w:tcBorders>
              <w:top w:val="nil"/>
              <w:left w:val="nil"/>
              <w:bottom w:val="nil"/>
              <w:right w:val="nil"/>
            </w:tcBorders>
            <w:shd w:val="clear" w:color="auto" w:fill="auto"/>
            <w:vAlign w:val="bottom"/>
            <w:hideMark/>
          </w:tcPr>
          <w:p w14:paraId="6ED82F2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6967EF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organizarea și efectuarea operațiunilor contabile și documentelor aferente acestora în BNM nr. 11- 01104/375 din 31.12.2014</w:t>
            </w:r>
          </w:p>
        </w:tc>
      </w:tr>
      <w:tr w:rsidR="00C817DC" w:rsidRPr="00650D66" w14:paraId="3918BF46" w14:textId="77777777" w:rsidTr="00F32C69">
        <w:trPr>
          <w:trHeight w:val="204"/>
        </w:trPr>
        <w:tc>
          <w:tcPr>
            <w:tcW w:w="1276" w:type="dxa"/>
            <w:tcBorders>
              <w:top w:val="nil"/>
              <w:left w:val="nil"/>
              <w:bottom w:val="nil"/>
              <w:right w:val="nil"/>
            </w:tcBorders>
            <w:shd w:val="clear" w:color="auto" w:fill="auto"/>
            <w:vAlign w:val="bottom"/>
            <w:hideMark/>
          </w:tcPr>
          <w:p w14:paraId="310E3A0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9D485A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utilizarea cardurilor de credit „American Express”, HCE nr.163 din 23.06.2016</w:t>
            </w:r>
          </w:p>
        </w:tc>
      </w:tr>
      <w:tr w:rsidR="00C817DC" w:rsidRPr="00650D66" w14:paraId="207A82C7" w14:textId="77777777" w:rsidTr="00F32C69">
        <w:trPr>
          <w:trHeight w:val="204"/>
        </w:trPr>
        <w:tc>
          <w:tcPr>
            <w:tcW w:w="1276" w:type="dxa"/>
            <w:tcBorders>
              <w:top w:val="nil"/>
              <w:left w:val="nil"/>
              <w:bottom w:val="nil"/>
              <w:right w:val="nil"/>
            </w:tcBorders>
            <w:shd w:val="clear" w:color="auto" w:fill="auto"/>
            <w:vAlign w:val="bottom"/>
            <w:hideMark/>
          </w:tcPr>
          <w:p w14:paraId="056EA53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0C4FF1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aferente operațiunilor de delegare în străinătate și în Republica Moldova a salariaților Băncii Naționale a Moldovei nr.1101204/7 din 28.01.2002, cu modificările ulterioare</w:t>
            </w:r>
          </w:p>
        </w:tc>
      </w:tr>
      <w:tr w:rsidR="00C817DC" w:rsidRPr="00650D66" w14:paraId="5F08DE52" w14:textId="77777777" w:rsidTr="00F32C69">
        <w:trPr>
          <w:trHeight w:val="204"/>
        </w:trPr>
        <w:tc>
          <w:tcPr>
            <w:tcW w:w="1276" w:type="dxa"/>
            <w:tcBorders>
              <w:top w:val="nil"/>
              <w:left w:val="nil"/>
              <w:bottom w:val="nil"/>
              <w:right w:val="nil"/>
            </w:tcBorders>
            <w:shd w:val="clear" w:color="auto" w:fill="auto"/>
            <w:vAlign w:val="bottom"/>
            <w:hideMark/>
          </w:tcPr>
          <w:p w14:paraId="16F7BDF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93FC8D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cu privire la întocmirea electronică a programului de instruire anual</w:t>
            </w:r>
          </w:p>
        </w:tc>
      </w:tr>
      <w:tr w:rsidR="00C817DC" w:rsidRPr="00650D66" w14:paraId="55713CCA" w14:textId="77777777" w:rsidTr="00F32C69">
        <w:trPr>
          <w:trHeight w:val="204"/>
        </w:trPr>
        <w:tc>
          <w:tcPr>
            <w:tcW w:w="1276" w:type="dxa"/>
            <w:tcBorders>
              <w:top w:val="nil"/>
              <w:left w:val="nil"/>
              <w:bottom w:val="nil"/>
              <w:right w:val="nil"/>
            </w:tcBorders>
            <w:shd w:val="clear" w:color="auto" w:fill="auto"/>
            <w:vAlign w:val="bottom"/>
            <w:hideMark/>
          </w:tcPr>
          <w:p w14:paraId="7245DBD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D0F77B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cu privire la circulația electronică a notelor de serviciu privind activitatea personalului BNM (alte ordine care au fost substituite de acesta)</w:t>
            </w:r>
          </w:p>
        </w:tc>
      </w:tr>
      <w:tr w:rsidR="00C817DC" w:rsidRPr="00650D66" w14:paraId="7F1C1769" w14:textId="77777777" w:rsidTr="00F32C69">
        <w:trPr>
          <w:trHeight w:val="408"/>
        </w:trPr>
        <w:tc>
          <w:tcPr>
            <w:tcW w:w="1276" w:type="dxa"/>
            <w:tcBorders>
              <w:top w:val="nil"/>
              <w:left w:val="nil"/>
              <w:bottom w:val="nil"/>
              <w:right w:val="nil"/>
            </w:tcBorders>
            <w:shd w:val="clear" w:color="auto" w:fill="auto"/>
            <w:vAlign w:val="bottom"/>
            <w:hideMark/>
          </w:tcPr>
          <w:p w14:paraId="7435F4F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5036A9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 nr.335 din 28.11.2018)</w:t>
            </w:r>
          </w:p>
        </w:tc>
      </w:tr>
      <w:tr w:rsidR="00C817DC" w:rsidRPr="00650D66" w14:paraId="29B64E6E" w14:textId="77777777" w:rsidTr="00F32C69">
        <w:trPr>
          <w:trHeight w:val="204"/>
        </w:trPr>
        <w:tc>
          <w:tcPr>
            <w:tcW w:w="1276" w:type="dxa"/>
            <w:tcBorders>
              <w:top w:val="nil"/>
              <w:left w:val="nil"/>
              <w:bottom w:val="nil"/>
              <w:right w:val="nil"/>
            </w:tcBorders>
            <w:shd w:val="clear" w:color="auto" w:fill="auto"/>
            <w:vAlign w:val="bottom"/>
            <w:hideMark/>
          </w:tcPr>
          <w:p w14:paraId="73BB161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B4AA55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Procedura privind emiterea, modificarea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abrogarea ordinelor/</w:t>
            </w:r>
            <w:r w:rsidR="00513902" w:rsidRPr="00650D66">
              <w:rPr>
                <w:rFonts w:ascii="Times New Roman" w:eastAsia="Times New Roman" w:hAnsi="Times New Roman" w:cs="Times New Roman"/>
                <w:color w:val="000000"/>
                <w:sz w:val="20"/>
                <w:szCs w:val="20"/>
                <w:lang w:val="ro-RO"/>
              </w:rPr>
              <w:t>dispozițiilor</w:t>
            </w:r>
            <w:r w:rsidRPr="00650D66">
              <w:rPr>
                <w:rFonts w:ascii="Times New Roman" w:eastAsia="Times New Roman" w:hAnsi="Times New Roman" w:cs="Times New Roman"/>
                <w:color w:val="000000"/>
                <w:sz w:val="20"/>
                <w:szCs w:val="20"/>
                <w:lang w:val="ro-RO"/>
              </w:rPr>
              <w:t xml:space="preserve"> în BNM</w:t>
            </w:r>
          </w:p>
        </w:tc>
      </w:tr>
      <w:tr w:rsidR="00C817DC" w:rsidRPr="00650D66" w14:paraId="0E3DE5D3" w14:textId="77777777" w:rsidTr="00F32C69">
        <w:trPr>
          <w:trHeight w:val="204"/>
        </w:trPr>
        <w:tc>
          <w:tcPr>
            <w:tcW w:w="1276" w:type="dxa"/>
            <w:tcBorders>
              <w:top w:val="nil"/>
              <w:left w:val="nil"/>
              <w:bottom w:val="nil"/>
              <w:right w:val="nil"/>
            </w:tcBorders>
            <w:shd w:val="clear" w:color="auto" w:fill="auto"/>
            <w:vAlign w:val="bottom"/>
            <w:hideMark/>
          </w:tcPr>
          <w:p w14:paraId="51EB989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64ACA4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Formular privind evaluarea rezultatelor activității, competențelor și planul de dezvoltare profesională</w:t>
            </w:r>
          </w:p>
        </w:tc>
      </w:tr>
      <w:tr w:rsidR="00C817DC" w:rsidRPr="00650D66" w14:paraId="32C7A5D1" w14:textId="77777777" w:rsidTr="00F32C69">
        <w:trPr>
          <w:trHeight w:val="204"/>
        </w:trPr>
        <w:tc>
          <w:tcPr>
            <w:tcW w:w="1276" w:type="dxa"/>
            <w:tcBorders>
              <w:top w:val="nil"/>
              <w:left w:val="nil"/>
              <w:bottom w:val="nil"/>
              <w:right w:val="nil"/>
            </w:tcBorders>
            <w:shd w:val="clear" w:color="auto" w:fill="auto"/>
            <w:vAlign w:val="bottom"/>
            <w:hideMark/>
          </w:tcPr>
          <w:p w14:paraId="77A68AB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B23AD9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Regulamente de activitate ale </w:t>
            </w:r>
            <w:r w:rsidR="00513902" w:rsidRPr="00650D66">
              <w:rPr>
                <w:rFonts w:ascii="Times New Roman" w:eastAsia="Times New Roman" w:hAnsi="Times New Roman" w:cs="Times New Roman"/>
                <w:color w:val="000000"/>
                <w:sz w:val="20"/>
                <w:szCs w:val="20"/>
                <w:lang w:val="ro-RO"/>
              </w:rPr>
              <w:t>subdiviziunilor</w:t>
            </w:r>
          </w:p>
        </w:tc>
      </w:tr>
      <w:tr w:rsidR="00C817DC" w:rsidRPr="00650D66" w14:paraId="7FE24C4E" w14:textId="77777777" w:rsidTr="00F32C69">
        <w:trPr>
          <w:trHeight w:val="408"/>
        </w:trPr>
        <w:tc>
          <w:tcPr>
            <w:tcW w:w="1276" w:type="dxa"/>
            <w:tcBorders>
              <w:top w:val="nil"/>
              <w:left w:val="nil"/>
              <w:bottom w:val="nil"/>
              <w:right w:val="nil"/>
            </w:tcBorders>
            <w:shd w:val="clear" w:color="auto" w:fill="auto"/>
            <w:vAlign w:val="bottom"/>
            <w:hideMark/>
          </w:tcPr>
          <w:p w14:paraId="3031179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66305C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nr. 11 din 24 ianuarie 2020 privind procesul de gestionare și coordonare a asistenței tehnice externe acordate Băncii Naționale a Moldovei de către partenerii externi de dezvoltare, HCE, Nr.11 din 24.01.2020 </w:t>
            </w:r>
          </w:p>
        </w:tc>
      </w:tr>
      <w:tr w:rsidR="00C817DC" w:rsidRPr="00650D66" w14:paraId="599E5DC8" w14:textId="77777777" w:rsidTr="00F32C69">
        <w:trPr>
          <w:trHeight w:val="408"/>
        </w:trPr>
        <w:tc>
          <w:tcPr>
            <w:tcW w:w="1276" w:type="dxa"/>
            <w:tcBorders>
              <w:top w:val="nil"/>
              <w:left w:val="nil"/>
              <w:bottom w:val="nil"/>
              <w:right w:val="nil"/>
            </w:tcBorders>
            <w:shd w:val="clear" w:color="auto" w:fill="auto"/>
            <w:vAlign w:val="bottom"/>
            <w:hideMark/>
          </w:tcPr>
          <w:p w14:paraId="27964D7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C259A5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modul de planificare, organizare și desfășurare a achizițiilor în Banca Națională a Moldovei, nr. 218 din 16.08.2019 (modificat prin HCE nr. 193 din 30.09.2021 și HCE nr. 42 din 23.02.2023)</w:t>
            </w:r>
          </w:p>
        </w:tc>
      </w:tr>
      <w:tr w:rsidR="00C817DC" w:rsidRPr="00650D66" w14:paraId="5EEE2302" w14:textId="77777777" w:rsidTr="00F32C69">
        <w:trPr>
          <w:trHeight w:val="204"/>
        </w:trPr>
        <w:tc>
          <w:tcPr>
            <w:tcW w:w="1276" w:type="dxa"/>
            <w:tcBorders>
              <w:top w:val="nil"/>
              <w:left w:val="nil"/>
              <w:bottom w:val="nil"/>
              <w:right w:val="nil"/>
            </w:tcBorders>
            <w:shd w:val="clear" w:color="auto" w:fill="auto"/>
            <w:vAlign w:val="bottom"/>
            <w:hideMark/>
          </w:tcPr>
          <w:p w14:paraId="2B80B69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3EAB9F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665 Dezvoltarea profesionala</w:t>
            </w:r>
          </w:p>
        </w:tc>
      </w:tr>
      <w:tr w:rsidR="00C817DC" w:rsidRPr="00650D66" w14:paraId="6589C9C9" w14:textId="77777777" w:rsidTr="00F32C69">
        <w:trPr>
          <w:trHeight w:val="204"/>
        </w:trPr>
        <w:tc>
          <w:tcPr>
            <w:tcW w:w="1276" w:type="dxa"/>
            <w:tcBorders>
              <w:top w:val="nil"/>
              <w:left w:val="nil"/>
              <w:bottom w:val="nil"/>
              <w:right w:val="nil"/>
            </w:tcBorders>
            <w:shd w:val="clear" w:color="auto" w:fill="auto"/>
            <w:vAlign w:val="bottom"/>
            <w:hideMark/>
          </w:tcPr>
          <w:p w14:paraId="70C1E67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9B3E5F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Procesul 666 Deplasări ale salariaților în scop de dezvoltare profesională și de serviciu</w:t>
            </w:r>
          </w:p>
        </w:tc>
      </w:tr>
      <w:tr w:rsidR="00C817DC" w:rsidRPr="00650D66" w14:paraId="33EFFA63" w14:textId="77777777" w:rsidTr="00F32C69">
        <w:trPr>
          <w:trHeight w:val="204"/>
        </w:trPr>
        <w:tc>
          <w:tcPr>
            <w:tcW w:w="1276" w:type="dxa"/>
            <w:tcBorders>
              <w:top w:val="nil"/>
              <w:left w:val="nil"/>
              <w:bottom w:val="nil"/>
              <w:right w:val="nil"/>
            </w:tcBorders>
            <w:shd w:val="clear" w:color="auto" w:fill="auto"/>
            <w:vAlign w:val="bottom"/>
            <w:hideMark/>
          </w:tcPr>
          <w:p w14:paraId="720EFF6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lastRenderedPageBreak/>
              <w:t>2019-2022</w:t>
            </w:r>
          </w:p>
        </w:tc>
        <w:tc>
          <w:tcPr>
            <w:tcW w:w="9867" w:type="dxa"/>
            <w:tcBorders>
              <w:top w:val="nil"/>
              <w:left w:val="nil"/>
              <w:bottom w:val="nil"/>
              <w:right w:val="nil"/>
            </w:tcBorders>
            <w:shd w:val="clear" w:color="auto" w:fill="auto"/>
            <w:hideMark/>
          </w:tcPr>
          <w:p w14:paraId="446A0FE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 Alte legi, regulamente și instrucțiuni externe conexe </w:t>
            </w:r>
            <w:r w:rsidR="001D4E51" w:rsidRPr="00650D66">
              <w:rPr>
                <w:rFonts w:ascii="Times New Roman" w:eastAsia="Times New Roman" w:hAnsi="Times New Roman" w:cs="Times New Roman"/>
                <w:color w:val="000000"/>
                <w:sz w:val="20"/>
                <w:szCs w:val="20"/>
                <w:lang w:val="ro-RO"/>
              </w:rPr>
              <w:t>proceselor</w:t>
            </w:r>
            <w:r w:rsidRPr="00650D66">
              <w:rPr>
                <w:rFonts w:ascii="Times New Roman" w:eastAsia="Times New Roman" w:hAnsi="Times New Roman" w:cs="Times New Roman"/>
                <w:color w:val="000000"/>
                <w:sz w:val="20"/>
                <w:szCs w:val="20"/>
                <w:lang w:val="ro-RO"/>
              </w:rPr>
              <w:t xml:space="preserve"> de deplasare și formare profesională</w:t>
            </w:r>
          </w:p>
        </w:tc>
      </w:tr>
      <w:tr w:rsidR="00C817DC" w:rsidRPr="00650D66" w14:paraId="52E256EA" w14:textId="77777777" w:rsidTr="00F32C69">
        <w:trPr>
          <w:trHeight w:val="204"/>
        </w:trPr>
        <w:tc>
          <w:tcPr>
            <w:tcW w:w="1276" w:type="dxa"/>
            <w:tcBorders>
              <w:top w:val="nil"/>
              <w:left w:val="nil"/>
              <w:bottom w:val="nil"/>
              <w:right w:val="nil"/>
            </w:tcBorders>
            <w:shd w:val="clear" w:color="auto" w:fill="auto"/>
            <w:hideMark/>
          </w:tcPr>
          <w:p w14:paraId="1865850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09AD27F3"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703156BE" w14:textId="77777777" w:rsidTr="00F32C69">
        <w:trPr>
          <w:trHeight w:val="210"/>
        </w:trPr>
        <w:tc>
          <w:tcPr>
            <w:tcW w:w="11141" w:type="dxa"/>
            <w:gridSpan w:val="2"/>
            <w:tcBorders>
              <w:top w:val="nil"/>
              <w:left w:val="nil"/>
              <w:bottom w:val="nil"/>
              <w:right w:val="nil"/>
            </w:tcBorders>
            <w:shd w:val="clear" w:color="auto" w:fill="auto"/>
            <w:noWrap/>
            <w:hideMark/>
          </w:tcPr>
          <w:p w14:paraId="502D2D58"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Planificarea, desfășurarea procedurilor de achiziții a bunurilor, serviciilor și lucrărilor, încheierea contractelor de achiziții de bunuri, servicii și lucrări și monitorizarea executării lor</w:t>
            </w:r>
          </w:p>
        </w:tc>
      </w:tr>
      <w:tr w:rsidR="00C817DC" w:rsidRPr="00650D66" w14:paraId="2DF750DF" w14:textId="77777777" w:rsidTr="00F32C69">
        <w:trPr>
          <w:trHeight w:val="210"/>
        </w:trPr>
        <w:tc>
          <w:tcPr>
            <w:tcW w:w="1276" w:type="dxa"/>
            <w:tcBorders>
              <w:top w:val="nil"/>
              <w:left w:val="nil"/>
              <w:bottom w:val="nil"/>
              <w:right w:val="nil"/>
            </w:tcBorders>
            <w:shd w:val="clear" w:color="auto" w:fill="auto"/>
            <w:noWrap/>
            <w:hideMark/>
          </w:tcPr>
          <w:p w14:paraId="2FD9A5B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BB65C14"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privind achizițiile publice nr.131 din 03.07.2015</w:t>
            </w:r>
          </w:p>
        </w:tc>
      </w:tr>
      <w:tr w:rsidR="00C817DC" w:rsidRPr="00650D66" w14:paraId="290CDCF7" w14:textId="77777777" w:rsidTr="00F32C69">
        <w:trPr>
          <w:trHeight w:val="210"/>
        </w:trPr>
        <w:tc>
          <w:tcPr>
            <w:tcW w:w="1276" w:type="dxa"/>
            <w:tcBorders>
              <w:top w:val="nil"/>
              <w:left w:val="nil"/>
              <w:bottom w:val="nil"/>
              <w:right w:val="nil"/>
            </w:tcBorders>
            <w:shd w:val="clear" w:color="auto" w:fill="auto"/>
            <w:noWrap/>
            <w:hideMark/>
          </w:tcPr>
          <w:p w14:paraId="03E63A2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252AEE9"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Codul Civil nr. 11017 din 06.06.2002 republicat din 01.03.2019</w:t>
            </w:r>
          </w:p>
        </w:tc>
      </w:tr>
      <w:tr w:rsidR="00C817DC" w:rsidRPr="00650D66" w14:paraId="77DF9034" w14:textId="77777777" w:rsidTr="00F32C69">
        <w:trPr>
          <w:trHeight w:val="210"/>
        </w:trPr>
        <w:tc>
          <w:tcPr>
            <w:tcW w:w="1276" w:type="dxa"/>
            <w:tcBorders>
              <w:top w:val="nil"/>
              <w:left w:val="nil"/>
              <w:bottom w:val="nil"/>
              <w:right w:val="nil"/>
            </w:tcBorders>
            <w:shd w:val="clear" w:color="auto" w:fill="auto"/>
            <w:vAlign w:val="bottom"/>
            <w:hideMark/>
          </w:tcPr>
          <w:p w14:paraId="6D85ABA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C17CB50" w14:textId="28DB1871"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w:t>
            </w:r>
            <w:r w:rsidR="00451715">
              <w:rPr>
                <w:rFonts w:ascii="Times New Roman" w:eastAsia="Times New Roman" w:hAnsi="Times New Roman" w:cs="Times New Roman"/>
                <w:color w:val="000000"/>
                <w:sz w:val="20"/>
                <w:szCs w:val="20"/>
                <w:lang w:val="ro-RO"/>
              </w:rPr>
              <w:t>ală a Moldovei nr.548</w:t>
            </w:r>
            <w:r w:rsidRPr="00650D66">
              <w:rPr>
                <w:rFonts w:ascii="Times New Roman" w:eastAsia="Times New Roman" w:hAnsi="Times New Roman" w:cs="Times New Roman"/>
                <w:color w:val="000000"/>
                <w:sz w:val="20"/>
                <w:szCs w:val="20"/>
                <w:lang w:val="ro-RO"/>
              </w:rPr>
              <w:t xml:space="preserve"> din 21.07.1995, cu modificările ulterioare</w:t>
            </w:r>
          </w:p>
        </w:tc>
      </w:tr>
      <w:tr w:rsidR="00C817DC" w:rsidRPr="00650D66" w14:paraId="416A9171" w14:textId="77777777" w:rsidTr="00F32C69">
        <w:trPr>
          <w:trHeight w:val="204"/>
        </w:trPr>
        <w:tc>
          <w:tcPr>
            <w:tcW w:w="1276" w:type="dxa"/>
            <w:tcBorders>
              <w:top w:val="nil"/>
              <w:left w:val="nil"/>
              <w:bottom w:val="nil"/>
              <w:right w:val="nil"/>
            </w:tcBorders>
            <w:shd w:val="clear" w:color="auto" w:fill="auto"/>
            <w:hideMark/>
          </w:tcPr>
          <w:p w14:paraId="56AC1A6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w:t>
            </w:r>
          </w:p>
        </w:tc>
        <w:tc>
          <w:tcPr>
            <w:tcW w:w="9867" w:type="dxa"/>
            <w:tcBorders>
              <w:top w:val="nil"/>
              <w:left w:val="nil"/>
              <w:bottom w:val="nil"/>
              <w:right w:val="nil"/>
            </w:tcBorders>
            <w:shd w:val="clear" w:color="auto" w:fill="auto"/>
            <w:hideMark/>
          </w:tcPr>
          <w:p w14:paraId="237E5AB5"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modul de planificare și organizarea achizițiilor în BNM, aprobată prin HCE al BNM nr.136 din 24.05.2017, abrogată prin HCE 218/2019</w:t>
            </w:r>
          </w:p>
        </w:tc>
      </w:tr>
      <w:tr w:rsidR="00C817DC" w:rsidRPr="00650D66" w14:paraId="028FFECF" w14:textId="77777777" w:rsidTr="00F32C69">
        <w:trPr>
          <w:trHeight w:val="408"/>
        </w:trPr>
        <w:tc>
          <w:tcPr>
            <w:tcW w:w="1276" w:type="dxa"/>
            <w:tcBorders>
              <w:top w:val="nil"/>
              <w:left w:val="nil"/>
              <w:bottom w:val="nil"/>
              <w:right w:val="nil"/>
            </w:tcBorders>
            <w:shd w:val="clear" w:color="auto" w:fill="auto"/>
            <w:vAlign w:val="bottom"/>
            <w:hideMark/>
          </w:tcPr>
          <w:p w14:paraId="305A850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BAE2361"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privind modul de planificare, organizare și desfășurare a achizițiilor în Banca Națională a Moldovei, nr. 218 din 16.08.2019 (modificat prin HCE nr. 193 din 30.09.2021 și HCE nr. 42 din 23.02.2023)</w:t>
            </w:r>
          </w:p>
        </w:tc>
      </w:tr>
      <w:tr w:rsidR="00C817DC" w:rsidRPr="00650D66" w14:paraId="35576B30" w14:textId="77777777" w:rsidTr="00F32C69">
        <w:trPr>
          <w:trHeight w:val="204"/>
        </w:trPr>
        <w:tc>
          <w:tcPr>
            <w:tcW w:w="1276" w:type="dxa"/>
            <w:tcBorders>
              <w:top w:val="nil"/>
              <w:left w:val="nil"/>
              <w:bottom w:val="nil"/>
              <w:right w:val="nil"/>
            </w:tcBorders>
            <w:shd w:val="clear" w:color="auto" w:fill="auto"/>
            <w:hideMark/>
          </w:tcPr>
          <w:p w14:paraId="692EF20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2019-2020</w:t>
            </w:r>
          </w:p>
        </w:tc>
        <w:tc>
          <w:tcPr>
            <w:tcW w:w="9867" w:type="dxa"/>
            <w:tcBorders>
              <w:top w:val="nil"/>
              <w:left w:val="nil"/>
              <w:bottom w:val="nil"/>
              <w:right w:val="nil"/>
            </w:tcBorders>
            <w:shd w:val="clear" w:color="auto" w:fill="auto"/>
            <w:hideMark/>
          </w:tcPr>
          <w:p w14:paraId="49073A61"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întocmirea și păstrarea dosarului achiziției publice, aprobat prin HG nr. 9 din 17.01.2008</w:t>
            </w:r>
          </w:p>
        </w:tc>
      </w:tr>
      <w:tr w:rsidR="00C817DC" w:rsidRPr="00650D66" w14:paraId="707CCA4C" w14:textId="77777777" w:rsidTr="00F32C69">
        <w:trPr>
          <w:trHeight w:val="204"/>
        </w:trPr>
        <w:tc>
          <w:tcPr>
            <w:tcW w:w="1276" w:type="dxa"/>
            <w:tcBorders>
              <w:top w:val="nil"/>
              <w:left w:val="nil"/>
              <w:bottom w:val="nil"/>
              <w:right w:val="nil"/>
            </w:tcBorders>
            <w:shd w:val="clear" w:color="auto" w:fill="auto"/>
            <w:hideMark/>
          </w:tcPr>
          <w:p w14:paraId="75B7E30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2A8CA403"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 Regulamentul cu privire la întocmirea și păstrarea dosarului achiziției publice​, HG Nr. 778 din 28-10-2020</w:t>
            </w:r>
          </w:p>
        </w:tc>
      </w:tr>
      <w:tr w:rsidR="00C817DC" w:rsidRPr="00650D66" w14:paraId="407AF317" w14:textId="77777777" w:rsidTr="00F32C69">
        <w:trPr>
          <w:trHeight w:val="408"/>
        </w:trPr>
        <w:tc>
          <w:tcPr>
            <w:tcW w:w="1276" w:type="dxa"/>
            <w:tcBorders>
              <w:top w:val="nil"/>
              <w:left w:val="nil"/>
              <w:bottom w:val="nil"/>
              <w:right w:val="nil"/>
            </w:tcBorders>
            <w:shd w:val="clear" w:color="auto" w:fill="auto"/>
            <w:hideMark/>
          </w:tcPr>
          <w:p w14:paraId="7E69C33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A71F2C3"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ajustarea periodică a valorii contractelor de achiziții publice cu executare continuă, încheiate pe un termen mai mare de un an, aprobat prin HG nr.1129 din 21.11.2018, modificat prin HG  Nr. 279 din 27-04-2022</w:t>
            </w:r>
          </w:p>
        </w:tc>
      </w:tr>
      <w:tr w:rsidR="00C817DC" w:rsidRPr="00650D66" w14:paraId="733E010B" w14:textId="77777777" w:rsidTr="00F32C69">
        <w:trPr>
          <w:trHeight w:val="204"/>
        </w:trPr>
        <w:tc>
          <w:tcPr>
            <w:tcW w:w="1276" w:type="dxa"/>
            <w:tcBorders>
              <w:top w:val="nil"/>
              <w:left w:val="nil"/>
              <w:bottom w:val="nil"/>
              <w:right w:val="nil"/>
            </w:tcBorders>
            <w:shd w:val="clear" w:color="auto" w:fill="auto"/>
            <w:hideMark/>
          </w:tcPr>
          <w:p w14:paraId="47CC817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2019-2020</w:t>
            </w:r>
          </w:p>
        </w:tc>
        <w:tc>
          <w:tcPr>
            <w:tcW w:w="9867" w:type="dxa"/>
            <w:tcBorders>
              <w:top w:val="nil"/>
              <w:left w:val="nil"/>
              <w:bottom w:val="nil"/>
              <w:right w:val="nil"/>
            </w:tcBorders>
            <w:shd w:val="clear" w:color="auto" w:fill="auto"/>
            <w:hideMark/>
          </w:tcPr>
          <w:p w14:paraId="0B8E757D"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achizițiile publice de lucrări, aprobat prin HG nr.669 din 27.05.2016, abrogat prin HG 638/2020</w:t>
            </w:r>
          </w:p>
        </w:tc>
      </w:tr>
      <w:tr w:rsidR="00C817DC" w:rsidRPr="00650D66" w14:paraId="492BE156" w14:textId="77777777" w:rsidTr="00F32C69">
        <w:trPr>
          <w:trHeight w:val="204"/>
        </w:trPr>
        <w:tc>
          <w:tcPr>
            <w:tcW w:w="1276" w:type="dxa"/>
            <w:tcBorders>
              <w:top w:val="nil"/>
              <w:left w:val="nil"/>
              <w:bottom w:val="nil"/>
              <w:right w:val="nil"/>
            </w:tcBorders>
            <w:shd w:val="clear" w:color="auto" w:fill="auto"/>
            <w:hideMark/>
          </w:tcPr>
          <w:p w14:paraId="2CBAEB8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19EA3625"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Regulamentului privind achizițiile publice de lucrări, aprobat prin HG  638 din 26.08.2020</w:t>
            </w:r>
          </w:p>
        </w:tc>
      </w:tr>
      <w:tr w:rsidR="00C817DC" w:rsidRPr="00650D66" w14:paraId="64E7A027" w14:textId="77777777" w:rsidTr="00F32C69">
        <w:trPr>
          <w:trHeight w:val="210"/>
        </w:trPr>
        <w:tc>
          <w:tcPr>
            <w:tcW w:w="1276" w:type="dxa"/>
            <w:tcBorders>
              <w:top w:val="nil"/>
              <w:left w:val="nil"/>
              <w:bottom w:val="nil"/>
              <w:right w:val="nil"/>
            </w:tcBorders>
            <w:shd w:val="clear" w:color="auto" w:fill="auto"/>
            <w:hideMark/>
          </w:tcPr>
          <w:p w14:paraId="33708D6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14:paraId="7FEDE7EE"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activitatea grupului de lucru pentru achiziții, aprobat prin HG nr.667 din 27.05.2016, abrogat prin HG nr. 10 din 20.01.2021</w:t>
            </w:r>
          </w:p>
        </w:tc>
      </w:tr>
      <w:tr w:rsidR="00C817DC" w:rsidRPr="00650D66" w14:paraId="4AC03E33" w14:textId="77777777" w:rsidTr="00F32C69">
        <w:trPr>
          <w:trHeight w:val="204"/>
        </w:trPr>
        <w:tc>
          <w:tcPr>
            <w:tcW w:w="1276" w:type="dxa"/>
            <w:tcBorders>
              <w:top w:val="nil"/>
              <w:left w:val="nil"/>
              <w:bottom w:val="nil"/>
              <w:right w:val="nil"/>
            </w:tcBorders>
            <w:shd w:val="clear" w:color="auto" w:fill="auto"/>
            <w:hideMark/>
          </w:tcPr>
          <w:p w14:paraId="24F7DA6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14:paraId="538259EA"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Regulamentului cu privire la activitatea grupului de lucru în domeniul achizițiilor publice, aprobat prin HG 10 din 20.01.2021</w:t>
            </w:r>
          </w:p>
        </w:tc>
      </w:tr>
      <w:tr w:rsidR="00C817DC" w:rsidRPr="00650D66" w14:paraId="011C1E62" w14:textId="77777777" w:rsidTr="00F32C69">
        <w:trPr>
          <w:trHeight w:val="204"/>
        </w:trPr>
        <w:tc>
          <w:tcPr>
            <w:tcW w:w="1276" w:type="dxa"/>
            <w:tcBorders>
              <w:top w:val="nil"/>
              <w:left w:val="nil"/>
              <w:bottom w:val="nil"/>
              <w:right w:val="nil"/>
            </w:tcBorders>
            <w:shd w:val="clear" w:color="auto" w:fill="auto"/>
            <w:hideMark/>
          </w:tcPr>
          <w:p w14:paraId="4C1EFC5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BC3C9A8"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achizițiile publice de valoare mică, aprobat prin HG nr.665 din 27.05.2016</w:t>
            </w:r>
          </w:p>
        </w:tc>
      </w:tr>
      <w:tr w:rsidR="00C817DC" w:rsidRPr="00650D66" w14:paraId="306E1C8B" w14:textId="77777777" w:rsidTr="00F32C69">
        <w:trPr>
          <w:trHeight w:val="204"/>
        </w:trPr>
        <w:tc>
          <w:tcPr>
            <w:tcW w:w="1276" w:type="dxa"/>
            <w:tcBorders>
              <w:top w:val="nil"/>
              <w:left w:val="nil"/>
              <w:bottom w:val="nil"/>
              <w:right w:val="nil"/>
            </w:tcBorders>
            <w:shd w:val="clear" w:color="auto" w:fill="auto"/>
            <w:hideMark/>
          </w:tcPr>
          <w:p w14:paraId="2EC63BB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2019-2020</w:t>
            </w:r>
          </w:p>
        </w:tc>
        <w:tc>
          <w:tcPr>
            <w:tcW w:w="9867" w:type="dxa"/>
            <w:tcBorders>
              <w:top w:val="nil"/>
              <w:left w:val="nil"/>
              <w:bottom w:val="nil"/>
              <w:right w:val="nil"/>
            </w:tcBorders>
            <w:shd w:val="clear" w:color="auto" w:fill="auto"/>
            <w:hideMark/>
          </w:tcPr>
          <w:p w14:paraId="05EEACF6"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achizițiile publice folosind procedura de negociere, aprobat prin HG nr.668 din 27.05.2016 și abrogat prin HG 599 din 12.08.2020</w:t>
            </w:r>
          </w:p>
        </w:tc>
      </w:tr>
      <w:tr w:rsidR="00C817DC" w:rsidRPr="00650D66" w14:paraId="6B57DE4C" w14:textId="77777777" w:rsidTr="00F32C69">
        <w:trPr>
          <w:trHeight w:val="204"/>
        </w:trPr>
        <w:tc>
          <w:tcPr>
            <w:tcW w:w="1276" w:type="dxa"/>
            <w:tcBorders>
              <w:top w:val="nil"/>
              <w:left w:val="nil"/>
              <w:bottom w:val="nil"/>
              <w:right w:val="nil"/>
            </w:tcBorders>
            <w:shd w:val="clear" w:color="auto" w:fill="auto"/>
            <w:hideMark/>
          </w:tcPr>
          <w:p w14:paraId="0B49C10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277FC290"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cu privire la </w:t>
            </w:r>
            <w:proofErr w:type="spellStart"/>
            <w:r w:rsidRPr="00650D66">
              <w:rPr>
                <w:rFonts w:ascii="Times New Roman" w:eastAsia="Times New Roman" w:hAnsi="Times New Roman" w:cs="Times New Roman"/>
                <w:color w:val="000000"/>
                <w:sz w:val="20"/>
                <w:szCs w:val="20"/>
                <w:lang w:val="ro-RO"/>
              </w:rPr>
              <w:t>achiziţiile</w:t>
            </w:r>
            <w:proofErr w:type="spellEnd"/>
            <w:r w:rsidRPr="00650D66">
              <w:rPr>
                <w:rFonts w:ascii="Times New Roman" w:eastAsia="Times New Roman" w:hAnsi="Times New Roman" w:cs="Times New Roman"/>
                <w:color w:val="000000"/>
                <w:sz w:val="20"/>
                <w:szCs w:val="20"/>
                <w:lang w:val="ro-RO"/>
              </w:rPr>
              <w:t xml:space="preserve"> publice folosind procedura de negociere, aprobat prin HG 599 din 12.08.2020</w:t>
            </w:r>
          </w:p>
        </w:tc>
      </w:tr>
      <w:tr w:rsidR="00C817DC" w:rsidRPr="00650D66" w14:paraId="56B95981" w14:textId="77777777" w:rsidTr="00F32C69">
        <w:trPr>
          <w:trHeight w:val="210"/>
        </w:trPr>
        <w:tc>
          <w:tcPr>
            <w:tcW w:w="1276" w:type="dxa"/>
            <w:tcBorders>
              <w:top w:val="nil"/>
              <w:left w:val="nil"/>
              <w:bottom w:val="nil"/>
              <w:right w:val="nil"/>
            </w:tcBorders>
            <w:shd w:val="clear" w:color="auto" w:fill="auto"/>
            <w:hideMark/>
          </w:tcPr>
          <w:p w14:paraId="24F7F2D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72C39FC"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achiziția bunurilor și serviciilor prin cererea ofertelor de prețuri, aprobat prin HG nr.987 din 10.10.2018</w:t>
            </w:r>
          </w:p>
        </w:tc>
      </w:tr>
      <w:tr w:rsidR="00C817DC" w:rsidRPr="00650D66" w14:paraId="1513F2CD" w14:textId="77777777" w:rsidTr="00F32C69">
        <w:trPr>
          <w:trHeight w:val="204"/>
        </w:trPr>
        <w:tc>
          <w:tcPr>
            <w:tcW w:w="1276" w:type="dxa"/>
            <w:tcBorders>
              <w:top w:val="nil"/>
              <w:left w:val="nil"/>
              <w:bottom w:val="nil"/>
              <w:right w:val="nil"/>
            </w:tcBorders>
            <w:shd w:val="clear" w:color="auto" w:fill="auto"/>
            <w:hideMark/>
          </w:tcPr>
          <w:p w14:paraId="1FAB855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2279F38"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modul de planificare a contractelor de achiziții publice, aprobat prin HG nr.1419 din 28.12.2016</w:t>
            </w:r>
          </w:p>
        </w:tc>
      </w:tr>
      <w:tr w:rsidR="00C817DC" w:rsidRPr="00650D66" w14:paraId="14FED297" w14:textId="77777777" w:rsidTr="00F32C69">
        <w:trPr>
          <w:trHeight w:val="204"/>
        </w:trPr>
        <w:tc>
          <w:tcPr>
            <w:tcW w:w="1276" w:type="dxa"/>
            <w:tcBorders>
              <w:top w:val="nil"/>
              <w:left w:val="nil"/>
              <w:bottom w:val="nil"/>
              <w:right w:val="nil"/>
            </w:tcBorders>
            <w:shd w:val="clear" w:color="auto" w:fill="auto"/>
            <w:hideMark/>
          </w:tcPr>
          <w:p w14:paraId="3956529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14:paraId="3FAAC2C5"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Regulamentul privind evidența Listei operatorilor economici calificații, aprobat prin HG nr. 1420 din 28.12.2016, </w:t>
            </w:r>
            <w:r w:rsidR="00405E4B" w:rsidRPr="00650D66">
              <w:rPr>
                <w:rFonts w:ascii="Times New Roman" w:eastAsia="Times New Roman" w:hAnsi="Times New Roman" w:cs="Times New Roman"/>
                <w:color w:val="000000"/>
                <w:sz w:val="20"/>
                <w:szCs w:val="20"/>
                <w:lang w:val="ro-RO"/>
              </w:rPr>
              <w:t>abrogat</w:t>
            </w:r>
            <w:r w:rsidRPr="00650D66">
              <w:rPr>
                <w:rFonts w:ascii="Times New Roman" w:eastAsia="Times New Roman" w:hAnsi="Times New Roman" w:cs="Times New Roman"/>
                <w:color w:val="000000"/>
                <w:sz w:val="20"/>
                <w:szCs w:val="20"/>
                <w:lang w:val="ro-RO"/>
              </w:rPr>
              <w:t xml:space="preserve"> prin HG 304/03.11.2021</w:t>
            </w:r>
          </w:p>
        </w:tc>
      </w:tr>
      <w:tr w:rsidR="00C817DC" w:rsidRPr="00650D66" w14:paraId="3D98382E" w14:textId="77777777" w:rsidTr="00F32C69">
        <w:trPr>
          <w:trHeight w:val="204"/>
        </w:trPr>
        <w:tc>
          <w:tcPr>
            <w:tcW w:w="1276" w:type="dxa"/>
            <w:tcBorders>
              <w:top w:val="nil"/>
              <w:left w:val="nil"/>
              <w:bottom w:val="nil"/>
              <w:right w:val="nil"/>
            </w:tcBorders>
            <w:shd w:val="clear" w:color="auto" w:fill="auto"/>
            <w:hideMark/>
          </w:tcPr>
          <w:p w14:paraId="0EE1A83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1FF637C"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modul de întocmire a Listei de interdicție a operatorilor economici, aprobat prin HG nr.1418 din 28.12.2016</w:t>
            </w:r>
          </w:p>
        </w:tc>
      </w:tr>
      <w:tr w:rsidR="00C817DC" w:rsidRPr="00650D66" w14:paraId="5F74EDA4" w14:textId="77777777" w:rsidTr="00F32C69">
        <w:trPr>
          <w:trHeight w:val="204"/>
        </w:trPr>
        <w:tc>
          <w:tcPr>
            <w:tcW w:w="1276" w:type="dxa"/>
            <w:tcBorders>
              <w:top w:val="nil"/>
              <w:left w:val="nil"/>
              <w:bottom w:val="nil"/>
              <w:right w:val="nil"/>
            </w:tcBorders>
            <w:shd w:val="clear" w:color="auto" w:fill="auto"/>
            <w:hideMark/>
          </w:tcPr>
          <w:p w14:paraId="13B0160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14:paraId="6549E8CD"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nr.85 din 15.06.2016 „Cu privire la aprobarea Documentației standard pentru realizarea achizițiilor publice de bunuri, servicii și lucrări prin procedura de negociere”</w:t>
            </w:r>
          </w:p>
        </w:tc>
      </w:tr>
      <w:tr w:rsidR="00C817DC" w:rsidRPr="00650D66" w14:paraId="00DCD37B" w14:textId="77777777" w:rsidTr="00F32C69">
        <w:trPr>
          <w:trHeight w:val="204"/>
        </w:trPr>
        <w:tc>
          <w:tcPr>
            <w:tcW w:w="1276" w:type="dxa"/>
            <w:tcBorders>
              <w:top w:val="nil"/>
              <w:left w:val="nil"/>
              <w:bottom w:val="nil"/>
              <w:right w:val="nil"/>
            </w:tcBorders>
            <w:shd w:val="clear" w:color="auto" w:fill="auto"/>
            <w:hideMark/>
          </w:tcPr>
          <w:p w14:paraId="23CD9F5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14:paraId="2267BD7B"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nr.173 din 05.10.2018 cu privire la aprobarea Documentației standard pentru realizarea achizițiilor publice de bunuri</w:t>
            </w:r>
          </w:p>
        </w:tc>
      </w:tr>
      <w:tr w:rsidR="00C817DC" w:rsidRPr="00650D66" w14:paraId="26170D69" w14:textId="77777777" w:rsidTr="00F32C69">
        <w:trPr>
          <w:trHeight w:val="204"/>
        </w:trPr>
        <w:tc>
          <w:tcPr>
            <w:tcW w:w="1276" w:type="dxa"/>
            <w:tcBorders>
              <w:top w:val="nil"/>
              <w:left w:val="nil"/>
              <w:bottom w:val="nil"/>
              <w:right w:val="nil"/>
            </w:tcBorders>
            <w:shd w:val="clear" w:color="auto" w:fill="auto"/>
            <w:hideMark/>
          </w:tcPr>
          <w:p w14:paraId="32A9C73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14:paraId="364C3EEE"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nr.174 din 05.10.2018 cu privire la aprobarea Documentației standard pentru realizarea achizițiilor publice de servicii</w:t>
            </w:r>
          </w:p>
        </w:tc>
      </w:tr>
      <w:tr w:rsidR="00C817DC" w:rsidRPr="00650D66" w14:paraId="2E25CC77" w14:textId="77777777" w:rsidTr="00F32C69">
        <w:trPr>
          <w:trHeight w:val="204"/>
        </w:trPr>
        <w:tc>
          <w:tcPr>
            <w:tcW w:w="1276" w:type="dxa"/>
            <w:tcBorders>
              <w:top w:val="nil"/>
              <w:left w:val="nil"/>
              <w:bottom w:val="nil"/>
              <w:right w:val="nil"/>
            </w:tcBorders>
            <w:shd w:val="clear" w:color="auto" w:fill="auto"/>
            <w:hideMark/>
          </w:tcPr>
          <w:p w14:paraId="5D6A485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14:paraId="516516BA"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nr.175 din 05.10.2018 cu privire la aprobarea Documentației standard pentru realizarea achizițiilor publice de bunuri și servicii prin cererea ofertelor de prețuri</w:t>
            </w:r>
          </w:p>
        </w:tc>
      </w:tr>
      <w:tr w:rsidR="00C817DC" w:rsidRPr="00650D66" w14:paraId="6A82E1C7" w14:textId="77777777" w:rsidTr="00F32C69">
        <w:trPr>
          <w:trHeight w:val="204"/>
        </w:trPr>
        <w:tc>
          <w:tcPr>
            <w:tcW w:w="1276" w:type="dxa"/>
            <w:tcBorders>
              <w:top w:val="nil"/>
              <w:left w:val="nil"/>
              <w:bottom w:val="nil"/>
              <w:right w:val="nil"/>
            </w:tcBorders>
            <w:shd w:val="clear" w:color="auto" w:fill="auto"/>
            <w:hideMark/>
          </w:tcPr>
          <w:p w14:paraId="7B21C47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14:paraId="597B4E97"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nr.176 din 05.10.2018 cu privire la aprobarea Documentației standard pentru realizarea achizițiilor publice de lucrări</w:t>
            </w:r>
          </w:p>
        </w:tc>
      </w:tr>
      <w:tr w:rsidR="00C817DC" w:rsidRPr="00650D66" w14:paraId="6873CD4E" w14:textId="77777777" w:rsidTr="00F32C69">
        <w:trPr>
          <w:trHeight w:val="204"/>
        </w:trPr>
        <w:tc>
          <w:tcPr>
            <w:tcW w:w="1276" w:type="dxa"/>
            <w:tcBorders>
              <w:top w:val="nil"/>
              <w:left w:val="nil"/>
              <w:bottom w:val="nil"/>
              <w:right w:val="nil"/>
            </w:tcBorders>
            <w:shd w:val="clear" w:color="auto" w:fill="auto"/>
            <w:hideMark/>
          </w:tcPr>
          <w:p w14:paraId="3A1C70D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14:paraId="702221B3"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 Nr. 115 din 15-09-2021 cu privire la aprobarea Documentației standard pentru realizarea achizițiilor publice de bunuri și servicii</w:t>
            </w:r>
          </w:p>
        </w:tc>
      </w:tr>
      <w:tr w:rsidR="00C817DC" w:rsidRPr="00650D66" w14:paraId="3F1F2CD8" w14:textId="77777777" w:rsidTr="00F32C69">
        <w:trPr>
          <w:trHeight w:val="204"/>
        </w:trPr>
        <w:tc>
          <w:tcPr>
            <w:tcW w:w="1276" w:type="dxa"/>
            <w:tcBorders>
              <w:top w:val="nil"/>
              <w:left w:val="nil"/>
              <w:bottom w:val="nil"/>
              <w:right w:val="nil"/>
            </w:tcBorders>
            <w:shd w:val="clear" w:color="auto" w:fill="auto"/>
            <w:hideMark/>
          </w:tcPr>
          <w:p w14:paraId="3D981E2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2021-2022</w:t>
            </w:r>
          </w:p>
        </w:tc>
        <w:tc>
          <w:tcPr>
            <w:tcW w:w="9867" w:type="dxa"/>
            <w:tcBorders>
              <w:top w:val="nil"/>
              <w:left w:val="nil"/>
              <w:bottom w:val="nil"/>
              <w:right w:val="nil"/>
            </w:tcBorders>
            <w:shd w:val="clear" w:color="auto" w:fill="auto"/>
            <w:hideMark/>
          </w:tcPr>
          <w:p w14:paraId="0FC97877"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 Nr. 69 din 07-05-2021 cu privire la aprobarea Documentației standard pentru realizarea achizițiilor publice de lucrări</w:t>
            </w:r>
          </w:p>
        </w:tc>
      </w:tr>
      <w:tr w:rsidR="00C817DC" w:rsidRPr="00650D66" w14:paraId="6AD007FB" w14:textId="77777777" w:rsidTr="00F32C69">
        <w:trPr>
          <w:trHeight w:val="204"/>
        </w:trPr>
        <w:tc>
          <w:tcPr>
            <w:tcW w:w="1276" w:type="dxa"/>
            <w:tcBorders>
              <w:top w:val="nil"/>
              <w:left w:val="nil"/>
              <w:bottom w:val="nil"/>
              <w:right w:val="nil"/>
            </w:tcBorders>
            <w:shd w:val="clear" w:color="auto" w:fill="auto"/>
            <w:hideMark/>
          </w:tcPr>
          <w:p w14:paraId="2A083C7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2019-2021</w:t>
            </w:r>
          </w:p>
        </w:tc>
        <w:tc>
          <w:tcPr>
            <w:tcW w:w="9867" w:type="dxa"/>
            <w:tcBorders>
              <w:top w:val="nil"/>
              <w:left w:val="nil"/>
              <w:bottom w:val="nil"/>
              <w:right w:val="nil"/>
            </w:tcBorders>
            <w:shd w:val="clear" w:color="auto" w:fill="auto"/>
            <w:hideMark/>
          </w:tcPr>
          <w:p w14:paraId="1904DE47" w14:textId="77777777" w:rsidR="00C817DC" w:rsidRPr="00650D66" w:rsidRDefault="00C817DC" w:rsidP="007F7E0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Ordinul MF nr.159 din 26.11.2014 cu privire la aprobarea Documentației de atribuire pentru realizarea achizițiilor publice de produse petroliere </w:t>
            </w:r>
          </w:p>
        </w:tc>
      </w:tr>
      <w:tr w:rsidR="00C817DC" w:rsidRPr="00650D66" w14:paraId="3D9DC2D1" w14:textId="77777777" w:rsidTr="00F32C69">
        <w:trPr>
          <w:trHeight w:val="816"/>
        </w:trPr>
        <w:tc>
          <w:tcPr>
            <w:tcW w:w="1276" w:type="dxa"/>
            <w:tcBorders>
              <w:top w:val="nil"/>
              <w:left w:val="nil"/>
              <w:bottom w:val="nil"/>
              <w:right w:val="nil"/>
            </w:tcBorders>
            <w:shd w:val="clear" w:color="auto" w:fill="auto"/>
            <w:hideMark/>
          </w:tcPr>
          <w:p w14:paraId="49CF1F3F" w14:textId="77777777" w:rsidR="00C817DC" w:rsidRPr="00650D66" w:rsidRDefault="00C817DC" w:rsidP="00C817DC">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2021</w:t>
            </w:r>
          </w:p>
        </w:tc>
        <w:tc>
          <w:tcPr>
            <w:tcW w:w="9867" w:type="dxa"/>
            <w:tcBorders>
              <w:top w:val="nil"/>
              <w:left w:val="nil"/>
              <w:bottom w:val="nil"/>
              <w:right w:val="nil"/>
            </w:tcBorders>
            <w:shd w:val="clear" w:color="auto" w:fill="auto"/>
            <w:hideMark/>
          </w:tcPr>
          <w:p w14:paraId="29EE7F7E"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 113  din 14-09-2021 cu privire la abrogarea Ordinului ministrului finanțelor  nr.84/2016 „Cu privire la aprobarea Documentației standard pentru realizarea achizițiilor publice de bunuri,  servicii și lucrări prin procedura de dialog competitiv”, Ordinului ministrului finanțelor nr.85/2016 „Cu privire la aprobarea Documentației standard pentru realizarea achizițiilor publice de bunuri, servicii și lucrări prin procedura de negociere” și Ordinului ministrului finanțelor nr.159/2014 „Cu privire la aprobarea Documentației  standard pentru realizarea achizițiilor publice  de produse petroliere”</w:t>
            </w:r>
          </w:p>
        </w:tc>
      </w:tr>
      <w:tr w:rsidR="00C817DC" w:rsidRPr="00650D66" w14:paraId="6FFC0170" w14:textId="77777777" w:rsidTr="00F32C69">
        <w:trPr>
          <w:trHeight w:val="204"/>
        </w:trPr>
        <w:tc>
          <w:tcPr>
            <w:tcW w:w="1276" w:type="dxa"/>
            <w:tcBorders>
              <w:top w:val="nil"/>
              <w:left w:val="nil"/>
              <w:bottom w:val="nil"/>
              <w:right w:val="nil"/>
            </w:tcBorders>
            <w:shd w:val="clear" w:color="auto" w:fill="auto"/>
            <w:hideMark/>
          </w:tcPr>
          <w:p w14:paraId="68478EA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2019-2020</w:t>
            </w:r>
          </w:p>
        </w:tc>
        <w:tc>
          <w:tcPr>
            <w:tcW w:w="9867" w:type="dxa"/>
            <w:tcBorders>
              <w:top w:val="nil"/>
              <w:left w:val="nil"/>
              <w:bottom w:val="nil"/>
              <w:right w:val="nil"/>
            </w:tcBorders>
            <w:shd w:val="clear" w:color="auto" w:fill="auto"/>
            <w:hideMark/>
          </w:tcPr>
          <w:p w14:paraId="1C39C9B6"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nr.177 din 09.10.2018 cu privire la aprobarea formularului standard al Documentului unic de achiziții european</w:t>
            </w:r>
          </w:p>
        </w:tc>
      </w:tr>
      <w:tr w:rsidR="00C817DC" w:rsidRPr="00650D66" w14:paraId="599BDC46" w14:textId="77777777" w:rsidTr="00F32C69">
        <w:trPr>
          <w:trHeight w:val="204"/>
        </w:trPr>
        <w:tc>
          <w:tcPr>
            <w:tcW w:w="1276" w:type="dxa"/>
            <w:tcBorders>
              <w:top w:val="nil"/>
              <w:left w:val="nil"/>
              <w:bottom w:val="nil"/>
              <w:right w:val="nil"/>
            </w:tcBorders>
            <w:shd w:val="clear" w:color="auto" w:fill="auto"/>
            <w:hideMark/>
          </w:tcPr>
          <w:p w14:paraId="31D019F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17816211"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 72 din 11-06-2020 cu privire la aprobarea formularului standard al Documentului unic de achiziții European</w:t>
            </w:r>
          </w:p>
        </w:tc>
      </w:tr>
      <w:tr w:rsidR="00C817DC" w:rsidRPr="00650D66" w14:paraId="0456EAF6" w14:textId="77777777" w:rsidTr="00F32C69">
        <w:trPr>
          <w:trHeight w:val="408"/>
        </w:trPr>
        <w:tc>
          <w:tcPr>
            <w:tcW w:w="1276" w:type="dxa"/>
            <w:tcBorders>
              <w:top w:val="nil"/>
              <w:left w:val="nil"/>
              <w:bottom w:val="nil"/>
              <w:right w:val="nil"/>
            </w:tcBorders>
            <w:shd w:val="clear" w:color="auto" w:fill="auto"/>
            <w:hideMark/>
          </w:tcPr>
          <w:p w14:paraId="4B5E48D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B1C362A"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modul de ținere a Registrului de stat al achizițiilor publice format de Sistemul informațional automatizat „Registrul de stat al achizițiilor publice” (</w:t>
            </w:r>
            <w:proofErr w:type="spellStart"/>
            <w:r w:rsidRPr="00650D66">
              <w:rPr>
                <w:rFonts w:ascii="Times New Roman" w:eastAsia="Times New Roman" w:hAnsi="Times New Roman" w:cs="Times New Roman"/>
                <w:color w:val="000000"/>
                <w:sz w:val="20"/>
                <w:szCs w:val="20"/>
                <w:lang w:val="ro-RO"/>
              </w:rPr>
              <w:t>MTender</w:t>
            </w:r>
            <w:proofErr w:type="spellEnd"/>
            <w:r w:rsidRPr="00650D66">
              <w:rPr>
                <w:rFonts w:ascii="Times New Roman" w:eastAsia="Times New Roman" w:hAnsi="Times New Roman" w:cs="Times New Roman"/>
                <w:color w:val="000000"/>
                <w:sz w:val="20"/>
                <w:szCs w:val="20"/>
                <w:lang w:val="ro-RO"/>
              </w:rPr>
              <w:t>), aprobat prin HG nr.986 din 10.10.2018</w:t>
            </w:r>
          </w:p>
        </w:tc>
      </w:tr>
      <w:tr w:rsidR="00C817DC" w:rsidRPr="00650D66" w14:paraId="76C2A8D9" w14:textId="77777777" w:rsidTr="00F32C69">
        <w:trPr>
          <w:trHeight w:val="204"/>
        </w:trPr>
        <w:tc>
          <w:tcPr>
            <w:tcW w:w="1276" w:type="dxa"/>
            <w:tcBorders>
              <w:top w:val="nil"/>
              <w:left w:val="nil"/>
              <w:bottom w:val="nil"/>
              <w:right w:val="nil"/>
            </w:tcBorders>
            <w:shd w:val="clear" w:color="auto" w:fill="auto"/>
            <w:hideMark/>
          </w:tcPr>
          <w:p w14:paraId="1580A30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2FB1E36"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Vocabularul comun al achizițiilor publice (CPV), aprobat prin HG nr.339 din 26.05.2017</w:t>
            </w:r>
          </w:p>
        </w:tc>
      </w:tr>
      <w:tr w:rsidR="00C817DC" w:rsidRPr="00650D66" w14:paraId="71C852EE" w14:textId="77777777" w:rsidTr="00F32C69">
        <w:trPr>
          <w:trHeight w:val="408"/>
        </w:trPr>
        <w:tc>
          <w:tcPr>
            <w:tcW w:w="1276" w:type="dxa"/>
            <w:tcBorders>
              <w:top w:val="nil"/>
              <w:left w:val="nil"/>
              <w:bottom w:val="nil"/>
              <w:right w:val="nil"/>
            </w:tcBorders>
            <w:shd w:val="clear" w:color="auto" w:fill="auto"/>
            <w:hideMark/>
          </w:tcPr>
          <w:p w14:paraId="24D4859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816E7D4"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acreditarea platformelor electronice de achiziții în cadrul Sistemului informațional automatizat „Registrul de stat al achizițiilor publice” (</w:t>
            </w:r>
            <w:proofErr w:type="spellStart"/>
            <w:r w:rsidRPr="00650D66">
              <w:rPr>
                <w:rFonts w:ascii="Times New Roman" w:eastAsia="Times New Roman" w:hAnsi="Times New Roman" w:cs="Times New Roman"/>
                <w:color w:val="000000"/>
                <w:sz w:val="20"/>
                <w:szCs w:val="20"/>
                <w:lang w:val="ro-RO"/>
              </w:rPr>
              <w:t>MTender</w:t>
            </w:r>
            <w:proofErr w:type="spellEnd"/>
            <w:r w:rsidRPr="00650D66">
              <w:rPr>
                <w:rFonts w:ascii="Times New Roman" w:eastAsia="Times New Roman" w:hAnsi="Times New Roman" w:cs="Times New Roman"/>
                <w:color w:val="000000"/>
                <w:sz w:val="20"/>
                <w:szCs w:val="20"/>
                <w:lang w:val="ro-RO"/>
              </w:rPr>
              <w:t>), aprobat prin HG nr.985 din 10.10.2018</w:t>
            </w:r>
          </w:p>
        </w:tc>
      </w:tr>
      <w:tr w:rsidR="00C817DC" w:rsidRPr="00650D66" w14:paraId="2CCD401F" w14:textId="77777777" w:rsidTr="00F32C69">
        <w:trPr>
          <w:trHeight w:val="204"/>
        </w:trPr>
        <w:tc>
          <w:tcPr>
            <w:tcW w:w="1276" w:type="dxa"/>
            <w:tcBorders>
              <w:top w:val="nil"/>
              <w:left w:val="nil"/>
              <w:bottom w:val="nil"/>
              <w:right w:val="nil"/>
            </w:tcBorders>
            <w:shd w:val="clear" w:color="auto" w:fill="auto"/>
            <w:hideMark/>
          </w:tcPr>
          <w:p w14:paraId="2D22670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lastRenderedPageBreak/>
              <w:t>2019-2022</w:t>
            </w:r>
          </w:p>
        </w:tc>
        <w:tc>
          <w:tcPr>
            <w:tcW w:w="9867" w:type="dxa"/>
            <w:tcBorders>
              <w:top w:val="nil"/>
              <w:left w:val="nil"/>
              <w:bottom w:val="nil"/>
              <w:right w:val="nil"/>
            </w:tcBorders>
            <w:shd w:val="clear" w:color="auto" w:fill="auto"/>
            <w:hideMark/>
          </w:tcPr>
          <w:p w14:paraId="1BD7470B"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nr.14 din 26.01.2017 cu privire la aprobarea formularului-tip al Dării de seamă privind procedura de achiziție publică</w:t>
            </w:r>
          </w:p>
        </w:tc>
      </w:tr>
      <w:tr w:rsidR="00C817DC" w:rsidRPr="00650D66" w14:paraId="776814C8" w14:textId="77777777" w:rsidTr="00F32C69">
        <w:trPr>
          <w:trHeight w:val="408"/>
        </w:trPr>
        <w:tc>
          <w:tcPr>
            <w:tcW w:w="1276" w:type="dxa"/>
            <w:tcBorders>
              <w:top w:val="nil"/>
              <w:left w:val="nil"/>
              <w:bottom w:val="nil"/>
              <w:right w:val="nil"/>
            </w:tcBorders>
            <w:shd w:val="clear" w:color="auto" w:fill="auto"/>
            <w:hideMark/>
          </w:tcPr>
          <w:p w14:paraId="5921B7E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7D992687"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Ministrului Finanțelor nr. 145 din 24.11.2020 cu privire la aprobarea Declarației privind confirmarea identității beneficiarilor efectivi și neîncadrarea acestora în situația condamnării pentru participarea la activități ale unei organizații sau grupări criminale, pentru corupție, fraudă și/sau spălare de ban</w:t>
            </w:r>
          </w:p>
        </w:tc>
      </w:tr>
      <w:tr w:rsidR="00C817DC" w:rsidRPr="00650D66" w14:paraId="6F8D2AE4" w14:textId="77777777" w:rsidTr="00F32C69">
        <w:trPr>
          <w:trHeight w:val="408"/>
        </w:trPr>
        <w:tc>
          <w:tcPr>
            <w:tcW w:w="1276" w:type="dxa"/>
            <w:tcBorders>
              <w:top w:val="nil"/>
              <w:left w:val="nil"/>
              <w:bottom w:val="nil"/>
              <w:right w:val="nil"/>
            </w:tcBorders>
            <w:shd w:val="clear" w:color="auto" w:fill="auto"/>
            <w:hideMark/>
          </w:tcPr>
          <w:p w14:paraId="6EF233B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5CB6E572"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Ordinul Ministrului Finanțelor nr. 105 din 12.08.2020 cu privire la aprobarea </w:t>
            </w:r>
            <w:r w:rsidR="001C53DA" w:rsidRPr="00650D66">
              <w:rPr>
                <w:rFonts w:ascii="Times New Roman" w:eastAsia="Times New Roman" w:hAnsi="Times New Roman" w:cs="Times New Roman"/>
                <w:color w:val="000000"/>
                <w:sz w:val="20"/>
                <w:szCs w:val="20"/>
                <w:lang w:val="ro-RO"/>
              </w:rPr>
              <w:t>Instrucțiunii</w:t>
            </w:r>
            <w:r w:rsidRPr="00650D66">
              <w:rPr>
                <w:rFonts w:ascii="Times New Roman" w:eastAsia="Times New Roman" w:hAnsi="Times New Roman" w:cs="Times New Roman"/>
                <w:color w:val="000000"/>
                <w:sz w:val="20"/>
                <w:szCs w:val="20"/>
                <w:lang w:val="ro-RO"/>
              </w:rPr>
              <w:t xml:space="preserve"> privind modalitatea, condițiile și procedura de organizare și desfășurare a consultării pieței în vederea pregătirii achiziției publice</w:t>
            </w:r>
          </w:p>
        </w:tc>
      </w:tr>
      <w:tr w:rsidR="00C817DC" w:rsidRPr="00650D66" w14:paraId="3B0921AA" w14:textId="77777777" w:rsidTr="00F32C69">
        <w:trPr>
          <w:trHeight w:val="204"/>
        </w:trPr>
        <w:tc>
          <w:tcPr>
            <w:tcW w:w="1276" w:type="dxa"/>
            <w:tcBorders>
              <w:top w:val="nil"/>
              <w:left w:val="nil"/>
              <w:bottom w:val="nil"/>
              <w:right w:val="nil"/>
            </w:tcBorders>
            <w:shd w:val="clear" w:color="auto" w:fill="auto"/>
            <w:hideMark/>
          </w:tcPr>
          <w:p w14:paraId="15B35CE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1D009963"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694 din 23-09-2020 pentru aprobarea Regulamentului cu privire la acordul-cadru ca modalitate specială de atribuire a contractelor de achiziții publice</w:t>
            </w:r>
          </w:p>
        </w:tc>
      </w:tr>
      <w:tr w:rsidR="00C817DC" w:rsidRPr="00650D66" w14:paraId="0E179488" w14:textId="77777777" w:rsidTr="00F32C69">
        <w:trPr>
          <w:trHeight w:val="204"/>
        </w:trPr>
        <w:tc>
          <w:tcPr>
            <w:tcW w:w="1276" w:type="dxa"/>
            <w:tcBorders>
              <w:top w:val="nil"/>
              <w:left w:val="nil"/>
              <w:bottom w:val="nil"/>
              <w:right w:val="nil"/>
            </w:tcBorders>
            <w:shd w:val="clear" w:color="auto" w:fill="auto"/>
            <w:hideMark/>
          </w:tcPr>
          <w:p w14:paraId="685D412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C99A9E5"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nr.157 din 14.09.2018 cu privire la aprobarea Programului de utilizare experimentală a Sistemului Informațional Automatizat „Registrul de stat al achizițiilor publice” (</w:t>
            </w:r>
            <w:proofErr w:type="spellStart"/>
            <w:r w:rsidRPr="00650D66">
              <w:rPr>
                <w:rFonts w:ascii="Times New Roman" w:eastAsia="Times New Roman" w:hAnsi="Times New Roman" w:cs="Times New Roman"/>
                <w:color w:val="000000"/>
                <w:sz w:val="20"/>
                <w:szCs w:val="20"/>
                <w:lang w:val="ro-RO"/>
              </w:rPr>
              <w:t>MTender</w:t>
            </w:r>
            <w:proofErr w:type="spellEnd"/>
            <w:r w:rsidRPr="00650D66">
              <w:rPr>
                <w:rFonts w:ascii="Times New Roman" w:eastAsia="Times New Roman" w:hAnsi="Times New Roman" w:cs="Times New Roman"/>
                <w:color w:val="000000"/>
                <w:sz w:val="20"/>
                <w:szCs w:val="20"/>
                <w:lang w:val="ro-RO"/>
              </w:rPr>
              <w:t>)</w:t>
            </w:r>
          </w:p>
        </w:tc>
      </w:tr>
      <w:tr w:rsidR="00C817DC" w:rsidRPr="00650D66" w14:paraId="61A417EC" w14:textId="77777777" w:rsidTr="00F32C69">
        <w:trPr>
          <w:trHeight w:val="204"/>
        </w:trPr>
        <w:tc>
          <w:tcPr>
            <w:tcW w:w="1276" w:type="dxa"/>
            <w:tcBorders>
              <w:top w:val="nil"/>
              <w:left w:val="nil"/>
              <w:bottom w:val="nil"/>
              <w:right w:val="nil"/>
            </w:tcBorders>
            <w:shd w:val="clear" w:color="auto" w:fill="auto"/>
            <w:hideMark/>
          </w:tcPr>
          <w:p w14:paraId="39A9CCD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2235C98"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MF nr.18 din 20.06.2016 cu privire la aprobarea Regulamentului cu privire la utilizarea Sistemului Informațional Automatizat „Registrul de stat al achizițiilor publice” (SIA RSAP)</w:t>
            </w:r>
          </w:p>
        </w:tc>
      </w:tr>
      <w:tr w:rsidR="00C817DC" w:rsidRPr="00650D66" w14:paraId="3E2BA272" w14:textId="77777777" w:rsidTr="00F32C69">
        <w:trPr>
          <w:trHeight w:val="408"/>
        </w:trPr>
        <w:tc>
          <w:tcPr>
            <w:tcW w:w="1276" w:type="dxa"/>
            <w:tcBorders>
              <w:top w:val="nil"/>
              <w:left w:val="nil"/>
              <w:bottom w:val="nil"/>
              <w:right w:val="nil"/>
            </w:tcBorders>
            <w:shd w:val="clear" w:color="auto" w:fill="auto"/>
            <w:hideMark/>
          </w:tcPr>
          <w:p w14:paraId="6F36975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C59DACD"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(nr.335 din 28.11.2018)</w:t>
            </w:r>
          </w:p>
        </w:tc>
      </w:tr>
      <w:tr w:rsidR="00C817DC" w:rsidRPr="00650D66" w14:paraId="7998F582" w14:textId="77777777" w:rsidTr="00F32C69">
        <w:trPr>
          <w:trHeight w:val="204"/>
        </w:trPr>
        <w:tc>
          <w:tcPr>
            <w:tcW w:w="1276" w:type="dxa"/>
            <w:tcBorders>
              <w:top w:val="nil"/>
              <w:left w:val="nil"/>
              <w:bottom w:val="nil"/>
              <w:right w:val="nil"/>
            </w:tcBorders>
            <w:shd w:val="clear" w:color="auto" w:fill="auto"/>
            <w:hideMark/>
          </w:tcPr>
          <w:p w14:paraId="2B03BD3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w:t>
            </w:r>
          </w:p>
        </w:tc>
        <w:tc>
          <w:tcPr>
            <w:tcW w:w="9867" w:type="dxa"/>
            <w:tcBorders>
              <w:top w:val="nil"/>
              <w:left w:val="nil"/>
              <w:bottom w:val="nil"/>
              <w:right w:val="nil"/>
            </w:tcBorders>
            <w:shd w:val="clear" w:color="auto" w:fill="auto"/>
            <w:hideMark/>
          </w:tcPr>
          <w:p w14:paraId="497DC91B"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BNM cu privire la grupul de lucru pentru achiziții nr.169 din 16.06.2017, abrogat prin Ordinul 335 din 18.11.2019</w:t>
            </w:r>
          </w:p>
        </w:tc>
      </w:tr>
      <w:tr w:rsidR="00C817DC" w:rsidRPr="00650D66" w14:paraId="3A89CE31" w14:textId="77777777" w:rsidTr="00F32C69">
        <w:trPr>
          <w:trHeight w:val="408"/>
        </w:trPr>
        <w:tc>
          <w:tcPr>
            <w:tcW w:w="1276" w:type="dxa"/>
            <w:tcBorders>
              <w:top w:val="nil"/>
              <w:left w:val="nil"/>
              <w:bottom w:val="nil"/>
              <w:right w:val="nil"/>
            </w:tcBorders>
            <w:shd w:val="clear" w:color="auto" w:fill="auto"/>
            <w:hideMark/>
          </w:tcPr>
          <w:p w14:paraId="7C0F813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9DD516D"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BNM Privind crearea grupurilor de lucru  pentru achiziții nr. 335 din 18.11.2019 cu modificările ulterioare (cu modificările introduse prin Ordinul nr.81 din 05.05.2021, / Ordinul nr.217 din 12.11.2021,/  Ordinul nr.420 din 28.11.2022/Ordinul nr.99 din 02.03.2023)</w:t>
            </w:r>
          </w:p>
        </w:tc>
      </w:tr>
      <w:tr w:rsidR="00C817DC" w:rsidRPr="00650D66" w14:paraId="299B3A51" w14:textId="77777777" w:rsidTr="00F32C69">
        <w:trPr>
          <w:trHeight w:val="408"/>
        </w:trPr>
        <w:tc>
          <w:tcPr>
            <w:tcW w:w="1276" w:type="dxa"/>
            <w:tcBorders>
              <w:top w:val="nil"/>
              <w:left w:val="nil"/>
              <w:bottom w:val="nil"/>
              <w:right w:val="nil"/>
            </w:tcBorders>
            <w:shd w:val="clear" w:color="auto" w:fill="auto"/>
            <w:hideMark/>
          </w:tcPr>
          <w:p w14:paraId="53B7F090" w14:textId="77777777" w:rsidR="00C817DC" w:rsidRPr="00650D66" w:rsidRDefault="00C817DC" w:rsidP="00C817DC">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w:t>
            </w:r>
          </w:p>
        </w:tc>
        <w:tc>
          <w:tcPr>
            <w:tcW w:w="9867" w:type="dxa"/>
            <w:tcBorders>
              <w:top w:val="nil"/>
              <w:left w:val="nil"/>
              <w:bottom w:val="nil"/>
              <w:right w:val="nil"/>
            </w:tcBorders>
            <w:shd w:val="clear" w:color="auto" w:fill="auto"/>
            <w:hideMark/>
          </w:tcPr>
          <w:p w14:paraId="52949815"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BNM privind crearea comisiei pentru examinarea și vizarea proiectelor contractelor de achiziții ale bunurilor, lucrărilor și serviciilor nr.243 din 19.09.2011, nr.168 din 16.06.2017</w:t>
            </w:r>
          </w:p>
        </w:tc>
      </w:tr>
      <w:tr w:rsidR="00C817DC" w:rsidRPr="00650D66" w14:paraId="3EC6F8A6" w14:textId="77777777" w:rsidTr="00F32C69">
        <w:trPr>
          <w:trHeight w:val="204"/>
        </w:trPr>
        <w:tc>
          <w:tcPr>
            <w:tcW w:w="1276" w:type="dxa"/>
            <w:tcBorders>
              <w:top w:val="nil"/>
              <w:left w:val="nil"/>
              <w:bottom w:val="nil"/>
              <w:right w:val="nil"/>
            </w:tcBorders>
            <w:shd w:val="clear" w:color="auto" w:fill="auto"/>
            <w:hideMark/>
          </w:tcPr>
          <w:p w14:paraId="4319035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1A269F0"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Ordine ale Guvernatorului privind crearea grupurilor de lucru pentru proiecte/achiziții specifice (de ex. Auditul Extern)</w:t>
            </w:r>
          </w:p>
        </w:tc>
      </w:tr>
      <w:tr w:rsidR="00C817DC" w:rsidRPr="00650D66" w14:paraId="0F7978D6" w14:textId="77777777" w:rsidTr="00F32C69">
        <w:trPr>
          <w:trHeight w:val="204"/>
        </w:trPr>
        <w:tc>
          <w:tcPr>
            <w:tcW w:w="1276" w:type="dxa"/>
            <w:tcBorders>
              <w:top w:val="nil"/>
              <w:left w:val="nil"/>
              <w:bottom w:val="nil"/>
              <w:right w:val="nil"/>
            </w:tcBorders>
            <w:shd w:val="clear" w:color="auto" w:fill="auto"/>
            <w:hideMark/>
          </w:tcPr>
          <w:p w14:paraId="723DD7B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9885D8B"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Diverse circulare ale Ministerului Finanțelor pe domeniul achizițiilor publice </w:t>
            </w:r>
          </w:p>
        </w:tc>
      </w:tr>
      <w:tr w:rsidR="00C817DC" w:rsidRPr="00650D66" w14:paraId="2EA00456" w14:textId="77777777" w:rsidTr="00F32C69">
        <w:trPr>
          <w:trHeight w:val="204"/>
        </w:trPr>
        <w:tc>
          <w:tcPr>
            <w:tcW w:w="1276" w:type="dxa"/>
            <w:tcBorders>
              <w:top w:val="nil"/>
              <w:left w:val="nil"/>
              <w:bottom w:val="nil"/>
              <w:right w:val="nil"/>
            </w:tcBorders>
            <w:shd w:val="clear" w:color="auto" w:fill="auto"/>
            <w:hideMark/>
          </w:tcPr>
          <w:p w14:paraId="421D6D5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DF80335"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209 din 29.07.2016 privind deșeurile</w:t>
            </w:r>
          </w:p>
        </w:tc>
      </w:tr>
      <w:tr w:rsidR="00C817DC" w:rsidRPr="00650D66" w14:paraId="04F292BD" w14:textId="77777777" w:rsidTr="00F32C69">
        <w:trPr>
          <w:trHeight w:val="204"/>
        </w:trPr>
        <w:tc>
          <w:tcPr>
            <w:tcW w:w="1276" w:type="dxa"/>
            <w:tcBorders>
              <w:top w:val="nil"/>
              <w:left w:val="nil"/>
              <w:bottom w:val="nil"/>
              <w:right w:val="nil"/>
            </w:tcBorders>
            <w:shd w:val="clear" w:color="auto" w:fill="auto"/>
            <w:hideMark/>
          </w:tcPr>
          <w:p w14:paraId="4BD3294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EE3D1BF"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HG 212 din 07.03.2018 Regulamentul privind deșeurile de echipamente electrice și electronice</w:t>
            </w:r>
          </w:p>
        </w:tc>
      </w:tr>
      <w:tr w:rsidR="00C817DC" w:rsidRPr="00650D66" w14:paraId="5DED0D11" w14:textId="77777777" w:rsidTr="00F32C69">
        <w:trPr>
          <w:trHeight w:val="204"/>
        </w:trPr>
        <w:tc>
          <w:tcPr>
            <w:tcW w:w="1276" w:type="dxa"/>
            <w:tcBorders>
              <w:top w:val="nil"/>
              <w:left w:val="nil"/>
              <w:bottom w:val="nil"/>
              <w:right w:val="nil"/>
            </w:tcBorders>
            <w:shd w:val="clear" w:color="auto" w:fill="auto"/>
            <w:hideMark/>
          </w:tcPr>
          <w:p w14:paraId="68F403FF"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44A3556"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691 Realizarea achizițiilor</w:t>
            </w:r>
          </w:p>
        </w:tc>
      </w:tr>
      <w:tr w:rsidR="00C817DC" w:rsidRPr="00650D66" w14:paraId="3B82AC74" w14:textId="77777777" w:rsidTr="00F32C69">
        <w:trPr>
          <w:trHeight w:val="204"/>
        </w:trPr>
        <w:tc>
          <w:tcPr>
            <w:tcW w:w="1276" w:type="dxa"/>
            <w:tcBorders>
              <w:top w:val="nil"/>
              <w:left w:val="nil"/>
              <w:bottom w:val="nil"/>
              <w:right w:val="nil"/>
            </w:tcBorders>
            <w:shd w:val="clear" w:color="auto" w:fill="auto"/>
            <w:hideMark/>
          </w:tcPr>
          <w:p w14:paraId="6A1B238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E2E265E"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699 Elaborarea, monitorizarea și raportarea exe</w:t>
            </w:r>
            <w:r w:rsidR="009C4368" w:rsidRPr="00650D66">
              <w:rPr>
                <w:rFonts w:ascii="Times New Roman" w:eastAsia="Times New Roman" w:hAnsi="Times New Roman" w:cs="Times New Roman"/>
                <w:color w:val="000000"/>
                <w:sz w:val="20"/>
                <w:szCs w:val="20"/>
                <w:lang w:val="ro-RO"/>
              </w:rPr>
              <w:t>cutării Planului de achiziții</w:t>
            </w:r>
          </w:p>
        </w:tc>
      </w:tr>
      <w:tr w:rsidR="00C817DC" w:rsidRPr="00650D66" w14:paraId="13EE4A19" w14:textId="77777777" w:rsidTr="00F32C69">
        <w:trPr>
          <w:trHeight w:val="204"/>
        </w:trPr>
        <w:tc>
          <w:tcPr>
            <w:tcW w:w="1276" w:type="dxa"/>
            <w:tcBorders>
              <w:top w:val="nil"/>
              <w:left w:val="nil"/>
              <w:bottom w:val="nil"/>
              <w:right w:val="nil"/>
            </w:tcBorders>
            <w:shd w:val="clear" w:color="auto" w:fill="auto"/>
            <w:hideMark/>
          </w:tcPr>
          <w:p w14:paraId="1F1EC2D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A25B71A"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cu privire la prevenirea și combaterea spălării banilor și finanțării terorismului în cadrul operațiunilor efectuate de Banca Națională a Moldovei, HCE, Nr.48 din 16.02.2017</w:t>
            </w:r>
          </w:p>
        </w:tc>
      </w:tr>
      <w:tr w:rsidR="00C817DC" w:rsidRPr="00650D66" w14:paraId="61FB5597" w14:textId="77777777" w:rsidTr="00F32C69">
        <w:trPr>
          <w:trHeight w:val="204"/>
        </w:trPr>
        <w:tc>
          <w:tcPr>
            <w:tcW w:w="1276" w:type="dxa"/>
            <w:tcBorders>
              <w:top w:val="nil"/>
              <w:left w:val="nil"/>
              <w:bottom w:val="nil"/>
              <w:right w:val="nil"/>
            </w:tcBorders>
            <w:shd w:val="clear" w:color="auto" w:fill="auto"/>
            <w:hideMark/>
          </w:tcPr>
          <w:p w14:paraId="379D590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2A6E3BD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noProof/>
                <w:color w:val="000000"/>
                <w:sz w:val="20"/>
                <w:szCs w:val="20"/>
                <w:lang w:val="en-US"/>
              </w:rPr>
              <w:drawing>
                <wp:anchor distT="0" distB="0" distL="114300" distR="114300" simplePos="0" relativeHeight="251659264" behindDoc="0" locked="0" layoutInCell="1" allowOverlap="1" wp14:anchorId="496DADE4" wp14:editId="0FB4D487">
                  <wp:simplePos x="0" y="0"/>
                  <wp:positionH relativeFrom="column">
                    <wp:posOffset>0</wp:posOffset>
                  </wp:positionH>
                  <wp:positionV relativeFrom="paragraph">
                    <wp:posOffset>0</wp:posOffset>
                  </wp:positionV>
                  <wp:extent cx="7620" cy="15240"/>
                  <wp:effectExtent l="0" t="0" r="0" b="0"/>
                  <wp:wrapNone/>
                  <wp:docPr id="6" name="Picture 6" descr="http://sgci.lan.bnm.md/scripts/dojolib/dojo/resources/blank.gif">
                    <a:extLst xmlns:a="http://schemas.openxmlformats.org/drawingml/2006/main">
                      <a:ext uri="{FF2B5EF4-FFF2-40B4-BE49-F238E27FC236}">
                        <a16:creationId xmlns:a16="http://schemas.microsoft.com/office/drawing/2014/main" id="{0DE9B5B0-3F18-7B97-EC9C-F4B90724026E}"/>
                      </a:ext>
                    </a:extLst>
                  </wp:docPr>
                  <wp:cNvGraphicFramePr/>
                  <a:graphic xmlns:a="http://schemas.openxmlformats.org/drawingml/2006/main">
                    <a:graphicData uri="http://schemas.openxmlformats.org/drawingml/2006/picture">
                      <pic:pic xmlns:pic="http://schemas.openxmlformats.org/drawingml/2006/picture">
                        <pic:nvPicPr>
                          <pic:cNvPr id="2" name="Picture 1" descr="http://sgci.lan.bnm.md/scripts/dojolib/dojo/resources/blank.gif">
                            <a:extLst>
                              <a:ext uri="{FF2B5EF4-FFF2-40B4-BE49-F238E27FC236}">
                                <a16:creationId xmlns:a16="http://schemas.microsoft.com/office/drawing/2014/main" id="{0DE9B5B0-3F18-7B97-EC9C-F4B90724026E}"/>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C817DC" w:rsidRPr="00650D66" w14:paraId="23DE5A96" w14:textId="77777777" w:rsidTr="00F32C69">
        <w:trPr>
          <w:trHeight w:val="204"/>
        </w:trPr>
        <w:tc>
          <w:tcPr>
            <w:tcW w:w="11141" w:type="dxa"/>
            <w:gridSpan w:val="2"/>
            <w:tcBorders>
              <w:top w:val="nil"/>
              <w:left w:val="nil"/>
              <w:bottom w:val="nil"/>
              <w:right w:val="nil"/>
            </w:tcBorders>
            <w:shd w:val="clear" w:color="auto" w:fill="auto"/>
            <w:noWrap/>
            <w:hideMark/>
          </w:tcPr>
          <w:p w14:paraId="020F6690"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și achiziții în domeniul tehnologiilor informaționale și securității informaționale</w:t>
            </w:r>
          </w:p>
        </w:tc>
      </w:tr>
      <w:tr w:rsidR="00C817DC" w:rsidRPr="00650D66" w14:paraId="408F3DD2" w14:textId="77777777" w:rsidTr="00F32C69">
        <w:trPr>
          <w:trHeight w:val="204"/>
        </w:trPr>
        <w:tc>
          <w:tcPr>
            <w:tcW w:w="1276" w:type="dxa"/>
            <w:tcBorders>
              <w:top w:val="nil"/>
              <w:left w:val="nil"/>
              <w:bottom w:val="nil"/>
              <w:right w:val="nil"/>
            </w:tcBorders>
            <w:shd w:val="clear" w:color="auto" w:fill="auto"/>
            <w:hideMark/>
          </w:tcPr>
          <w:p w14:paraId="2445EFC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A0C9A7C"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Națională a Moldovei nr.548-XIII din 21.07.1995, cu modificările ulterioare</w:t>
            </w:r>
          </w:p>
        </w:tc>
      </w:tr>
      <w:tr w:rsidR="00C817DC" w:rsidRPr="00650D66" w14:paraId="1441D924" w14:textId="77777777" w:rsidTr="00F32C69">
        <w:trPr>
          <w:trHeight w:val="204"/>
        </w:trPr>
        <w:tc>
          <w:tcPr>
            <w:tcW w:w="1276" w:type="dxa"/>
            <w:tcBorders>
              <w:top w:val="nil"/>
              <w:left w:val="nil"/>
              <w:bottom w:val="nil"/>
              <w:right w:val="nil"/>
            </w:tcBorders>
            <w:shd w:val="clear" w:color="auto" w:fill="auto"/>
            <w:hideMark/>
          </w:tcPr>
          <w:p w14:paraId="524372A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092A147"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234 din 03-10-2016 cu privire la Depozitarul central unic al valorilor mobiliare</w:t>
            </w:r>
          </w:p>
        </w:tc>
      </w:tr>
      <w:tr w:rsidR="00C817DC" w:rsidRPr="00650D66" w14:paraId="3244E23D" w14:textId="77777777" w:rsidTr="00F32C69">
        <w:trPr>
          <w:trHeight w:val="204"/>
        </w:trPr>
        <w:tc>
          <w:tcPr>
            <w:tcW w:w="1276" w:type="dxa"/>
            <w:tcBorders>
              <w:top w:val="nil"/>
              <w:left w:val="nil"/>
              <w:bottom w:val="nil"/>
              <w:right w:val="nil"/>
            </w:tcBorders>
            <w:shd w:val="clear" w:color="auto" w:fill="auto"/>
            <w:hideMark/>
          </w:tcPr>
          <w:p w14:paraId="3D34045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F971673"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Politica Băncii Naționale a Moldovei cu privire la Tehnologia Informației și Comunicațiilor</w:t>
            </w:r>
          </w:p>
        </w:tc>
      </w:tr>
      <w:tr w:rsidR="00C817DC" w:rsidRPr="00650D66" w14:paraId="5EA19810" w14:textId="77777777" w:rsidTr="00F32C69">
        <w:trPr>
          <w:trHeight w:val="204"/>
        </w:trPr>
        <w:tc>
          <w:tcPr>
            <w:tcW w:w="1276" w:type="dxa"/>
            <w:tcBorders>
              <w:top w:val="nil"/>
              <w:left w:val="nil"/>
              <w:bottom w:val="nil"/>
              <w:right w:val="nil"/>
            </w:tcBorders>
            <w:shd w:val="clear" w:color="auto" w:fill="auto"/>
            <w:hideMark/>
          </w:tcPr>
          <w:p w14:paraId="17A81B4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72C03FC"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cu privire la gestiunea Tehnologiei Informației și Comunicațiilor în cadrul Băncii Naționale a Moldovei, HCE, Nr.59 din 28.03.2018</w:t>
            </w:r>
          </w:p>
        </w:tc>
      </w:tr>
      <w:tr w:rsidR="00C817DC" w:rsidRPr="00650D66" w14:paraId="772DACF6" w14:textId="77777777" w:rsidTr="00F32C69">
        <w:trPr>
          <w:trHeight w:val="204"/>
        </w:trPr>
        <w:tc>
          <w:tcPr>
            <w:tcW w:w="1276" w:type="dxa"/>
            <w:tcBorders>
              <w:top w:val="nil"/>
              <w:left w:val="nil"/>
              <w:bottom w:val="nil"/>
              <w:right w:val="nil"/>
            </w:tcBorders>
            <w:shd w:val="clear" w:color="auto" w:fill="auto"/>
            <w:hideMark/>
          </w:tcPr>
          <w:p w14:paraId="78537C8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5DCEAEF"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114 din 18-05-2012 cu privire la serviciile de plată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moneda electronică</w:t>
            </w:r>
          </w:p>
        </w:tc>
      </w:tr>
      <w:tr w:rsidR="00C817DC" w:rsidRPr="00650D66" w14:paraId="2E4B6B79" w14:textId="77777777" w:rsidTr="00F32C69">
        <w:trPr>
          <w:trHeight w:val="204"/>
        </w:trPr>
        <w:tc>
          <w:tcPr>
            <w:tcW w:w="1276" w:type="dxa"/>
            <w:tcBorders>
              <w:top w:val="nil"/>
              <w:left w:val="nil"/>
              <w:bottom w:val="nil"/>
              <w:right w:val="nil"/>
            </w:tcBorders>
            <w:shd w:val="clear" w:color="auto" w:fill="auto"/>
            <w:hideMark/>
          </w:tcPr>
          <w:p w14:paraId="2E5146E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F1A480F"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 internaționale în domeniul tehnologii informaționale</w:t>
            </w:r>
          </w:p>
        </w:tc>
      </w:tr>
      <w:tr w:rsidR="00C817DC" w:rsidRPr="00650D66" w14:paraId="6E0687FB" w14:textId="77777777" w:rsidTr="00F32C69">
        <w:trPr>
          <w:trHeight w:val="204"/>
        </w:trPr>
        <w:tc>
          <w:tcPr>
            <w:tcW w:w="1276" w:type="dxa"/>
            <w:tcBorders>
              <w:top w:val="nil"/>
              <w:left w:val="nil"/>
              <w:bottom w:val="nil"/>
              <w:right w:val="nil"/>
            </w:tcBorders>
            <w:shd w:val="clear" w:color="auto" w:fill="auto"/>
            <w:hideMark/>
          </w:tcPr>
          <w:p w14:paraId="1E66DCE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B351228"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nr. 209 din 29.07.2016 privind deșeurile</w:t>
            </w:r>
          </w:p>
        </w:tc>
      </w:tr>
      <w:tr w:rsidR="00C817DC" w:rsidRPr="00650D66" w14:paraId="6762EF01" w14:textId="77777777" w:rsidTr="00F32C69">
        <w:trPr>
          <w:trHeight w:val="204"/>
        </w:trPr>
        <w:tc>
          <w:tcPr>
            <w:tcW w:w="1276" w:type="dxa"/>
            <w:tcBorders>
              <w:top w:val="nil"/>
              <w:left w:val="nil"/>
              <w:bottom w:val="nil"/>
              <w:right w:val="nil"/>
            </w:tcBorders>
            <w:shd w:val="clear" w:color="auto" w:fill="auto"/>
            <w:hideMark/>
          </w:tcPr>
          <w:p w14:paraId="0B9BA75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D6F7185"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cu privire la gestionarea Paginii-web oficiale a Băncii Naționale a Moldovei</w:t>
            </w:r>
          </w:p>
        </w:tc>
      </w:tr>
      <w:tr w:rsidR="00C817DC" w:rsidRPr="00650D66" w14:paraId="1372BB57" w14:textId="77777777" w:rsidTr="00F32C69">
        <w:trPr>
          <w:trHeight w:val="204"/>
        </w:trPr>
        <w:tc>
          <w:tcPr>
            <w:tcW w:w="1276" w:type="dxa"/>
            <w:tcBorders>
              <w:top w:val="nil"/>
              <w:left w:val="nil"/>
              <w:bottom w:val="nil"/>
              <w:right w:val="nil"/>
            </w:tcBorders>
            <w:shd w:val="clear" w:color="auto" w:fill="auto"/>
            <w:hideMark/>
          </w:tcPr>
          <w:p w14:paraId="5977E49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6789258F" w14:textId="77777777" w:rsidR="00C817DC" w:rsidRPr="00650D66" w:rsidRDefault="00C817DC" w:rsidP="00011876">
            <w:pPr>
              <w:spacing w:after="0" w:line="240" w:lineRule="auto"/>
              <w:jc w:val="both"/>
              <w:rPr>
                <w:rFonts w:ascii="Times New Roman" w:eastAsia="Times New Roman" w:hAnsi="Times New Roman" w:cs="Times New Roman"/>
                <w:sz w:val="20"/>
                <w:szCs w:val="20"/>
                <w:lang w:val="ro-RO"/>
              </w:rPr>
            </w:pPr>
          </w:p>
        </w:tc>
      </w:tr>
      <w:tr w:rsidR="00C817DC" w:rsidRPr="00650D66" w14:paraId="0E694E71" w14:textId="77777777" w:rsidTr="00F32C69">
        <w:trPr>
          <w:trHeight w:val="408"/>
        </w:trPr>
        <w:tc>
          <w:tcPr>
            <w:tcW w:w="1276" w:type="dxa"/>
            <w:tcBorders>
              <w:top w:val="nil"/>
              <w:left w:val="nil"/>
              <w:bottom w:val="nil"/>
              <w:right w:val="nil"/>
            </w:tcBorders>
            <w:shd w:val="clear" w:color="auto" w:fill="auto"/>
            <w:hideMark/>
          </w:tcPr>
          <w:p w14:paraId="3389AAA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364D5C2"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Proceduri și norme aprobate la nivel de șef de subdiviziune privind gestiunea resurselor informaționale (de ex. privind monitorizarea resurselor informaționale, gestiunea incidentelor, norme de gestiune a stațiilor de lucru</w:t>
            </w:r>
          </w:p>
        </w:tc>
      </w:tr>
      <w:tr w:rsidR="00C817DC" w:rsidRPr="00650D66" w14:paraId="19DEB93A" w14:textId="77777777" w:rsidTr="00F32C69">
        <w:trPr>
          <w:trHeight w:val="204"/>
        </w:trPr>
        <w:tc>
          <w:tcPr>
            <w:tcW w:w="1276" w:type="dxa"/>
            <w:tcBorders>
              <w:top w:val="nil"/>
              <w:left w:val="nil"/>
              <w:bottom w:val="nil"/>
              <w:right w:val="nil"/>
            </w:tcBorders>
            <w:shd w:val="clear" w:color="auto" w:fill="auto"/>
            <w:hideMark/>
          </w:tcPr>
          <w:p w14:paraId="78F30C2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vAlign w:val="bottom"/>
            <w:hideMark/>
          </w:tcPr>
          <w:p w14:paraId="1F2642D5" w14:textId="77777777" w:rsidR="00C817DC" w:rsidRPr="00650D66" w:rsidRDefault="00C817DC" w:rsidP="00011876">
            <w:pPr>
              <w:spacing w:after="0" w:line="240" w:lineRule="auto"/>
              <w:jc w:val="both"/>
              <w:rPr>
                <w:rFonts w:ascii="Times New Roman" w:eastAsia="Times New Roman" w:hAnsi="Times New Roman" w:cs="Times New Roman"/>
                <w:sz w:val="20"/>
                <w:szCs w:val="20"/>
                <w:lang w:val="ro-RO"/>
              </w:rPr>
            </w:pPr>
          </w:p>
        </w:tc>
      </w:tr>
      <w:tr w:rsidR="00C817DC" w:rsidRPr="00650D66" w14:paraId="1039A77A" w14:textId="77777777" w:rsidTr="00F32C69">
        <w:trPr>
          <w:trHeight w:val="204"/>
        </w:trPr>
        <w:tc>
          <w:tcPr>
            <w:tcW w:w="1276" w:type="dxa"/>
            <w:tcBorders>
              <w:top w:val="nil"/>
              <w:left w:val="nil"/>
              <w:bottom w:val="nil"/>
              <w:right w:val="nil"/>
            </w:tcBorders>
            <w:shd w:val="clear" w:color="auto" w:fill="auto"/>
            <w:hideMark/>
          </w:tcPr>
          <w:p w14:paraId="1074A35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vAlign w:val="bottom"/>
            <w:hideMark/>
          </w:tcPr>
          <w:p w14:paraId="65ABF096"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Politica de securitate a </w:t>
            </w:r>
            <w:r w:rsidR="00661CA9" w:rsidRPr="00650D66">
              <w:rPr>
                <w:rFonts w:ascii="Times New Roman" w:eastAsia="Times New Roman" w:hAnsi="Times New Roman" w:cs="Times New Roman"/>
                <w:color w:val="000000"/>
                <w:sz w:val="20"/>
                <w:szCs w:val="20"/>
                <w:lang w:val="ro-RO"/>
              </w:rPr>
              <w:t>informației</w:t>
            </w:r>
            <w:r w:rsidRPr="00650D66">
              <w:rPr>
                <w:rFonts w:ascii="Times New Roman" w:eastAsia="Times New Roman" w:hAnsi="Times New Roman" w:cs="Times New Roman"/>
                <w:color w:val="000000"/>
                <w:sz w:val="20"/>
                <w:szCs w:val="20"/>
                <w:lang w:val="ro-RO"/>
              </w:rPr>
              <w:t xml:space="preserve"> a Băncii </w:t>
            </w:r>
            <w:r w:rsidR="00661CA9" w:rsidRPr="00650D66">
              <w:rPr>
                <w:rFonts w:ascii="Times New Roman" w:eastAsia="Times New Roman" w:hAnsi="Times New Roman" w:cs="Times New Roman"/>
                <w:color w:val="000000"/>
                <w:sz w:val="20"/>
                <w:szCs w:val="20"/>
                <w:lang w:val="ro-RO"/>
              </w:rPr>
              <w:t>Naționale</w:t>
            </w:r>
            <w:r w:rsidR="005C42A1" w:rsidRPr="00650D66">
              <w:rPr>
                <w:rFonts w:ascii="Times New Roman" w:eastAsia="Times New Roman" w:hAnsi="Times New Roman" w:cs="Times New Roman"/>
                <w:color w:val="000000"/>
                <w:sz w:val="20"/>
                <w:szCs w:val="20"/>
                <w:lang w:val="ro-RO"/>
              </w:rPr>
              <w:t xml:space="preserve"> a Moldovei</w:t>
            </w:r>
            <w:r w:rsidRPr="00650D66">
              <w:rPr>
                <w:rFonts w:ascii="Times New Roman" w:eastAsia="Times New Roman" w:hAnsi="Times New Roman" w:cs="Times New Roman"/>
                <w:color w:val="000000"/>
                <w:sz w:val="20"/>
                <w:szCs w:val="20"/>
                <w:lang w:val="ro-RO"/>
              </w:rPr>
              <w:t xml:space="preserve"> HCS, Nr.22 din 27.07.2020</w:t>
            </w:r>
          </w:p>
        </w:tc>
      </w:tr>
      <w:tr w:rsidR="00C817DC" w:rsidRPr="00650D66" w14:paraId="2F8D285C" w14:textId="77777777" w:rsidTr="00F32C69">
        <w:trPr>
          <w:trHeight w:val="204"/>
        </w:trPr>
        <w:tc>
          <w:tcPr>
            <w:tcW w:w="1276" w:type="dxa"/>
            <w:tcBorders>
              <w:top w:val="nil"/>
              <w:left w:val="nil"/>
              <w:bottom w:val="nil"/>
              <w:right w:val="nil"/>
            </w:tcBorders>
            <w:shd w:val="clear" w:color="auto" w:fill="auto"/>
            <w:hideMark/>
          </w:tcPr>
          <w:p w14:paraId="0EDAA5E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vAlign w:val="bottom"/>
            <w:hideMark/>
          </w:tcPr>
          <w:p w14:paraId="751B3355"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Politica de continuitate a </w:t>
            </w:r>
            <w:r w:rsidR="00661CA9" w:rsidRPr="00650D66">
              <w:rPr>
                <w:rFonts w:ascii="Times New Roman" w:eastAsia="Times New Roman" w:hAnsi="Times New Roman" w:cs="Times New Roman"/>
                <w:color w:val="000000"/>
                <w:sz w:val="20"/>
                <w:szCs w:val="20"/>
                <w:lang w:val="ro-RO"/>
              </w:rPr>
              <w:t>activității</w:t>
            </w:r>
            <w:r w:rsidRPr="00650D66">
              <w:rPr>
                <w:rFonts w:ascii="Times New Roman" w:eastAsia="Times New Roman" w:hAnsi="Times New Roman" w:cs="Times New Roman"/>
                <w:color w:val="000000"/>
                <w:sz w:val="20"/>
                <w:szCs w:val="20"/>
                <w:lang w:val="ro-RO"/>
              </w:rPr>
              <w:t xml:space="preserve"> Băncii </w:t>
            </w:r>
            <w:r w:rsidR="00661CA9"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HCS, Nr.2 din 14.04.2020</w:t>
            </w:r>
          </w:p>
        </w:tc>
      </w:tr>
      <w:tr w:rsidR="00C817DC" w:rsidRPr="00650D66" w14:paraId="646976E0" w14:textId="77777777" w:rsidTr="00F32C69">
        <w:trPr>
          <w:trHeight w:val="204"/>
        </w:trPr>
        <w:tc>
          <w:tcPr>
            <w:tcW w:w="1276" w:type="dxa"/>
            <w:tcBorders>
              <w:top w:val="nil"/>
              <w:left w:val="nil"/>
              <w:bottom w:val="nil"/>
              <w:right w:val="nil"/>
            </w:tcBorders>
            <w:shd w:val="clear" w:color="auto" w:fill="auto"/>
            <w:hideMark/>
          </w:tcPr>
          <w:p w14:paraId="55521B3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vAlign w:val="bottom"/>
            <w:hideMark/>
          </w:tcPr>
          <w:p w14:paraId="49EB56B0"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Standardele de Securitate a </w:t>
            </w:r>
            <w:proofErr w:type="spellStart"/>
            <w:r w:rsidRPr="00650D66">
              <w:rPr>
                <w:rFonts w:ascii="Times New Roman" w:eastAsia="Times New Roman" w:hAnsi="Times New Roman" w:cs="Times New Roman"/>
                <w:color w:val="000000"/>
                <w:sz w:val="20"/>
                <w:szCs w:val="20"/>
                <w:lang w:val="ro-RO"/>
              </w:rPr>
              <w:t>Informaţiei</w:t>
            </w:r>
            <w:proofErr w:type="spellEnd"/>
            <w:r w:rsidRPr="00650D66">
              <w:rPr>
                <w:rFonts w:ascii="Times New Roman" w:eastAsia="Times New Roman" w:hAnsi="Times New Roman" w:cs="Times New Roman"/>
                <w:color w:val="000000"/>
                <w:sz w:val="20"/>
                <w:szCs w:val="20"/>
                <w:lang w:val="ro-RO"/>
              </w:rPr>
              <w:t xml:space="preserve"> a Băncii </w:t>
            </w:r>
            <w:r w:rsidR="00463ABC"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HCS, Nr.2 din 15.02.2017</w:t>
            </w:r>
          </w:p>
        </w:tc>
      </w:tr>
      <w:tr w:rsidR="00C817DC" w:rsidRPr="00650D66" w14:paraId="1741480E" w14:textId="77777777" w:rsidTr="00F32C69">
        <w:trPr>
          <w:trHeight w:val="204"/>
        </w:trPr>
        <w:tc>
          <w:tcPr>
            <w:tcW w:w="1276" w:type="dxa"/>
            <w:tcBorders>
              <w:top w:val="nil"/>
              <w:left w:val="nil"/>
              <w:bottom w:val="nil"/>
              <w:right w:val="nil"/>
            </w:tcBorders>
            <w:shd w:val="clear" w:color="auto" w:fill="auto"/>
            <w:hideMark/>
          </w:tcPr>
          <w:p w14:paraId="3D02608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vAlign w:val="bottom"/>
            <w:hideMark/>
          </w:tcPr>
          <w:p w14:paraId="1F3D8C6F"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 privind utilizarea securizată a informațiilor în cadrul Băncii </w:t>
            </w:r>
            <w:r w:rsidR="00661CA9" w:rsidRPr="00650D66">
              <w:rPr>
                <w:rFonts w:ascii="Times New Roman" w:eastAsia="Times New Roman" w:hAnsi="Times New Roman" w:cs="Times New Roman"/>
                <w:color w:val="000000"/>
                <w:sz w:val="20"/>
                <w:szCs w:val="20"/>
                <w:lang w:val="ro-RO"/>
              </w:rPr>
              <w:t>Naționale</w:t>
            </w:r>
            <w:r w:rsidRPr="00650D66">
              <w:rPr>
                <w:rFonts w:ascii="Times New Roman" w:eastAsia="Times New Roman" w:hAnsi="Times New Roman" w:cs="Times New Roman"/>
                <w:color w:val="000000"/>
                <w:sz w:val="20"/>
                <w:szCs w:val="20"/>
                <w:lang w:val="ro-RO"/>
              </w:rPr>
              <w:t xml:space="preserve"> a Moldovei, HCE, Nr.105 din 16.04.2020</w:t>
            </w:r>
          </w:p>
        </w:tc>
      </w:tr>
      <w:tr w:rsidR="00C817DC" w:rsidRPr="00650D66" w14:paraId="34DB68D4" w14:textId="77777777" w:rsidTr="00F32C69">
        <w:trPr>
          <w:trHeight w:val="204"/>
        </w:trPr>
        <w:tc>
          <w:tcPr>
            <w:tcW w:w="1276" w:type="dxa"/>
            <w:tcBorders>
              <w:top w:val="nil"/>
              <w:left w:val="nil"/>
              <w:bottom w:val="nil"/>
              <w:right w:val="nil"/>
            </w:tcBorders>
            <w:shd w:val="clear" w:color="auto" w:fill="auto"/>
            <w:hideMark/>
          </w:tcPr>
          <w:p w14:paraId="3E7610B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vAlign w:val="bottom"/>
            <w:hideMark/>
          </w:tcPr>
          <w:p w14:paraId="526CD95B"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gestiunea continuității activității Băncii Naționale a Moldovei, HCE, Nr.116 din 07.05.2020</w:t>
            </w:r>
          </w:p>
        </w:tc>
      </w:tr>
      <w:tr w:rsidR="00C817DC" w:rsidRPr="00650D66" w14:paraId="703B6323" w14:textId="77777777" w:rsidTr="00F32C69">
        <w:trPr>
          <w:trHeight w:val="204"/>
        </w:trPr>
        <w:tc>
          <w:tcPr>
            <w:tcW w:w="1276" w:type="dxa"/>
            <w:tcBorders>
              <w:top w:val="nil"/>
              <w:left w:val="nil"/>
              <w:bottom w:val="nil"/>
              <w:right w:val="nil"/>
            </w:tcBorders>
            <w:shd w:val="clear" w:color="auto" w:fill="auto"/>
            <w:hideMark/>
          </w:tcPr>
          <w:p w14:paraId="60514EA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vAlign w:val="bottom"/>
            <w:hideMark/>
          </w:tcPr>
          <w:p w14:paraId="2A433B01"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Procedura de gestiune a riscurilor de securitate a </w:t>
            </w:r>
            <w:r w:rsidR="00661CA9" w:rsidRPr="00650D66">
              <w:rPr>
                <w:rFonts w:ascii="Times New Roman" w:eastAsia="Times New Roman" w:hAnsi="Times New Roman" w:cs="Times New Roman"/>
                <w:color w:val="000000"/>
                <w:sz w:val="20"/>
                <w:szCs w:val="20"/>
                <w:lang w:val="ro-RO"/>
              </w:rPr>
              <w:t>informației</w:t>
            </w:r>
            <w:r w:rsidRPr="00650D66">
              <w:rPr>
                <w:rFonts w:ascii="Times New Roman" w:eastAsia="Times New Roman" w:hAnsi="Times New Roman" w:cs="Times New Roman"/>
                <w:color w:val="000000"/>
                <w:sz w:val="20"/>
                <w:szCs w:val="20"/>
                <w:lang w:val="ro-RO"/>
              </w:rPr>
              <w:t xml:space="preserve"> în cadrul Băncii Naționale a Moldovei, Guvernator, 05.04.2019</w:t>
            </w:r>
          </w:p>
        </w:tc>
      </w:tr>
      <w:tr w:rsidR="00C817DC" w:rsidRPr="00650D66" w14:paraId="7B1776D6" w14:textId="77777777" w:rsidTr="00F32C69">
        <w:trPr>
          <w:trHeight w:val="204"/>
        </w:trPr>
        <w:tc>
          <w:tcPr>
            <w:tcW w:w="1276" w:type="dxa"/>
            <w:tcBorders>
              <w:top w:val="nil"/>
              <w:left w:val="nil"/>
              <w:bottom w:val="nil"/>
              <w:right w:val="nil"/>
            </w:tcBorders>
            <w:shd w:val="clear" w:color="auto" w:fill="auto"/>
            <w:hideMark/>
          </w:tcPr>
          <w:p w14:paraId="3157246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vAlign w:val="bottom"/>
            <w:hideMark/>
          </w:tcPr>
          <w:p w14:paraId="771BA861"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Procesele la nivel de DTI ;I DMCASI  (capitol 6. Consolidarea rezilienței și agilității instituționale )</w:t>
            </w:r>
          </w:p>
        </w:tc>
      </w:tr>
      <w:tr w:rsidR="00C817DC" w:rsidRPr="00650D66" w14:paraId="409602B2" w14:textId="77777777" w:rsidTr="00F32C69">
        <w:trPr>
          <w:trHeight w:val="204"/>
        </w:trPr>
        <w:tc>
          <w:tcPr>
            <w:tcW w:w="1276" w:type="dxa"/>
            <w:tcBorders>
              <w:top w:val="nil"/>
              <w:left w:val="nil"/>
              <w:bottom w:val="nil"/>
              <w:right w:val="nil"/>
            </w:tcBorders>
            <w:shd w:val="clear" w:color="auto" w:fill="auto"/>
            <w:hideMark/>
          </w:tcPr>
          <w:p w14:paraId="4E36FBA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vAlign w:val="bottom"/>
            <w:hideMark/>
          </w:tcPr>
          <w:p w14:paraId="2E60547D"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4A481F09" w14:textId="77777777" w:rsidTr="00F32C69">
        <w:trPr>
          <w:trHeight w:val="204"/>
        </w:trPr>
        <w:tc>
          <w:tcPr>
            <w:tcW w:w="11141" w:type="dxa"/>
            <w:gridSpan w:val="2"/>
            <w:tcBorders>
              <w:top w:val="nil"/>
              <w:left w:val="nil"/>
              <w:bottom w:val="nil"/>
              <w:right w:val="nil"/>
            </w:tcBorders>
            <w:shd w:val="clear" w:color="auto" w:fill="auto"/>
            <w:noWrap/>
            <w:hideMark/>
          </w:tcPr>
          <w:p w14:paraId="55F244D9"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și achiziții în domeniul administrare și securitate</w:t>
            </w:r>
          </w:p>
        </w:tc>
      </w:tr>
      <w:tr w:rsidR="00C817DC" w:rsidRPr="00650D66" w14:paraId="2C1FAA6B" w14:textId="77777777" w:rsidTr="00F32C69">
        <w:trPr>
          <w:trHeight w:val="204"/>
        </w:trPr>
        <w:tc>
          <w:tcPr>
            <w:tcW w:w="1276" w:type="dxa"/>
            <w:tcBorders>
              <w:top w:val="nil"/>
              <w:left w:val="nil"/>
              <w:bottom w:val="nil"/>
              <w:right w:val="nil"/>
            </w:tcBorders>
            <w:shd w:val="clear" w:color="auto" w:fill="auto"/>
            <w:hideMark/>
          </w:tcPr>
          <w:p w14:paraId="4BDB6CD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BEA71E1"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Legea cu privire la Banca Națională a Moldovei nr.548-XIII din 21.07.1995, cu modificările ulterioare</w:t>
            </w:r>
          </w:p>
        </w:tc>
      </w:tr>
      <w:tr w:rsidR="00C817DC" w:rsidRPr="00650D66" w14:paraId="13C47488" w14:textId="77777777" w:rsidTr="00F32C69">
        <w:trPr>
          <w:trHeight w:val="204"/>
        </w:trPr>
        <w:tc>
          <w:tcPr>
            <w:tcW w:w="1276" w:type="dxa"/>
            <w:tcBorders>
              <w:top w:val="nil"/>
              <w:left w:val="nil"/>
              <w:bottom w:val="nil"/>
              <w:right w:val="nil"/>
            </w:tcBorders>
            <w:shd w:val="clear" w:color="auto" w:fill="auto"/>
            <w:hideMark/>
          </w:tcPr>
          <w:p w14:paraId="55D9910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69CADCE"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121 din 04-05-2007 privind administrarea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w:t>
            </w:r>
            <w:proofErr w:type="spellStart"/>
            <w:r w:rsidRPr="00650D66">
              <w:rPr>
                <w:rFonts w:ascii="Times New Roman" w:eastAsia="Times New Roman" w:hAnsi="Times New Roman" w:cs="Times New Roman"/>
                <w:color w:val="000000"/>
                <w:sz w:val="20"/>
                <w:szCs w:val="20"/>
                <w:lang w:val="ro-RO"/>
              </w:rPr>
              <w:t>deetatizarea</w:t>
            </w:r>
            <w:proofErr w:type="spellEnd"/>
            <w:r w:rsidRPr="00650D66">
              <w:rPr>
                <w:rFonts w:ascii="Times New Roman" w:eastAsia="Times New Roman" w:hAnsi="Times New Roman" w:cs="Times New Roman"/>
                <w:color w:val="000000"/>
                <w:sz w:val="20"/>
                <w:szCs w:val="20"/>
                <w:lang w:val="ro-RO"/>
              </w:rPr>
              <w:t xml:space="preserve"> </w:t>
            </w:r>
            <w:r w:rsidR="00BB33F4" w:rsidRPr="00650D66">
              <w:rPr>
                <w:rFonts w:ascii="Times New Roman" w:eastAsia="Times New Roman" w:hAnsi="Times New Roman" w:cs="Times New Roman"/>
                <w:color w:val="000000"/>
                <w:sz w:val="20"/>
                <w:szCs w:val="20"/>
                <w:lang w:val="ro-RO"/>
              </w:rPr>
              <w:t>proprietății</w:t>
            </w:r>
            <w:r w:rsidRPr="00650D66">
              <w:rPr>
                <w:rFonts w:ascii="Times New Roman" w:eastAsia="Times New Roman" w:hAnsi="Times New Roman" w:cs="Times New Roman"/>
                <w:color w:val="000000"/>
                <w:sz w:val="20"/>
                <w:szCs w:val="20"/>
                <w:lang w:val="ro-RO"/>
              </w:rPr>
              <w:t xml:space="preserve"> publice</w:t>
            </w:r>
          </w:p>
        </w:tc>
      </w:tr>
      <w:tr w:rsidR="00C817DC" w:rsidRPr="00650D66" w14:paraId="75745D1A" w14:textId="77777777" w:rsidTr="00F32C69">
        <w:trPr>
          <w:trHeight w:val="204"/>
        </w:trPr>
        <w:tc>
          <w:tcPr>
            <w:tcW w:w="1276" w:type="dxa"/>
            <w:tcBorders>
              <w:top w:val="nil"/>
              <w:left w:val="nil"/>
              <w:bottom w:val="nil"/>
              <w:right w:val="nil"/>
            </w:tcBorders>
            <w:shd w:val="clear" w:color="auto" w:fill="auto"/>
            <w:hideMark/>
          </w:tcPr>
          <w:p w14:paraId="72B73DD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ACBBF3C"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721 din 02-02-1996 privind calitatea în </w:t>
            </w:r>
            <w:r w:rsidR="00BB33F4" w:rsidRPr="00650D66">
              <w:rPr>
                <w:rFonts w:ascii="Times New Roman" w:eastAsia="Times New Roman" w:hAnsi="Times New Roman" w:cs="Times New Roman"/>
                <w:color w:val="000000"/>
                <w:sz w:val="20"/>
                <w:szCs w:val="20"/>
                <w:lang w:val="ro-RO"/>
              </w:rPr>
              <w:t>construcții</w:t>
            </w:r>
          </w:p>
        </w:tc>
      </w:tr>
      <w:tr w:rsidR="00C817DC" w:rsidRPr="00650D66" w14:paraId="43041FD1" w14:textId="77777777" w:rsidTr="00F32C69">
        <w:trPr>
          <w:trHeight w:val="204"/>
        </w:trPr>
        <w:tc>
          <w:tcPr>
            <w:tcW w:w="1276" w:type="dxa"/>
            <w:tcBorders>
              <w:top w:val="nil"/>
              <w:left w:val="nil"/>
              <w:bottom w:val="nil"/>
              <w:right w:val="nil"/>
            </w:tcBorders>
            <w:shd w:val="clear" w:color="auto" w:fill="auto"/>
            <w:hideMark/>
          </w:tcPr>
          <w:p w14:paraId="0C24957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2871381"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283 din 04-07-2003 privind activitatea particulară de detectiv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de pază</w:t>
            </w:r>
          </w:p>
        </w:tc>
      </w:tr>
      <w:tr w:rsidR="00C817DC" w:rsidRPr="00650D66" w14:paraId="435D6745" w14:textId="77777777" w:rsidTr="00F32C69">
        <w:trPr>
          <w:trHeight w:val="204"/>
        </w:trPr>
        <w:tc>
          <w:tcPr>
            <w:tcW w:w="1276" w:type="dxa"/>
            <w:tcBorders>
              <w:top w:val="nil"/>
              <w:left w:val="nil"/>
              <w:bottom w:val="nil"/>
              <w:right w:val="nil"/>
            </w:tcBorders>
            <w:shd w:val="clear" w:color="auto" w:fill="auto"/>
            <w:hideMark/>
          </w:tcPr>
          <w:p w14:paraId="10457AC2"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483122F"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HG  Nr. 361 din 25-06-1996 cu privire la asigurarea </w:t>
            </w:r>
            <w:r w:rsidR="00BB33F4" w:rsidRPr="00650D66">
              <w:rPr>
                <w:rFonts w:ascii="Times New Roman" w:eastAsia="Times New Roman" w:hAnsi="Times New Roman" w:cs="Times New Roman"/>
                <w:color w:val="000000"/>
                <w:sz w:val="20"/>
                <w:szCs w:val="20"/>
                <w:lang w:val="ro-RO"/>
              </w:rPr>
              <w:t>calității</w:t>
            </w:r>
            <w:r w:rsidRPr="00650D66">
              <w:rPr>
                <w:rFonts w:ascii="Times New Roman" w:eastAsia="Times New Roman" w:hAnsi="Times New Roman" w:cs="Times New Roman"/>
                <w:color w:val="000000"/>
                <w:sz w:val="20"/>
                <w:szCs w:val="20"/>
                <w:lang w:val="ro-RO"/>
              </w:rPr>
              <w:t xml:space="preserve"> </w:t>
            </w:r>
            <w:r w:rsidR="00BB33F4" w:rsidRPr="00650D66">
              <w:rPr>
                <w:rFonts w:ascii="Times New Roman" w:eastAsia="Times New Roman" w:hAnsi="Times New Roman" w:cs="Times New Roman"/>
                <w:color w:val="000000"/>
                <w:sz w:val="20"/>
                <w:szCs w:val="20"/>
                <w:lang w:val="ro-RO"/>
              </w:rPr>
              <w:t>construcțiilor</w:t>
            </w:r>
          </w:p>
        </w:tc>
      </w:tr>
      <w:tr w:rsidR="00C817DC" w:rsidRPr="00650D66" w14:paraId="381D4190" w14:textId="77777777" w:rsidTr="00F32C69">
        <w:trPr>
          <w:trHeight w:val="204"/>
        </w:trPr>
        <w:tc>
          <w:tcPr>
            <w:tcW w:w="1276" w:type="dxa"/>
            <w:tcBorders>
              <w:top w:val="nil"/>
              <w:left w:val="nil"/>
              <w:bottom w:val="nil"/>
              <w:right w:val="nil"/>
            </w:tcBorders>
            <w:shd w:val="clear" w:color="auto" w:fill="auto"/>
            <w:hideMark/>
          </w:tcPr>
          <w:p w14:paraId="714FA5D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79B33C1"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LEGE Nr. 186 din 10-07-2008 </w:t>
            </w:r>
            <w:r w:rsidR="00BB33F4" w:rsidRPr="00650D66">
              <w:rPr>
                <w:rFonts w:ascii="Times New Roman" w:eastAsia="Times New Roman" w:hAnsi="Times New Roman" w:cs="Times New Roman"/>
                <w:color w:val="000000"/>
                <w:sz w:val="20"/>
                <w:szCs w:val="20"/>
                <w:lang w:val="ro-RO"/>
              </w:rPr>
              <w:t>securității</w:t>
            </w:r>
            <w:r w:rsidRPr="00650D66">
              <w:rPr>
                <w:rFonts w:ascii="Times New Roman" w:eastAsia="Times New Roman" w:hAnsi="Times New Roman" w:cs="Times New Roman"/>
                <w:color w:val="000000"/>
                <w:sz w:val="20"/>
                <w:szCs w:val="20"/>
                <w:lang w:val="ro-RO"/>
              </w:rPr>
              <w:t xml:space="preserve">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w:t>
            </w:r>
            <w:r w:rsidR="00BB33F4" w:rsidRPr="00650D66">
              <w:rPr>
                <w:rFonts w:ascii="Times New Roman" w:eastAsia="Times New Roman" w:hAnsi="Times New Roman" w:cs="Times New Roman"/>
                <w:color w:val="000000"/>
                <w:sz w:val="20"/>
                <w:szCs w:val="20"/>
                <w:lang w:val="ro-RO"/>
              </w:rPr>
              <w:t>sănătății</w:t>
            </w:r>
            <w:r w:rsidRPr="00650D66">
              <w:rPr>
                <w:rFonts w:ascii="Times New Roman" w:eastAsia="Times New Roman" w:hAnsi="Times New Roman" w:cs="Times New Roman"/>
                <w:color w:val="000000"/>
                <w:sz w:val="20"/>
                <w:szCs w:val="20"/>
                <w:lang w:val="ro-RO"/>
              </w:rPr>
              <w:t xml:space="preserve"> în muncă</w:t>
            </w:r>
          </w:p>
        </w:tc>
      </w:tr>
      <w:tr w:rsidR="00C817DC" w:rsidRPr="00650D66" w14:paraId="3AAABD8C" w14:textId="77777777" w:rsidTr="00F32C69">
        <w:trPr>
          <w:trHeight w:val="204"/>
        </w:trPr>
        <w:tc>
          <w:tcPr>
            <w:tcW w:w="1276" w:type="dxa"/>
            <w:tcBorders>
              <w:top w:val="nil"/>
              <w:left w:val="nil"/>
              <w:bottom w:val="nil"/>
              <w:right w:val="nil"/>
            </w:tcBorders>
            <w:shd w:val="clear" w:color="auto" w:fill="auto"/>
            <w:hideMark/>
          </w:tcPr>
          <w:p w14:paraId="556911F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AE33D12"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HOTĂRÂRE Nr. 1209 din 08-11-2007 cu privire la prestarea serviciilor de </w:t>
            </w:r>
            <w:r w:rsidR="00BB33F4" w:rsidRPr="00650D66">
              <w:rPr>
                <w:rFonts w:ascii="Times New Roman" w:eastAsia="Times New Roman" w:hAnsi="Times New Roman" w:cs="Times New Roman"/>
                <w:color w:val="000000"/>
                <w:sz w:val="20"/>
                <w:szCs w:val="20"/>
                <w:lang w:val="ro-RO"/>
              </w:rPr>
              <w:t>alimentație</w:t>
            </w:r>
            <w:r w:rsidRPr="00650D66">
              <w:rPr>
                <w:rFonts w:ascii="Times New Roman" w:eastAsia="Times New Roman" w:hAnsi="Times New Roman" w:cs="Times New Roman"/>
                <w:color w:val="000000"/>
                <w:sz w:val="20"/>
                <w:szCs w:val="20"/>
                <w:lang w:val="ro-RO"/>
              </w:rPr>
              <w:t xml:space="preserve"> publică</w:t>
            </w:r>
          </w:p>
        </w:tc>
      </w:tr>
      <w:tr w:rsidR="00C817DC" w:rsidRPr="00650D66" w14:paraId="4BA7B499" w14:textId="77777777" w:rsidTr="00F32C69">
        <w:trPr>
          <w:trHeight w:val="204"/>
        </w:trPr>
        <w:tc>
          <w:tcPr>
            <w:tcW w:w="1276" w:type="dxa"/>
            <w:tcBorders>
              <w:top w:val="nil"/>
              <w:left w:val="nil"/>
              <w:bottom w:val="nil"/>
              <w:right w:val="nil"/>
            </w:tcBorders>
            <w:shd w:val="clear" w:color="auto" w:fill="auto"/>
            <w:hideMark/>
          </w:tcPr>
          <w:p w14:paraId="43366DD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lastRenderedPageBreak/>
              <w:t>2019-2022</w:t>
            </w:r>
          </w:p>
        </w:tc>
        <w:tc>
          <w:tcPr>
            <w:tcW w:w="9867" w:type="dxa"/>
            <w:tcBorders>
              <w:top w:val="nil"/>
              <w:left w:val="nil"/>
              <w:bottom w:val="nil"/>
              <w:right w:val="nil"/>
            </w:tcBorders>
            <w:shd w:val="clear" w:color="auto" w:fill="auto"/>
            <w:hideMark/>
          </w:tcPr>
          <w:p w14:paraId="1A1FA91E"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LEGE Nr. 116 din 18-05-2012 privind securitatea industrială a obiectelor industriale periculoase*</w:t>
            </w:r>
          </w:p>
        </w:tc>
      </w:tr>
      <w:tr w:rsidR="00C817DC" w:rsidRPr="00650D66" w14:paraId="09185FA2" w14:textId="77777777" w:rsidTr="00F32C69">
        <w:trPr>
          <w:trHeight w:val="408"/>
        </w:trPr>
        <w:tc>
          <w:tcPr>
            <w:tcW w:w="1276" w:type="dxa"/>
            <w:tcBorders>
              <w:top w:val="nil"/>
              <w:left w:val="nil"/>
              <w:bottom w:val="nil"/>
              <w:right w:val="nil"/>
            </w:tcBorders>
            <w:shd w:val="clear" w:color="auto" w:fill="auto"/>
            <w:hideMark/>
          </w:tcPr>
          <w:p w14:paraId="7BC81D1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711989B"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 privind cerințele de securitate și sănătate în muncă pentru utilizarea echipamentelor individuale de protecție și de lucru precum și asigurarea angajaților BNM cu materiale </w:t>
            </w:r>
            <w:proofErr w:type="spellStart"/>
            <w:r w:rsidRPr="00650D66">
              <w:rPr>
                <w:rFonts w:ascii="Times New Roman" w:eastAsia="Times New Roman" w:hAnsi="Times New Roman" w:cs="Times New Roman"/>
                <w:color w:val="000000"/>
                <w:sz w:val="20"/>
                <w:szCs w:val="20"/>
                <w:lang w:val="ro-RO"/>
              </w:rPr>
              <w:t>igienico-sanitarem</w:t>
            </w:r>
            <w:proofErr w:type="spellEnd"/>
            <w:r w:rsidRPr="00650D66">
              <w:rPr>
                <w:rFonts w:ascii="Times New Roman" w:eastAsia="Times New Roman" w:hAnsi="Times New Roman" w:cs="Times New Roman"/>
                <w:color w:val="000000"/>
                <w:sz w:val="20"/>
                <w:szCs w:val="20"/>
                <w:lang w:val="ro-RO"/>
              </w:rPr>
              <w:t xml:space="preserve"> Viceguvernator, 18.02.2019</w:t>
            </w:r>
          </w:p>
        </w:tc>
      </w:tr>
      <w:tr w:rsidR="00C817DC" w:rsidRPr="00650D66" w14:paraId="63F7DD0F" w14:textId="77777777" w:rsidTr="00F32C69">
        <w:trPr>
          <w:trHeight w:val="204"/>
        </w:trPr>
        <w:tc>
          <w:tcPr>
            <w:tcW w:w="1276" w:type="dxa"/>
            <w:tcBorders>
              <w:top w:val="nil"/>
              <w:left w:val="nil"/>
              <w:bottom w:val="nil"/>
              <w:right w:val="nil"/>
            </w:tcBorders>
            <w:shd w:val="clear" w:color="auto" w:fill="auto"/>
            <w:hideMark/>
          </w:tcPr>
          <w:p w14:paraId="07197DD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7FDF047"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privind activitatea cantinei din cadrul Băncii Naționale a Moldovei, Viceguvernator, 11.05.2017</w:t>
            </w:r>
          </w:p>
        </w:tc>
      </w:tr>
      <w:tr w:rsidR="00C817DC" w:rsidRPr="00650D66" w14:paraId="25E2801E" w14:textId="77777777" w:rsidTr="00F32C69">
        <w:trPr>
          <w:trHeight w:val="204"/>
        </w:trPr>
        <w:tc>
          <w:tcPr>
            <w:tcW w:w="1276" w:type="dxa"/>
            <w:tcBorders>
              <w:top w:val="nil"/>
              <w:left w:val="nil"/>
              <w:bottom w:val="nil"/>
              <w:right w:val="nil"/>
            </w:tcBorders>
            <w:shd w:val="clear" w:color="auto" w:fill="auto"/>
            <w:hideMark/>
          </w:tcPr>
          <w:p w14:paraId="36E87FA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0764FDD"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 de organizare și funcționare a Centralei Termine a Băncii Naționale a Republicii Moldova, Viceguvernator, 22.10.2018</w:t>
            </w:r>
          </w:p>
        </w:tc>
      </w:tr>
      <w:tr w:rsidR="00C817DC" w:rsidRPr="00650D66" w14:paraId="4F8FBEE9" w14:textId="77777777" w:rsidTr="00F32C69">
        <w:trPr>
          <w:trHeight w:val="204"/>
        </w:trPr>
        <w:tc>
          <w:tcPr>
            <w:tcW w:w="1276" w:type="dxa"/>
            <w:tcBorders>
              <w:top w:val="nil"/>
              <w:left w:val="nil"/>
              <w:bottom w:val="nil"/>
              <w:right w:val="nil"/>
            </w:tcBorders>
            <w:shd w:val="clear" w:color="auto" w:fill="auto"/>
            <w:hideMark/>
          </w:tcPr>
          <w:p w14:paraId="7D59C68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8221BC1"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 privind activitatea casei de odihnă „La Nistru” și oficiului de protocol nr.9 ale Băncii </w:t>
            </w:r>
            <w:proofErr w:type="spellStart"/>
            <w:r w:rsidRPr="00650D66">
              <w:rPr>
                <w:rFonts w:ascii="Times New Roman" w:eastAsia="Times New Roman" w:hAnsi="Times New Roman" w:cs="Times New Roman"/>
                <w:color w:val="000000"/>
                <w:sz w:val="20"/>
                <w:szCs w:val="20"/>
                <w:lang w:val="ro-RO"/>
              </w:rPr>
              <w:t>Naţionale</w:t>
            </w:r>
            <w:proofErr w:type="spellEnd"/>
            <w:r w:rsidRPr="00650D66">
              <w:rPr>
                <w:rFonts w:ascii="Times New Roman" w:eastAsia="Times New Roman" w:hAnsi="Times New Roman" w:cs="Times New Roman"/>
                <w:color w:val="000000"/>
                <w:sz w:val="20"/>
                <w:szCs w:val="20"/>
                <w:lang w:val="ro-RO"/>
              </w:rPr>
              <w:t xml:space="preserve"> a Moldovei, HCE, Nr.33 din 18.02.2016</w:t>
            </w:r>
          </w:p>
        </w:tc>
      </w:tr>
      <w:tr w:rsidR="00C817DC" w:rsidRPr="00650D66" w14:paraId="6AAB9FCE" w14:textId="77777777" w:rsidTr="00F32C69">
        <w:trPr>
          <w:trHeight w:val="204"/>
        </w:trPr>
        <w:tc>
          <w:tcPr>
            <w:tcW w:w="1276" w:type="dxa"/>
            <w:tcBorders>
              <w:top w:val="nil"/>
              <w:left w:val="nil"/>
              <w:bottom w:val="nil"/>
              <w:right w:val="nil"/>
            </w:tcBorders>
            <w:shd w:val="clear" w:color="auto" w:fill="auto"/>
            <w:hideMark/>
          </w:tcPr>
          <w:p w14:paraId="589BDDF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E9F2717"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Regulament privind controlul în </w:t>
            </w:r>
            <w:proofErr w:type="spellStart"/>
            <w:r w:rsidRPr="00650D66">
              <w:rPr>
                <w:rFonts w:ascii="Times New Roman" w:eastAsia="Times New Roman" w:hAnsi="Times New Roman" w:cs="Times New Roman"/>
                <w:color w:val="000000"/>
                <w:sz w:val="20"/>
                <w:szCs w:val="20"/>
                <w:lang w:val="ro-RO"/>
              </w:rPr>
              <w:t>producţie</w:t>
            </w:r>
            <w:proofErr w:type="spellEnd"/>
            <w:r w:rsidRPr="00650D66">
              <w:rPr>
                <w:rFonts w:ascii="Times New Roman" w:eastAsia="Times New Roman" w:hAnsi="Times New Roman" w:cs="Times New Roman"/>
                <w:color w:val="000000"/>
                <w:sz w:val="20"/>
                <w:szCs w:val="20"/>
                <w:lang w:val="ro-RO"/>
              </w:rPr>
              <w:t xml:space="preserve"> referitor la respectarea </w:t>
            </w:r>
            <w:r w:rsidR="00BB0A7F" w:rsidRPr="00650D66">
              <w:rPr>
                <w:rFonts w:ascii="Times New Roman" w:eastAsia="Times New Roman" w:hAnsi="Times New Roman" w:cs="Times New Roman"/>
                <w:color w:val="000000"/>
                <w:sz w:val="20"/>
                <w:szCs w:val="20"/>
                <w:lang w:val="ro-RO"/>
              </w:rPr>
              <w:t>cerințelor</w:t>
            </w:r>
            <w:r w:rsidRPr="00650D66">
              <w:rPr>
                <w:rFonts w:ascii="Times New Roman" w:eastAsia="Times New Roman" w:hAnsi="Times New Roman" w:cs="Times New Roman"/>
                <w:color w:val="000000"/>
                <w:sz w:val="20"/>
                <w:szCs w:val="20"/>
                <w:lang w:val="ro-RO"/>
              </w:rPr>
              <w:t xml:space="preserve"> </w:t>
            </w:r>
            <w:r w:rsidR="00BB0A7F" w:rsidRPr="00650D66">
              <w:rPr>
                <w:rFonts w:ascii="Times New Roman" w:eastAsia="Times New Roman" w:hAnsi="Times New Roman" w:cs="Times New Roman"/>
                <w:color w:val="000000"/>
                <w:sz w:val="20"/>
                <w:szCs w:val="20"/>
                <w:lang w:val="ro-RO"/>
              </w:rPr>
              <w:t>securității</w:t>
            </w:r>
            <w:r w:rsidRPr="00650D66">
              <w:rPr>
                <w:rFonts w:ascii="Times New Roman" w:eastAsia="Times New Roman" w:hAnsi="Times New Roman" w:cs="Times New Roman"/>
                <w:color w:val="000000"/>
                <w:sz w:val="20"/>
                <w:szCs w:val="20"/>
                <w:lang w:val="ro-RO"/>
              </w:rPr>
              <w:t xml:space="preserve"> industriale la obiectele industriale periculoase ale Băncii </w:t>
            </w:r>
            <w:proofErr w:type="spellStart"/>
            <w:r w:rsidRPr="00650D66">
              <w:rPr>
                <w:rFonts w:ascii="Times New Roman" w:eastAsia="Times New Roman" w:hAnsi="Times New Roman" w:cs="Times New Roman"/>
                <w:color w:val="000000"/>
                <w:sz w:val="20"/>
                <w:szCs w:val="20"/>
                <w:lang w:val="ro-RO"/>
              </w:rPr>
              <w:t>Naţionale</w:t>
            </w:r>
            <w:proofErr w:type="spellEnd"/>
            <w:r w:rsidRPr="00650D66">
              <w:rPr>
                <w:rFonts w:ascii="Times New Roman" w:eastAsia="Times New Roman" w:hAnsi="Times New Roman" w:cs="Times New Roman"/>
                <w:color w:val="000000"/>
                <w:sz w:val="20"/>
                <w:szCs w:val="20"/>
                <w:lang w:val="ro-RO"/>
              </w:rPr>
              <w:t xml:space="preserve"> a Moldovei, Viceguvernator, 28.09.2010</w:t>
            </w:r>
          </w:p>
        </w:tc>
      </w:tr>
      <w:tr w:rsidR="00C817DC" w:rsidRPr="00650D66" w14:paraId="60B3D75D" w14:textId="77777777" w:rsidTr="00F32C69">
        <w:trPr>
          <w:trHeight w:val="204"/>
        </w:trPr>
        <w:tc>
          <w:tcPr>
            <w:tcW w:w="1276" w:type="dxa"/>
            <w:tcBorders>
              <w:top w:val="nil"/>
              <w:left w:val="nil"/>
              <w:bottom w:val="nil"/>
              <w:right w:val="nil"/>
            </w:tcBorders>
            <w:shd w:val="clear" w:color="auto" w:fill="auto"/>
            <w:hideMark/>
          </w:tcPr>
          <w:p w14:paraId="551E84D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2022</w:t>
            </w:r>
          </w:p>
        </w:tc>
        <w:tc>
          <w:tcPr>
            <w:tcW w:w="9867" w:type="dxa"/>
            <w:tcBorders>
              <w:top w:val="nil"/>
              <w:left w:val="nil"/>
              <w:bottom w:val="nil"/>
              <w:right w:val="nil"/>
            </w:tcBorders>
            <w:shd w:val="clear" w:color="auto" w:fill="auto"/>
            <w:hideMark/>
          </w:tcPr>
          <w:p w14:paraId="0EDA1DBF"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 cu privire la exploatarea echipamentului cu raze X (RAPISCAN - 620 XR), radioprotecția personalului, Guvernator, 17.01.2022</w:t>
            </w:r>
          </w:p>
        </w:tc>
      </w:tr>
      <w:tr w:rsidR="00C817DC" w:rsidRPr="00650D66" w14:paraId="0AB962D4" w14:textId="77777777" w:rsidTr="00F32C69">
        <w:trPr>
          <w:trHeight w:val="204"/>
        </w:trPr>
        <w:tc>
          <w:tcPr>
            <w:tcW w:w="1276" w:type="dxa"/>
            <w:tcBorders>
              <w:top w:val="nil"/>
              <w:left w:val="nil"/>
              <w:bottom w:val="nil"/>
              <w:right w:val="nil"/>
            </w:tcBorders>
            <w:shd w:val="clear" w:color="auto" w:fill="auto"/>
            <w:hideMark/>
          </w:tcPr>
          <w:p w14:paraId="6E5A06B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EC084F5"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utilizarea autovehiculelor de serviciu aflate în proprietatea Băncii Naționale a Moldovei, Guvernator, 19.02.2016</w:t>
            </w:r>
          </w:p>
        </w:tc>
      </w:tr>
      <w:tr w:rsidR="00C817DC" w:rsidRPr="00650D66" w14:paraId="404757C3" w14:textId="77777777" w:rsidTr="00F32C69">
        <w:trPr>
          <w:trHeight w:val="204"/>
        </w:trPr>
        <w:tc>
          <w:tcPr>
            <w:tcW w:w="1276" w:type="dxa"/>
            <w:tcBorders>
              <w:top w:val="nil"/>
              <w:left w:val="nil"/>
              <w:bottom w:val="nil"/>
              <w:right w:val="nil"/>
            </w:tcBorders>
            <w:shd w:val="clear" w:color="auto" w:fill="auto"/>
            <w:hideMark/>
          </w:tcPr>
          <w:p w14:paraId="05111ED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CD9881A" w14:textId="77777777" w:rsidR="00C817DC" w:rsidRPr="00650D66" w:rsidRDefault="00C53EE7"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w:t>
            </w:r>
            <w:r w:rsidR="00C817DC" w:rsidRPr="00650D66">
              <w:rPr>
                <w:rFonts w:ascii="Times New Roman" w:eastAsia="Times New Roman" w:hAnsi="Times New Roman" w:cs="Times New Roman"/>
                <w:color w:val="000000"/>
                <w:sz w:val="20"/>
                <w:szCs w:val="20"/>
                <w:lang w:val="ro-RO"/>
              </w:rPr>
              <w:t xml:space="preserve"> privind modul de exploatare </w:t>
            </w:r>
            <w:proofErr w:type="spellStart"/>
            <w:r w:rsidR="00C817DC" w:rsidRPr="00650D66">
              <w:rPr>
                <w:rFonts w:ascii="Times New Roman" w:eastAsia="Times New Roman" w:hAnsi="Times New Roman" w:cs="Times New Roman"/>
                <w:color w:val="000000"/>
                <w:sz w:val="20"/>
                <w:szCs w:val="20"/>
                <w:lang w:val="ro-RO"/>
              </w:rPr>
              <w:t>şi</w:t>
            </w:r>
            <w:proofErr w:type="spellEnd"/>
            <w:r w:rsidR="00C817DC" w:rsidRPr="00650D66">
              <w:rPr>
                <w:rFonts w:ascii="Times New Roman" w:eastAsia="Times New Roman" w:hAnsi="Times New Roman" w:cs="Times New Roman"/>
                <w:color w:val="000000"/>
                <w:sz w:val="20"/>
                <w:szCs w:val="20"/>
                <w:lang w:val="ro-RO"/>
              </w:rPr>
              <w:t xml:space="preserve"> </w:t>
            </w:r>
            <w:r w:rsidRPr="00650D66">
              <w:rPr>
                <w:rFonts w:ascii="Times New Roman" w:eastAsia="Times New Roman" w:hAnsi="Times New Roman" w:cs="Times New Roman"/>
                <w:color w:val="000000"/>
                <w:sz w:val="20"/>
                <w:szCs w:val="20"/>
                <w:lang w:val="ro-RO"/>
              </w:rPr>
              <w:t>evidență</w:t>
            </w:r>
            <w:r w:rsidR="00C817DC" w:rsidRPr="00650D66">
              <w:rPr>
                <w:rFonts w:ascii="Times New Roman" w:eastAsia="Times New Roman" w:hAnsi="Times New Roman" w:cs="Times New Roman"/>
                <w:color w:val="000000"/>
                <w:sz w:val="20"/>
                <w:szCs w:val="20"/>
                <w:lang w:val="ro-RO"/>
              </w:rPr>
              <w:t xml:space="preserve"> al anvelopelor la mijloacele de transport al Băncii </w:t>
            </w:r>
            <w:r w:rsidRPr="00650D66">
              <w:rPr>
                <w:rFonts w:ascii="Times New Roman" w:eastAsia="Times New Roman" w:hAnsi="Times New Roman" w:cs="Times New Roman"/>
                <w:color w:val="000000"/>
                <w:sz w:val="20"/>
                <w:szCs w:val="20"/>
                <w:lang w:val="ro-RO"/>
              </w:rPr>
              <w:t>Naționale</w:t>
            </w:r>
            <w:r w:rsidR="00C817DC" w:rsidRPr="00650D66">
              <w:rPr>
                <w:rFonts w:ascii="Times New Roman" w:eastAsia="Times New Roman" w:hAnsi="Times New Roman" w:cs="Times New Roman"/>
                <w:color w:val="000000"/>
                <w:sz w:val="20"/>
                <w:szCs w:val="20"/>
                <w:lang w:val="ro-RO"/>
              </w:rPr>
              <w:t xml:space="preserve"> a Moldovei, Viceguvernator, 25.11.2005</w:t>
            </w:r>
          </w:p>
        </w:tc>
      </w:tr>
      <w:tr w:rsidR="00C817DC" w:rsidRPr="00650D66" w14:paraId="2DD88F00" w14:textId="77777777" w:rsidTr="00F32C69">
        <w:trPr>
          <w:trHeight w:val="204"/>
        </w:trPr>
        <w:tc>
          <w:tcPr>
            <w:tcW w:w="1276" w:type="dxa"/>
            <w:tcBorders>
              <w:top w:val="nil"/>
              <w:left w:val="nil"/>
              <w:bottom w:val="nil"/>
              <w:right w:val="nil"/>
            </w:tcBorders>
            <w:shd w:val="clear" w:color="auto" w:fill="auto"/>
            <w:hideMark/>
          </w:tcPr>
          <w:p w14:paraId="0BFEB9AC"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625A931"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698 Gestiunea activelor materiale și imobilizărilor necorporale</w:t>
            </w:r>
          </w:p>
        </w:tc>
      </w:tr>
      <w:tr w:rsidR="00C817DC" w:rsidRPr="00650D66" w14:paraId="79DC581E" w14:textId="77777777" w:rsidTr="00F32C69">
        <w:trPr>
          <w:trHeight w:val="204"/>
        </w:trPr>
        <w:tc>
          <w:tcPr>
            <w:tcW w:w="1276" w:type="dxa"/>
            <w:tcBorders>
              <w:top w:val="nil"/>
              <w:left w:val="nil"/>
              <w:bottom w:val="nil"/>
              <w:right w:val="nil"/>
            </w:tcBorders>
            <w:shd w:val="clear" w:color="auto" w:fill="auto"/>
            <w:hideMark/>
          </w:tcPr>
          <w:p w14:paraId="67F2B07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467B6CA"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701 Gestionarea cantinei BNM</w:t>
            </w:r>
          </w:p>
        </w:tc>
      </w:tr>
      <w:tr w:rsidR="00C817DC" w:rsidRPr="00650D66" w14:paraId="09514E62" w14:textId="77777777" w:rsidTr="00F32C69">
        <w:trPr>
          <w:trHeight w:val="204"/>
        </w:trPr>
        <w:tc>
          <w:tcPr>
            <w:tcW w:w="1276" w:type="dxa"/>
            <w:tcBorders>
              <w:top w:val="nil"/>
              <w:left w:val="nil"/>
              <w:bottom w:val="nil"/>
              <w:right w:val="nil"/>
            </w:tcBorders>
            <w:shd w:val="clear" w:color="auto" w:fill="auto"/>
            <w:hideMark/>
          </w:tcPr>
          <w:p w14:paraId="152D76F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C393274"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Proces 691 Gestiunea utilizării resurselor energetice și a apei </w:t>
            </w:r>
          </w:p>
        </w:tc>
      </w:tr>
      <w:tr w:rsidR="00C817DC" w:rsidRPr="00650D66" w14:paraId="5F6AA1A1" w14:textId="77777777" w:rsidTr="00F32C69">
        <w:trPr>
          <w:trHeight w:val="204"/>
        </w:trPr>
        <w:tc>
          <w:tcPr>
            <w:tcW w:w="1276" w:type="dxa"/>
            <w:tcBorders>
              <w:top w:val="nil"/>
              <w:left w:val="nil"/>
              <w:bottom w:val="nil"/>
              <w:right w:val="nil"/>
            </w:tcBorders>
            <w:shd w:val="clear" w:color="auto" w:fill="auto"/>
            <w:hideMark/>
          </w:tcPr>
          <w:p w14:paraId="0F38A89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BA8A265"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Proces 690 Gestiunea deservirii mașinilor, utilajului, sistemelor, instalațiilor și tehnicii de calcul</w:t>
            </w:r>
          </w:p>
        </w:tc>
      </w:tr>
      <w:tr w:rsidR="00C817DC" w:rsidRPr="00650D66" w14:paraId="44807D1A" w14:textId="77777777" w:rsidTr="00F32C69">
        <w:trPr>
          <w:trHeight w:val="210"/>
        </w:trPr>
        <w:tc>
          <w:tcPr>
            <w:tcW w:w="1276" w:type="dxa"/>
            <w:tcBorders>
              <w:top w:val="nil"/>
              <w:left w:val="nil"/>
              <w:bottom w:val="nil"/>
              <w:right w:val="nil"/>
            </w:tcBorders>
            <w:shd w:val="clear" w:color="auto" w:fill="auto"/>
            <w:hideMark/>
          </w:tcPr>
          <w:p w14:paraId="18C78C6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A615ED9"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modul de organizare a evidenței activelor materiale și nemateriale aflate în patrimoniul Băncii Naționale a Moldovei, HCA nr. 269 din 25.12.2008 (aprobat HCE nr.48 din 01.10.2015)</w:t>
            </w:r>
          </w:p>
        </w:tc>
      </w:tr>
      <w:tr w:rsidR="00C817DC" w:rsidRPr="00650D66" w14:paraId="30FE8E7B" w14:textId="77777777" w:rsidTr="00F32C69">
        <w:trPr>
          <w:trHeight w:val="210"/>
        </w:trPr>
        <w:tc>
          <w:tcPr>
            <w:tcW w:w="1276" w:type="dxa"/>
            <w:tcBorders>
              <w:top w:val="nil"/>
              <w:left w:val="nil"/>
              <w:bottom w:val="nil"/>
              <w:right w:val="nil"/>
            </w:tcBorders>
            <w:shd w:val="clear" w:color="auto" w:fill="auto"/>
            <w:hideMark/>
          </w:tcPr>
          <w:p w14:paraId="104C3939"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73BECF6"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nr.335 din 28.11.2018</w:t>
            </w:r>
          </w:p>
        </w:tc>
      </w:tr>
      <w:tr w:rsidR="00C817DC" w:rsidRPr="00650D66" w14:paraId="3657ED71" w14:textId="77777777" w:rsidTr="00F32C69">
        <w:trPr>
          <w:trHeight w:val="210"/>
        </w:trPr>
        <w:tc>
          <w:tcPr>
            <w:tcW w:w="1276" w:type="dxa"/>
            <w:tcBorders>
              <w:top w:val="nil"/>
              <w:left w:val="nil"/>
              <w:bottom w:val="nil"/>
              <w:right w:val="nil"/>
            </w:tcBorders>
            <w:shd w:val="clear" w:color="auto" w:fill="auto"/>
            <w:hideMark/>
          </w:tcPr>
          <w:p w14:paraId="30ACDADA"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254B2B0"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Ordinul Ministerului Transporturilor și Infrastructurii Drumurilor cu privire la aprobarea Normelor de parcurs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exploatare a anvelopelor pentru mijloacele de transport auto nr.124 din 29.07.2005 </w:t>
            </w:r>
          </w:p>
        </w:tc>
      </w:tr>
      <w:tr w:rsidR="00C817DC" w:rsidRPr="00650D66" w14:paraId="4A5190A5" w14:textId="77777777" w:rsidTr="00F32C69">
        <w:trPr>
          <w:trHeight w:val="210"/>
        </w:trPr>
        <w:tc>
          <w:tcPr>
            <w:tcW w:w="1276" w:type="dxa"/>
            <w:tcBorders>
              <w:top w:val="nil"/>
              <w:left w:val="nil"/>
              <w:bottom w:val="nil"/>
              <w:right w:val="nil"/>
            </w:tcBorders>
            <w:shd w:val="clear" w:color="auto" w:fill="auto"/>
            <w:hideMark/>
          </w:tcPr>
          <w:p w14:paraId="663CEA48"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9F4AB04"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Ministerului Transporturilor și Infrastructurii Drumurilor privind aprobarea normativelor temporare în domeniul transportului auto nr.98 din 06.06.2005</w:t>
            </w:r>
          </w:p>
        </w:tc>
      </w:tr>
      <w:tr w:rsidR="00C817DC" w:rsidRPr="00650D66" w14:paraId="5351CA9A" w14:textId="77777777" w:rsidTr="00F32C69">
        <w:trPr>
          <w:trHeight w:val="210"/>
        </w:trPr>
        <w:tc>
          <w:tcPr>
            <w:tcW w:w="1276" w:type="dxa"/>
            <w:tcBorders>
              <w:top w:val="nil"/>
              <w:left w:val="nil"/>
              <w:bottom w:val="nil"/>
              <w:right w:val="nil"/>
            </w:tcBorders>
            <w:shd w:val="clear" w:color="auto" w:fill="auto"/>
            <w:hideMark/>
          </w:tcPr>
          <w:p w14:paraId="3626DBC4"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0BC9AF2B"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Diverse norme, prețuri și limite interne stabilite prin ordine ale Guvernatorului sau aprobate la nivel de Viceguvernator</w:t>
            </w:r>
          </w:p>
        </w:tc>
      </w:tr>
      <w:tr w:rsidR="00C817DC" w:rsidRPr="00650D66" w14:paraId="65D5BE2B" w14:textId="77777777" w:rsidTr="00F32C69">
        <w:trPr>
          <w:trHeight w:val="210"/>
        </w:trPr>
        <w:tc>
          <w:tcPr>
            <w:tcW w:w="1276" w:type="dxa"/>
            <w:tcBorders>
              <w:top w:val="nil"/>
              <w:left w:val="nil"/>
              <w:bottom w:val="nil"/>
              <w:right w:val="nil"/>
            </w:tcBorders>
            <w:shd w:val="clear" w:color="auto" w:fill="auto"/>
            <w:hideMark/>
          </w:tcPr>
          <w:p w14:paraId="03D668D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537FB87F" w14:textId="77777777" w:rsidR="00C817DC" w:rsidRPr="00650D66" w:rsidRDefault="00C817DC" w:rsidP="00011876">
            <w:pPr>
              <w:spacing w:after="0" w:line="240" w:lineRule="auto"/>
              <w:jc w:val="both"/>
              <w:rPr>
                <w:rFonts w:ascii="Times New Roman" w:eastAsia="Times New Roman" w:hAnsi="Times New Roman" w:cs="Times New Roman"/>
                <w:sz w:val="20"/>
                <w:szCs w:val="20"/>
                <w:lang w:val="ro-RO"/>
              </w:rPr>
            </w:pPr>
          </w:p>
        </w:tc>
      </w:tr>
      <w:tr w:rsidR="00C817DC" w:rsidRPr="00650D66" w14:paraId="57DE4E0A" w14:textId="77777777" w:rsidTr="00F32C69">
        <w:trPr>
          <w:trHeight w:val="204"/>
        </w:trPr>
        <w:tc>
          <w:tcPr>
            <w:tcW w:w="11141" w:type="dxa"/>
            <w:gridSpan w:val="2"/>
            <w:tcBorders>
              <w:top w:val="nil"/>
              <w:left w:val="nil"/>
              <w:bottom w:val="nil"/>
              <w:right w:val="nil"/>
            </w:tcBorders>
            <w:shd w:val="clear" w:color="auto" w:fill="auto"/>
            <w:noWrap/>
            <w:hideMark/>
          </w:tcPr>
          <w:p w14:paraId="53ED7640"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și achiziții în domeniul operațiuni cu numerar</w:t>
            </w:r>
          </w:p>
        </w:tc>
      </w:tr>
      <w:tr w:rsidR="00C817DC" w:rsidRPr="00650D66" w14:paraId="51175C36" w14:textId="77777777" w:rsidTr="00F32C69">
        <w:trPr>
          <w:trHeight w:val="204"/>
        </w:trPr>
        <w:tc>
          <w:tcPr>
            <w:tcW w:w="1276" w:type="dxa"/>
            <w:tcBorders>
              <w:top w:val="nil"/>
              <w:left w:val="nil"/>
              <w:bottom w:val="nil"/>
              <w:right w:val="nil"/>
            </w:tcBorders>
            <w:shd w:val="clear" w:color="auto" w:fill="auto"/>
            <w:noWrap/>
            <w:hideMark/>
          </w:tcPr>
          <w:p w14:paraId="0664B8D7"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p>
        </w:tc>
        <w:tc>
          <w:tcPr>
            <w:tcW w:w="9867" w:type="dxa"/>
            <w:tcBorders>
              <w:top w:val="nil"/>
              <w:left w:val="nil"/>
              <w:bottom w:val="nil"/>
              <w:right w:val="nil"/>
            </w:tcBorders>
            <w:shd w:val="clear" w:color="auto" w:fill="auto"/>
            <w:hideMark/>
          </w:tcPr>
          <w:p w14:paraId="6113D676"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109BEF55" w14:textId="77777777" w:rsidTr="00F32C69">
        <w:trPr>
          <w:trHeight w:val="204"/>
        </w:trPr>
        <w:tc>
          <w:tcPr>
            <w:tcW w:w="1276" w:type="dxa"/>
            <w:tcBorders>
              <w:top w:val="nil"/>
              <w:left w:val="nil"/>
              <w:bottom w:val="nil"/>
              <w:right w:val="nil"/>
            </w:tcBorders>
            <w:shd w:val="clear" w:color="auto" w:fill="auto"/>
            <w:hideMark/>
          </w:tcPr>
          <w:p w14:paraId="08395A5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2022</w:t>
            </w:r>
          </w:p>
        </w:tc>
        <w:tc>
          <w:tcPr>
            <w:tcW w:w="9867" w:type="dxa"/>
            <w:tcBorders>
              <w:top w:val="nil"/>
              <w:left w:val="nil"/>
              <w:bottom w:val="nil"/>
              <w:right w:val="nil"/>
            </w:tcBorders>
            <w:shd w:val="clear" w:color="auto" w:fill="auto"/>
            <w:hideMark/>
          </w:tcPr>
          <w:p w14:paraId="1B4A689C" w14:textId="77777777" w:rsidR="00C817DC" w:rsidRPr="00650D66" w:rsidRDefault="003C346A"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w:t>
            </w:r>
            <w:r w:rsidR="00C817DC" w:rsidRPr="00650D66">
              <w:rPr>
                <w:rFonts w:ascii="Times New Roman" w:eastAsia="Times New Roman" w:hAnsi="Times New Roman" w:cs="Times New Roman"/>
                <w:color w:val="000000"/>
                <w:sz w:val="20"/>
                <w:szCs w:val="20"/>
                <w:lang w:val="ro-RO"/>
              </w:rPr>
              <w:t xml:space="preserve"> cu privire la </w:t>
            </w:r>
            <w:r w:rsidRPr="00650D66">
              <w:rPr>
                <w:rFonts w:ascii="Times New Roman" w:eastAsia="Times New Roman" w:hAnsi="Times New Roman" w:cs="Times New Roman"/>
                <w:color w:val="000000"/>
                <w:sz w:val="20"/>
                <w:szCs w:val="20"/>
                <w:lang w:val="ro-RO"/>
              </w:rPr>
              <w:t>operațiunile</w:t>
            </w:r>
            <w:r w:rsidR="00C817DC" w:rsidRPr="00650D66">
              <w:rPr>
                <w:rFonts w:ascii="Times New Roman" w:eastAsia="Times New Roman" w:hAnsi="Times New Roman" w:cs="Times New Roman"/>
                <w:color w:val="000000"/>
                <w:sz w:val="20"/>
                <w:szCs w:val="20"/>
                <w:lang w:val="ro-RO"/>
              </w:rPr>
              <w:t xml:space="preserve"> cu numerar în Banca </w:t>
            </w:r>
            <w:r w:rsidRPr="00650D66">
              <w:rPr>
                <w:rFonts w:ascii="Times New Roman" w:eastAsia="Times New Roman" w:hAnsi="Times New Roman" w:cs="Times New Roman"/>
                <w:color w:val="000000"/>
                <w:sz w:val="20"/>
                <w:szCs w:val="20"/>
                <w:lang w:val="ro-RO"/>
              </w:rPr>
              <w:t>Națională</w:t>
            </w:r>
            <w:r w:rsidR="00C817DC" w:rsidRPr="00650D66">
              <w:rPr>
                <w:rFonts w:ascii="Times New Roman" w:eastAsia="Times New Roman" w:hAnsi="Times New Roman" w:cs="Times New Roman"/>
                <w:color w:val="000000"/>
                <w:sz w:val="20"/>
                <w:szCs w:val="20"/>
                <w:lang w:val="ro-RO"/>
              </w:rPr>
              <w:t xml:space="preserve"> a Moldovei, HCE, Nr.151 din 21.07.2022</w:t>
            </w:r>
          </w:p>
        </w:tc>
      </w:tr>
      <w:tr w:rsidR="00C817DC" w:rsidRPr="00650D66" w14:paraId="74D86C3F" w14:textId="77777777" w:rsidTr="00F32C69">
        <w:trPr>
          <w:trHeight w:val="210"/>
        </w:trPr>
        <w:tc>
          <w:tcPr>
            <w:tcW w:w="1276" w:type="dxa"/>
            <w:tcBorders>
              <w:top w:val="nil"/>
              <w:left w:val="nil"/>
              <w:bottom w:val="nil"/>
              <w:right w:val="nil"/>
            </w:tcBorders>
            <w:shd w:val="clear" w:color="auto" w:fill="auto"/>
            <w:hideMark/>
          </w:tcPr>
          <w:p w14:paraId="49394E5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68058B8"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modul de organizare a evidenței activelor materiale și nemateriale aflate în patrimoniul Băncii Naționale a Moldovei, HCA nr. 269 din 25.12.2008 (aprobat HCE nr.48 din 01.10.2015)</w:t>
            </w:r>
          </w:p>
        </w:tc>
      </w:tr>
      <w:tr w:rsidR="00C817DC" w:rsidRPr="00650D66" w14:paraId="2A6B6F5F" w14:textId="77777777" w:rsidTr="00F32C69">
        <w:trPr>
          <w:trHeight w:val="204"/>
        </w:trPr>
        <w:tc>
          <w:tcPr>
            <w:tcW w:w="1276" w:type="dxa"/>
            <w:tcBorders>
              <w:top w:val="nil"/>
              <w:left w:val="nil"/>
              <w:bottom w:val="nil"/>
              <w:right w:val="nil"/>
            </w:tcBorders>
            <w:shd w:val="clear" w:color="auto" w:fill="auto"/>
            <w:noWrap/>
            <w:hideMark/>
          </w:tcPr>
          <w:p w14:paraId="2DBDB23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6169944E" w14:textId="77777777" w:rsidR="00C817DC" w:rsidRPr="00650D66" w:rsidRDefault="00C817DC" w:rsidP="00011876">
            <w:pPr>
              <w:spacing w:after="0" w:line="240" w:lineRule="auto"/>
              <w:jc w:val="both"/>
              <w:rPr>
                <w:rFonts w:ascii="Times New Roman" w:eastAsia="Times New Roman" w:hAnsi="Times New Roman" w:cs="Times New Roman"/>
                <w:sz w:val="20"/>
                <w:szCs w:val="20"/>
                <w:lang w:val="ro-RO"/>
              </w:rPr>
            </w:pPr>
          </w:p>
        </w:tc>
      </w:tr>
      <w:tr w:rsidR="00C817DC" w:rsidRPr="00650D66" w14:paraId="653864C5" w14:textId="77777777" w:rsidTr="00F32C69">
        <w:trPr>
          <w:trHeight w:val="204"/>
        </w:trPr>
        <w:tc>
          <w:tcPr>
            <w:tcW w:w="11141" w:type="dxa"/>
            <w:gridSpan w:val="2"/>
            <w:tcBorders>
              <w:top w:val="nil"/>
              <w:left w:val="nil"/>
              <w:bottom w:val="nil"/>
              <w:right w:val="nil"/>
            </w:tcBorders>
            <w:shd w:val="clear" w:color="auto" w:fill="auto"/>
            <w:noWrap/>
            <w:hideMark/>
          </w:tcPr>
          <w:p w14:paraId="769C4CBA"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Cheltuieli de reprezentanță</w:t>
            </w:r>
          </w:p>
        </w:tc>
      </w:tr>
      <w:tr w:rsidR="00C817DC" w:rsidRPr="00650D66" w14:paraId="48A82838" w14:textId="77777777" w:rsidTr="00F32C69">
        <w:trPr>
          <w:trHeight w:val="204"/>
        </w:trPr>
        <w:tc>
          <w:tcPr>
            <w:tcW w:w="1276" w:type="dxa"/>
            <w:tcBorders>
              <w:top w:val="nil"/>
              <w:left w:val="nil"/>
              <w:bottom w:val="nil"/>
              <w:right w:val="nil"/>
            </w:tcBorders>
            <w:shd w:val="clear" w:color="auto" w:fill="auto"/>
            <w:hideMark/>
          </w:tcPr>
          <w:p w14:paraId="3F7EB44E"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7AD7ECE6"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cheltuielile de reprezentanță, aprobat prin HCE nr.238 din 08.09.2016</w:t>
            </w:r>
          </w:p>
        </w:tc>
      </w:tr>
      <w:tr w:rsidR="00C817DC" w:rsidRPr="00650D66" w14:paraId="5D29F90D" w14:textId="77777777" w:rsidTr="00F32C69">
        <w:trPr>
          <w:trHeight w:val="204"/>
        </w:trPr>
        <w:tc>
          <w:tcPr>
            <w:tcW w:w="1276" w:type="dxa"/>
            <w:tcBorders>
              <w:top w:val="nil"/>
              <w:left w:val="nil"/>
              <w:bottom w:val="nil"/>
              <w:right w:val="nil"/>
            </w:tcBorders>
            <w:shd w:val="clear" w:color="auto" w:fill="auto"/>
            <w:hideMark/>
          </w:tcPr>
          <w:p w14:paraId="761BBF2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18096E8"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Instrucțiunea privind organizarea și efectuarea operațiunilor contabile și documentelor aferente acestora în BNM, aprobat de Viceguvernatorul BNM nr. 11- 01104/375 din 31.12.2014</w:t>
            </w:r>
          </w:p>
        </w:tc>
      </w:tr>
      <w:tr w:rsidR="00C817DC" w:rsidRPr="00650D66" w14:paraId="28026150" w14:textId="77777777" w:rsidTr="00F32C69">
        <w:trPr>
          <w:trHeight w:val="204"/>
        </w:trPr>
        <w:tc>
          <w:tcPr>
            <w:tcW w:w="1276" w:type="dxa"/>
            <w:tcBorders>
              <w:top w:val="nil"/>
              <w:left w:val="nil"/>
              <w:bottom w:val="nil"/>
              <w:right w:val="nil"/>
            </w:tcBorders>
            <w:shd w:val="clear" w:color="auto" w:fill="auto"/>
            <w:hideMark/>
          </w:tcPr>
          <w:p w14:paraId="2E445F76"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100EEF63"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Înregistrări contabile aferente cheltuielilor de reprezentanță în Banca Națională a Moldovei nr.11-01204/107 din 30.12.2005, cu modificările ulterioare</w:t>
            </w:r>
          </w:p>
        </w:tc>
      </w:tr>
      <w:tr w:rsidR="00C817DC" w:rsidRPr="00650D66" w14:paraId="49F4AF23" w14:textId="77777777" w:rsidTr="00F32C69">
        <w:trPr>
          <w:trHeight w:val="408"/>
        </w:trPr>
        <w:tc>
          <w:tcPr>
            <w:tcW w:w="1276" w:type="dxa"/>
            <w:tcBorders>
              <w:top w:val="nil"/>
              <w:left w:val="nil"/>
              <w:bottom w:val="nil"/>
              <w:right w:val="nil"/>
            </w:tcBorders>
            <w:shd w:val="clear" w:color="auto" w:fill="auto"/>
            <w:hideMark/>
          </w:tcPr>
          <w:p w14:paraId="7E5C045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2B1E717E"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nr.335 din 28.11.2018</w:t>
            </w:r>
          </w:p>
        </w:tc>
      </w:tr>
      <w:tr w:rsidR="00C817DC" w:rsidRPr="00650D66" w14:paraId="58BC49BA" w14:textId="77777777" w:rsidTr="00F32C69">
        <w:trPr>
          <w:trHeight w:val="204"/>
        </w:trPr>
        <w:tc>
          <w:tcPr>
            <w:tcW w:w="1276" w:type="dxa"/>
            <w:tcBorders>
              <w:top w:val="nil"/>
              <w:left w:val="nil"/>
              <w:bottom w:val="nil"/>
              <w:right w:val="nil"/>
            </w:tcBorders>
            <w:shd w:val="clear" w:color="auto" w:fill="auto"/>
            <w:hideMark/>
          </w:tcPr>
          <w:p w14:paraId="4AEFACAD"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p>
        </w:tc>
        <w:tc>
          <w:tcPr>
            <w:tcW w:w="9867" w:type="dxa"/>
            <w:tcBorders>
              <w:top w:val="nil"/>
              <w:left w:val="nil"/>
              <w:bottom w:val="nil"/>
              <w:right w:val="nil"/>
            </w:tcBorders>
            <w:shd w:val="clear" w:color="auto" w:fill="auto"/>
            <w:hideMark/>
          </w:tcPr>
          <w:p w14:paraId="67C05651" w14:textId="77777777" w:rsidR="00C817DC" w:rsidRPr="00650D66" w:rsidRDefault="00C817DC" w:rsidP="00C817DC">
            <w:pPr>
              <w:spacing w:after="0" w:line="240" w:lineRule="auto"/>
              <w:rPr>
                <w:rFonts w:ascii="Times New Roman" w:eastAsia="Times New Roman" w:hAnsi="Times New Roman" w:cs="Times New Roman"/>
                <w:sz w:val="20"/>
                <w:szCs w:val="20"/>
                <w:lang w:val="ro-RO"/>
              </w:rPr>
            </w:pPr>
          </w:p>
        </w:tc>
      </w:tr>
      <w:tr w:rsidR="00C817DC" w:rsidRPr="00650D66" w14:paraId="28321E2A" w14:textId="77777777" w:rsidTr="00F32C69">
        <w:trPr>
          <w:trHeight w:val="204"/>
        </w:trPr>
        <w:tc>
          <w:tcPr>
            <w:tcW w:w="11141" w:type="dxa"/>
            <w:gridSpan w:val="2"/>
            <w:tcBorders>
              <w:top w:val="nil"/>
              <w:left w:val="nil"/>
              <w:bottom w:val="nil"/>
              <w:right w:val="nil"/>
            </w:tcBorders>
            <w:shd w:val="clear" w:color="auto" w:fill="auto"/>
            <w:noWrap/>
            <w:hideMark/>
          </w:tcPr>
          <w:p w14:paraId="4A65386A" w14:textId="77777777" w:rsidR="00C817DC" w:rsidRPr="00650D66" w:rsidRDefault="00C817DC" w:rsidP="00C817DC">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Amortizarea imobilizărilor corporale și necorporale</w:t>
            </w:r>
          </w:p>
        </w:tc>
      </w:tr>
      <w:tr w:rsidR="00C817DC" w:rsidRPr="00650D66" w14:paraId="607533E6" w14:textId="77777777" w:rsidTr="00F32C69">
        <w:trPr>
          <w:trHeight w:val="204"/>
        </w:trPr>
        <w:tc>
          <w:tcPr>
            <w:tcW w:w="1276" w:type="dxa"/>
            <w:tcBorders>
              <w:top w:val="nil"/>
              <w:left w:val="nil"/>
              <w:bottom w:val="nil"/>
              <w:right w:val="nil"/>
            </w:tcBorders>
            <w:shd w:val="clear" w:color="auto" w:fill="auto"/>
            <w:hideMark/>
          </w:tcPr>
          <w:p w14:paraId="25BBFB10"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79B6B6E"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Politica de contabilitate a Băncii Naționale a Moldovei </w:t>
            </w:r>
          </w:p>
        </w:tc>
      </w:tr>
      <w:tr w:rsidR="00C817DC" w:rsidRPr="00650D66" w14:paraId="431AA92C" w14:textId="77777777" w:rsidTr="00F32C69">
        <w:trPr>
          <w:trHeight w:val="210"/>
        </w:trPr>
        <w:tc>
          <w:tcPr>
            <w:tcW w:w="1276" w:type="dxa"/>
            <w:tcBorders>
              <w:top w:val="nil"/>
              <w:left w:val="nil"/>
              <w:bottom w:val="nil"/>
              <w:right w:val="nil"/>
            </w:tcBorders>
            <w:shd w:val="clear" w:color="auto" w:fill="auto"/>
            <w:hideMark/>
          </w:tcPr>
          <w:p w14:paraId="0B54EFB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547C6424" w14:textId="77777777" w:rsidR="00C817DC" w:rsidRPr="00650D66" w:rsidRDefault="00DB1EC5"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Standardele</w:t>
            </w:r>
            <w:r w:rsidR="00C817DC" w:rsidRPr="00650D66">
              <w:rPr>
                <w:rFonts w:ascii="Times New Roman" w:eastAsia="Times New Roman" w:hAnsi="Times New Roman" w:cs="Times New Roman"/>
                <w:color w:val="000000"/>
                <w:sz w:val="20"/>
                <w:szCs w:val="20"/>
                <w:lang w:val="ro-RO"/>
              </w:rPr>
              <w:t xml:space="preserve"> internaționale de raportare financiară</w:t>
            </w:r>
          </w:p>
        </w:tc>
      </w:tr>
      <w:tr w:rsidR="00C817DC" w:rsidRPr="00650D66" w14:paraId="57B3BE8F" w14:textId="77777777" w:rsidTr="00F32C69">
        <w:trPr>
          <w:trHeight w:val="204"/>
        </w:trPr>
        <w:tc>
          <w:tcPr>
            <w:tcW w:w="1276" w:type="dxa"/>
            <w:tcBorders>
              <w:top w:val="nil"/>
              <w:left w:val="nil"/>
              <w:bottom w:val="nil"/>
              <w:right w:val="nil"/>
            </w:tcBorders>
            <w:shd w:val="clear" w:color="auto" w:fill="auto"/>
            <w:hideMark/>
          </w:tcPr>
          <w:p w14:paraId="70D8CCA1"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482F3FEA"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Regulamentul privind modul de organizare a evidenței activelor materiale și imobilizărilor necorporale, aprobat prin HCE nr.48 din 01.10.2015 (cu modificările ulterioare)</w:t>
            </w:r>
          </w:p>
        </w:tc>
      </w:tr>
      <w:tr w:rsidR="00C817DC" w:rsidRPr="00650D66" w14:paraId="3A8CDF7A" w14:textId="77777777" w:rsidTr="00F32C69">
        <w:trPr>
          <w:trHeight w:val="204"/>
        </w:trPr>
        <w:tc>
          <w:tcPr>
            <w:tcW w:w="1276" w:type="dxa"/>
            <w:tcBorders>
              <w:top w:val="nil"/>
              <w:left w:val="nil"/>
              <w:bottom w:val="nil"/>
              <w:right w:val="nil"/>
            </w:tcBorders>
            <w:shd w:val="clear" w:color="auto" w:fill="auto"/>
            <w:hideMark/>
          </w:tcPr>
          <w:p w14:paraId="25A269E3"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2020-2022</w:t>
            </w:r>
          </w:p>
        </w:tc>
        <w:tc>
          <w:tcPr>
            <w:tcW w:w="9867" w:type="dxa"/>
            <w:tcBorders>
              <w:top w:val="nil"/>
              <w:left w:val="nil"/>
              <w:bottom w:val="nil"/>
              <w:right w:val="nil"/>
            </w:tcBorders>
            <w:shd w:val="clear" w:color="auto" w:fill="auto"/>
            <w:hideMark/>
          </w:tcPr>
          <w:p w14:paraId="62C4FF8E" w14:textId="77777777" w:rsidR="00C817DC" w:rsidRPr="00650D66" w:rsidRDefault="00D767FF" w:rsidP="00011876">
            <w:pPr>
              <w:spacing w:after="0" w:line="240" w:lineRule="auto"/>
              <w:jc w:val="both"/>
              <w:rPr>
                <w:rFonts w:ascii="Times New Roman" w:eastAsia="Times New Roman" w:hAnsi="Times New Roman" w:cs="Times New Roman"/>
                <w:color w:val="000000"/>
                <w:sz w:val="20"/>
                <w:szCs w:val="20"/>
                <w:lang w:val="ro-RO"/>
              </w:rPr>
            </w:pPr>
            <w:hyperlink r:id="rId16" w:history="1">
              <w:r w:rsidR="00C817DC" w:rsidRPr="00650D66">
                <w:rPr>
                  <w:rFonts w:ascii="Times New Roman" w:eastAsia="Times New Roman" w:hAnsi="Times New Roman" w:cs="Times New Roman"/>
                  <w:color w:val="000000"/>
                  <w:sz w:val="20"/>
                  <w:szCs w:val="20"/>
                  <w:lang w:val="ro-RO"/>
                </w:rPr>
                <w:t xml:space="preserve">Catalogul privind clasificarea </w:t>
              </w:r>
              <w:proofErr w:type="spellStart"/>
              <w:r w:rsidR="00C817DC" w:rsidRPr="00650D66">
                <w:rPr>
                  <w:rFonts w:ascii="Times New Roman" w:eastAsia="Times New Roman" w:hAnsi="Times New Roman" w:cs="Times New Roman"/>
                  <w:color w:val="000000"/>
                  <w:sz w:val="20"/>
                  <w:szCs w:val="20"/>
                  <w:lang w:val="ro-RO"/>
                </w:rPr>
                <w:t>şi</w:t>
              </w:r>
              <w:proofErr w:type="spellEnd"/>
              <w:r w:rsidR="00C817DC" w:rsidRPr="00650D66">
                <w:rPr>
                  <w:rFonts w:ascii="Times New Roman" w:eastAsia="Times New Roman" w:hAnsi="Times New Roman" w:cs="Times New Roman"/>
                  <w:color w:val="000000"/>
                  <w:sz w:val="20"/>
                  <w:szCs w:val="20"/>
                  <w:lang w:val="ro-RO"/>
                </w:rPr>
                <w:t xml:space="preserve"> durata de </w:t>
              </w:r>
              <w:r w:rsidR="00D62892" w:rsidRPr="00650D66">
                <w:rPr>
                  <w:rFonts w:ascii="Times New Roman" w:eastAsia="Times New Roman" w:hAnsi="Times New Roman" w:cs="Times New Roman"/>
                  <w:color w:val="000000"/>
                  <w:sz w:val="20"/>
                  <w:szCs w:val="20"/>
                  <w:lang w:val="ro-RO"/>
                </w:rPr>
                <w:t>funcționare</w:t>
              </w:r>
              <w:r w:rsidR="00C817DC" w:rsidRPr="00650D66">
                <w:rPr>
                  <w:rFonts w:ascii="Times New Roman" w:eastAsia="Times New Roman" w:hAnsi="Times New Roman" w:cs="Times New Roman"/>
                  <w:color w:val="000000"/>
                  <w:sz w:val="20"/>
                  <w:szCs w:val="20"/>
                  <w:lang w:val="ro-RO"/>
                </w:rPr>
                <w:t xml:space="preserve"> utilă a imobiliz</w:t>
              </w:r>
              <w:r w:rsidR="00D62892" w:rsidRPr="00650D66">
                <w:rPr>
                  <w:rFonts w:ascii="Times New Roman" w:eastAsia="Times New Roman" w:hAnsi="Times New Roman" w:cs="Times New Roman"/>
                  <w:color w:val="000000"/>
                  <w:sz w:val="20"/>
                  <w:szCs w:val="20"/>
                  <w:lang w:val="ro-RO"/>
                </w:rPr>
                <w:t>ărilor corporale și necorporale</w:t>
              </w:r>
              <w:r w:rsidR="00C817DC" w:rsidRPr="00650D66">
                <w:rPr>
                  <w:rFonts w:ascii="Times New Roman" w:eastAsia="Times New Roman" w:hAnsi="Times New Roman" w:cs="Times New Roman"/>
                  <w:color w:val="000000"/>
                  <w:sz w:val="20"/>
                  <w:szCs w:val="20"/>
                  <w:lang w:val="ro-RO"/>
                </w:rPr>
                <w:t xml:space="preserve"> Viceguvernator, Nr.11-01101/1 din 31.12.2020</w:t>
              </w:r>
            </w:hyperlink>
          </w:p>
        </w:tc>
      </w:tr>
      <w:tr w:rsidR="00C817DC" w:rsidRPr="00650D66" w14:paraId="1CD652EE" w14:textId="77777777" w:rsidTr="00F32C69">
        <w:trPr>
          <w:trHeight w:val="408"/>
        </w:trPr>
        <w:tc>
          <w:tcPr>
            <w:tcW w:w="1276" w:type="dxa"/>
            <w:tcBorders>
              <w:top w:val="nil"/>
              <w:left w:val="nil"/>
              <w:bottom w:val="nil"/>
              <w:right w:val="nil"/>
            </w:tcBorders>
            <w:shd w:val="clear" w:color="auto" w:fill="auto"/>
            <w:hideMark/>
          </w:tcPr>
          <w:p w14:paraId="49660C95"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AFD91FC"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Instrucțiunea privind organizarea și efectuarea operațiunilor contabile și documentelor aferente acestora în Banca Națională a Moldovei, aprobată de Viceguvernatorul BNM cu nr.11-01104/375 din 31 decembrie 2014 (cu modificările ulterioare) </w:t>
            </w:r>
          </w:p>
        </w:tc>
      </w:tr>
      <w:tr w:rsidR="00C817DC" w:rsidRPr="00650D66" w14:paraId="2A55288B" w14:textId="77777777" w:rsidTr="00F32C69">
        <w:trPr>
          <w:trHeight w:val="204"/>
        </w:trPr>
        <w:tc>
          <w:tcPr>
            <w:tcW w:w="1276" w:type="dxa"/>
            <w:tcBorders>
              <w:top w:val="nil"/>
              <w:left w:val="nil"/>
              <w:bottom w:val="nil"/>
              <w:right w:val="nil"/>
            </w:tcBorders>
            <w:shd w:val="clear" w:color="auto" w:fill="auto"/>
            <w:hideMark/>
          </w:tcPr>
          <w:p w14:paraId="65383AF7"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393B1303"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Înregistrări contabile privind operațiunile cu imobilizări corporale </w:t>
            </w:r>
            <w:proofErr w:type="spellStart"/>
            <w:r w:rsidRPr="00650D66">
              <w:rPr>
                <w:rFonts w:ascii="Times New Roman" w:eastAsia="Times New Roman" w:hAnsi="Times New Roman" w:cs="Times New Roman"/>
                <w:color w:val="000000"/>
                <w:sz w:val="20"/>
                <w:szCs w:val="20"/>
                <w:lang w:val="ro-RO"/>
              </w:rPr>
              <w:t>şi</w:t>
            </w:r>
            <w:proofErr w:type="spellEnd"/>
            <w:r w:rsidRPr="00650D66">
              <w:rPr>
                <w:rFonts w:ascii="Times New Roman" w:eastAsia="Times New Roman" w:hAnsi="Times New Roman" w:cs="Times New Roman"/>
                <w:color w:val="000000"/>
                <w:sz w:val="20"/>
                <w:szCs w:val="20"/>
                <w:lang w:val="ro-RO"/>
              </w:rPr>
              <w:t xml:space="preserve"> necorporale și cu alte bunuri materiale nr.11-01204/146 din 14.05.2015</w:t>
            </w:r>
          </w:p>
        </w:tc>
      </w:tr>
      <w:tr w:rsidR="00C817DC" w:rsidRPr="00650D66" w14:paraId="3A43906E" w14:textId="77777777" w:rsidTr="00F32C69">
        <w:trPr>
          <w:trHeight w:val="408"/>
        </w:trPr>
        <w:tc>
          <w:tcPr>
            <w:tcW w:w="1276" w:type="dxa"/>
            <w:tcBorders>
              <w:top w:val="nil"/>
              <w:left w:val="nil"/>
              <w:bottom w:val="nil"/>
              <w:right w:val="nil"/>
            </w:tcBorders>
            <w:shd w:val="clear" w:color="auto" w:fill="auto"/>
            <w:hideMark/>
          </w:tcPr>
          <w:p w14:paraId="200116CB" w14:textId="77777777" w:rsidR="00C817DC" w:rsidRPr="00650D66" w:rsidRDefault="00C817DC" w:rsidP="00C817DC">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2019-2022</w:t>
            </w:r>
          </w:p>
        </w:tc>
        <w:tc>
          <w:tcPr>
            <w:tcW w:w="9867" w:type="dxa"/>
            <w:tcBorders>
              <w:top w:val="nil"/>
              <w:left w:val="nil"/>
              <w:bottom w:val="nil"/>
              <w:right w:val="nil"/>
            </w:tcBorders>
            <w:shd w:val="clear" w:color="auto" w:fill="auto"/>
            <w:hideMark/>
          </w:tcPr>
          <w:p w14:paraId="64D4295C" w14:textId="77777777" w:rsidR="00C817DC" w:rsidRPr="00650D66" w:rsidRDefault="00C817DC" w:rsidP="00011876">
            <w:pPr>
              <w:spacing w:after="0" w:line="240" w:lineRule="auto"/>
              <w:jc w:val="both"/>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Ordinul guvernatorului privind împuternicirile de vizare și semnare a contractelor, rapoartelor, documentelor de plată, de casă și contabile, precum și a altor documente bancare, care consemnează operațiunile economice și financiare ale Băncii Naționale a Moldovei (cu modificările ulterioare) (nr.321 din 10.11.2016, nr.335 din 28.11.2018)</w:t>
            </w:r>
          </w:p>
        </w:tc>
      </w:tr>
    </w:tbl>
    <w:p w14:paraId="4D0895EA" w14:textId="77777777" w:rsidR="00A21D45" w:rsidRPr="002D76AB" w:rsidRDefault="00172CE4" w:rsidP="00172CE4">
      <w:pPr>
        <w:pStyle w:val="ListParagraph"/>
        <w:tabs>
          <w:tab w:val="left" w:pos="426"/>
        </w:tabs>
        <w:spacing w:line="276" w:lineRule="auto"/>
        <w:ind w:left="0"/>
        <w:jc w:val="both"/>
        <w:rPr>
          <w:rFonts w:ascii="Times New Roman" w:hAnsi="Times New Roman" w:cs="Times New Roman"/>
          <w:i/>
          <w:sz w:val="20"/>
          <w:szCs w:val="20"/>
          <w:lang w:val="ro-RO"/>
        </w:rPr>
      </w:pPr>
      <w:r w:rsidRPr="002D76AB">
        <w:rPr>
          <w:rFonts w:ascii="Times New Roman" w:hAnsi="Times New Roman" w:cs="Times New Roman"/>
          <w:b/>
          <w:i/>
          <w:sz w:val="20"/>
          <w:szCs w:val="20"/>
          <w:lang w:val="ro-RO"/>
        </w:rPr>
        <w:t>Sursă:</w:t>
      </w:r>
      <w:r w:rsidRPr="002D76AB">
        <w:rPr>
          <w:rFonts w:ascii="Times New Roman" w:hAnsi="Times New Roman" w:cs="Times New Roman"/>
          <w:i/>
          <w:sz w:val="20"/>
          <w:szCs w:val="20"/>
          <w:lang w:val="ro-RO"/>
        </w:rPr>
        <w:t xml:space="preserve"> Lista a fost întocmită de către responsabilii din cadrul BNM, la solicitarea echipei de audit.</w:t>
      </w:r>
    </w:p>
    <w:p w14:paraId="5D6C168F" w14:textId="77777777" w:rsidR="00F74357" w:rsidRPr="00650D66" w:rsidRDefault="00F74357" w:rsidP="00172CE4">
      <w:pPr>
        <w:pStyle w:val="ListParagraph"/>
        <w:tabs>
          <w:tab w:val="left" w:pos="426"/>
        </w:tabs>
        <w:spacing w:line="276" w:lineRule="auto"/>
        <w:ind w:left="0"/>
        <w:jc w:val="both"/>
        <w:rPr>
          <w:rFonts w:ascii="Times New Roman" w:hAnsi="Times New Roman" w:cs="Times New Roman"/>
          <w:i/>
          <w:sz w:val="24"/>
          <w:szCs w:val="24"/>
          <w:lang w:val="ro-RO"/>
        </w:rPr>
      </w:pPr>
    </w:p>
    <w:p w14:paraId="16AA6303" w14:textId="77777777" w:rsidR="00473FE9" w:rsidRPr="00EA0E29" w:rsidRDefault="00473FE9" w:rsidP="00EA0E29">
      <w:pPr>
        <w:jc w:val="right"/>
        <w:rPr>
          <w:rFonts w:ascii="Times New Roman" w:hAnsi="Times New Roman" w:cs="Times New Roman"/>
          <w:b/>
          <w:sz w:val="24"/>
          <w:szCs w:val="24"/>
          <w:lang w:val="ro-RO"/>
        </w:rPr>
      </w:pPr>
      <w:r w:rsidRPr="00EA0E29">
        <w:rPr>
          <w:rFonts w:ascii="Times New Roman" w:hAnsi="Times New Roman" w:cs="Times New Roman"/>
          <w:b/>
          <w:sz w:val="24"/>
          <w:szCs w:val="24"/>
          <w:lang w:val="ro-RO"/>
        </w:rPr>
        <w:lastRenderedPageBreak/>
        <w:t>Anexa nr.2</w:t>
      </w:r>
      <w:r w:rsidR="00734D3E" w:rsidRPr="00EA0E29">
        <w:rPr>
          <w:rFonts w:ascii="Times New Roman" w:hAnsi="Times New Roman" w:cs="Times New Roman"/>
          <w:b/>
          <w:sz w:val="24"/>
          <w:szCs w:val="24"/>
          <w:lang w:val="ro-RO"/>
        </w:rPr>
        <w:t xml:space="preserve"> Sfera și abordarea auditului</w:t>
      </w:r>
    </w:p>
    <w:p w14:paraId="21A5359F" w14:textId="77777777" w:rsidR="00DC1CC4" w:rsidRPr="00650D66" w:rsidRDefault="00DC1CC4" w:rsidP="00DC1CC4">
      <w:pPr>
        <w:spacing w:after="0" w:line="276" w:lineRule="auto"/>
        <w:rPr>
          <w:rFonts w:ascii="Times New Roman" w:hAnsi="Times New Roman" w:cs="Times New Roman"/>
          <w:b/>
          <w:bCs/>
          <w:sz w:val="24"/>
          <w:szCs w:val="24"/>
          <w:lang w:val="ro-RO"/>
        </w:rPr>
      </w:pPr>
      <w:r w:rsidRPr="00650D66">
        <w:rPr>
          <w:rFonts w:ascii="Times New Roman" w:hAnsi="Times New Roman" w:cs="Times New Roman"/>
          <w:b/>
          <w:bCs/>
          <w:sz w:val="24"/>
          <w:szCs w:val="24"/>
          <w:lang w:val="ro-RO"/>
        </w:rPr>
        <w:t>Mandatul legal și scopul auditului</w:t>
      </w:r>
    </w:p>
    <w:p w14:paraId="5A06CBD5" w14:textId="0E9880E3" w:rsidR="00DC1CC4" w:rsidRPr="00650D66" w:rsidRDefault="00DC1CC4" w:rsidP="00DC1CC4">
      <w:pPr>
        <w:spacing w:after="0" w:line="276" w:lineRule="auto"/>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Misiunea de audit a fost desfășurată în temeiul prevederilor art.3 ali</w:t>
      </w:r>
      <w:r w:rsidR="00F87133" w:rsidRPr="00650D66">
        <w:rPr>
          <w:rFonts w:ascii="Times New Roman" w:hAnsi="Times New Roman" w:cs="Times New Roman"/>
          <w:color w:val="000000" w:themeColor="text1"/>
          <w:sz w:val="24"/>
          <w:szCs w:val="24"/>
          <w:lang w:val="ro-RO"/>
        </w:rPr>
        <w:t>n.(1), art.5 alin.(1) lit. a),</w:t>
      </w:r>
      <w:r w:rsidRPr="00650D66">
        <w:rPr>
          <w:rFonts w:ascii="Times New Roman" w:hAnsi="Times New Roman" w:cs="Times New Roman"/>
          <w:color w:val="000000" w:themeColor="text1"/>
          <w:sz w:val="24"/>
          <w:szCs w:val="24"/>
          <w:lang w:val="ro-RO"/>
        </w:rPr>
        <w:t xml:space="preserve"> art.31 alin.(1) lit. b) </w:t>
      </w:r>
      <w:r w:rsidR="00F87133" w:rsidRPr="00650D66">
        <w:rPr>
          <w:rFonts w:ascii="Times New Roman" w:hAnsi="Times New Roman" w:cs="Times New Roman"/>
          <w:color w:val="000000" w:themeColor="text1"/>
          <w:sz w:val="24"/>
          <w:szCs w:val="24"/>
          <w:lang w:val="ro-RO"/>
        </w:rPr>
        <w:t xml:space="preserve">și art.32, alin.(7) </w:t>
      </w:r>
      <w:r w:rsidRPr="00650D66">
        <w:rPr>
          <w:rFonts w:ascii="Times New Roman" w:hAnsi="Times New Roman" w:cs="Times New Roman"/>
          <w:color w:val="000000" w:themeColor="text1"/>
          <w:sz w:val="24"/>
          <w:szCs w:val="24"/>
          <w:lang w:val="ro-RO"/>
        </w:rPr>
        <w:t>din Legea nr.260 din 07.12.2017</w:t>
      </w:r>
      <w:r w:rsidRPr="00650D66">
        <w:rPr>
          <w:rFonts w:ascii="Times New Roman" w:hAnsi="Times New Roman" w:cs="Times New Roman"/>
          <w:color w:val="000000" w:themeColor="text1"/>
          <w:sz w:val="24"/>
          <w:szCs w:val="24"/>
          <w:vertAlign w:val="superscript"/>
          <w:lang w:val="ro-RO"/>
        </w:rPr>
        <w:footnoteReference w:id="96"/>
      </w:r>
      <w:r w:rsidR="00F87133" w:rsidRPr="00650D66">
        <w:rPr>
          <w:rFonts w:ascii="Times New Roman" w:hAnsi="Times New Roman" w:cs="Times New Roman"/>
          <w:color w:val="000000" w:themeColor="text1"/>
          <w:sz w:val="24"/>
          <w:szCs w:val="24"/>
          <w:lang w:val="ro-RO"/>
        </w:rPr>
        <w:t xml:space="preserve">, </w:t>
      </w:r>
      <w:r w:rsidR="00250690" w:rsidRPr="00650D66">
        <w:rPr>
          <w:rFonts w:ascii="Times New Roman" w:hAnsi="Times New Roman" w:cs="Times New Roman"/>
          <w:color w:val="000000" w:themeColor="text1"/>
          <w:sz w:val="24"/>
          <w:szCs w:val="24"/>
          <w:lang w:val="ro-RO"/>
        </w:rPr>
        <w:t xml:space="preserve">în temeiul </w:t>
      </w:r>
      <w:r w:rsidR="00250690" w:rsidRPr="00650D66">
        <w:rPr>
          <w:rFonts w:ascii="Times New Roman" w:hAnsi="Times New Roman" w:cs="Times New Roman"/>
          <w:iCs/>
          <w:color w:val="000000" w:themeColor="text1"/>
          <w:sz w:val="24"/>
          <w:szCs w:val="24"/>
          <w:lang w:val="ro-RO"/>
        </w:rPr>
        <w:t>prevederilor art.21 din Legea nr.548 din 21.07.1995</w:t>
      </w:r>
      <w:r w:rsidR="00250690" w:rsidRPr="00650D66">
        <w:rPr>
          <w:rFonts w:ascii="Times New Roman" w:hAnsi="Times New Roman" w:cs="Times New Roman"/>
          <w:iCs/>
          <w:color w:val="000000" w:themeColor="text1"/>
          <w:sz w:val="24"/>
          <w:szCs w:val="24"/>
          <w:vertAlign w:val="superscript"/>
          <w:lang w:val="ro-RO"/>
        </w:rPr>
        <w:footnoteReference w:id="97"/>
      </w:r>
      <w:r w:rsidR="00250690" w:rsidRPr="00650D66">
        <w:rPr>
          <w:rFonts w:ascii="Times New Roman" w:hAnsi="Times New Roman" w:cs="Times New Roman"/>
          <w:iCs/>
          <w:color w:val="000000" w:themeColor="text1"/>
          <w:sz w:val="24"/>
          <w:szCs w:val="24"/>
          <w:lang w:val="ro-RO"/>
        </w:rPr>
        <w:t xml:space="preserve"> și</w:t>
      </w:r>
      <w:r w:rsidR="00726F97" w:rsidRPr="00650D66">
        <w:rPr>
          <w:rFonts w:ascii="Times New Roman" w:hAnsi="Times New Roman" w:cs="Times New Roman"/>
          <w:iCs/>
          <w:color w:val="000000" w:themeColor="text1"/>
          <w:sz w:val="24"/>
          <w:szCs w:val="24"/>
          <w:lang w:val="ro-RO"/>
        </w:rPr>
        <w:t xml:space="preserve"> </w:t>
      </w:r>
      <w:r w:rsidR="00AC747D">
        <w:rPr>
          <w:rFonts w:ascii="Times New Roman" w:hAnsi="Times New Roman" w:cs="Times New Roman"/>
          <w:iCs/>
          <w:color w:val="000000" w:themeColor="text1"/>
          <w:sz w:val="24"/>
          <w:szCs w:val="24"/>
          <w:lang w:val="ro-RO"/>
        </w:rPr>
        <w:t xml:space="preserve">conform </w:t>
      </w:r>
      <w:r w:rsidR="00726F97" w:rsidRPr="00650D66">
        <w:rPr>
          <w:rFonts w:ascii="Times New Roman" w:hAnsi="Times New Roman" w:cs="Times New Roman"/>
          <w:iCs/>
          <w:color w:val="000000" w:themeColor="text1"/>
          <w:sz w:val="24"/>
          <w:szCs w:val="24"/>
          <w:lang w:val="ro-RO"/>
        </w:rPr>
        <w:t>Programul</w:t>
      </w:r>
      <w:r w:rsidR="00AC747D">
        <w:rPr>
          <w:rFonts w:ascii="Times New Roman" w:hAnsi="Times New Roman" w:cs="Times New Roman"/>
          <w:iCs/>
          <w:color w:val="000000" w:themeColor="text1"/>
          <w:sz w:val="24"/>
          <w:szCs w:val="24"/>
          <w:lang w:val="ro-RO"/>
        </w:rPr>
        <w:t>ui</w:t>
      </w:r>
      <w:r w:rsidR="00726F97" w:rsidRPr="00650D66">
        <w:rPr>
          <w:rFonts w:ascii="Times New Roman" w:hAnsi="Times New Roman" w:cs="Times New Roman"/>
          <w:iCs/>
          <w:color w:val="000000" w:themeColor="text1"/>
          <w:sz w:val="24"/>
          <w:szCs w:val="24"/>
          <w:lang w:val="ro-RO"/>
        </w:rPr>
        <w:t xml:space="preserve"> activității de audit pe anul 2023, aprobat prin Hotărârea Curții de Conturi nr.65 din 22.12.2022 (cu</w:t>
      </w:r>
      <w:r w:rsidR="00250690" w:rsidRPr="00650D66">
        <w:rPr>
          <w:rFonts w:ascii="Times New Roman" w:hAnsi="Times New Roman" w:cs="Times New Roman"/>
          <w:iCs/>
          <w:color w:val="000000" w:themeColor="text1"/>
          <w:sz w:val="24"/>
          <w:szCs w:val="24"/>
          <w:lang w:val="ro-RO"/>
        </w:rPr>
        <w:t xml:space="preserve"> modificările ulterioare),</w:t>
      </w:r>
      <w:r w:rsidR="00726F97" w:rsidRPr="00650D66">
        <w:rPr>
          <w:rFonts w:ascii="Times New Roman" w:hAnsi="Times New Roman" w:cs="Times New Roman"/>
          <w:iCs/>
          <w:color w:val="000000" w:themeColor="text1"/>
          <w:sz w:val="24"/>
          <w:szCs w:val="24"/>
          <w:lang w:val="ro-RO"/>
        </w:rPr>
        <w:t xml:space="preserve"> </w:t>
      </w:r>
      <w:r w:rsidRPr="00650D66">
        <w:rPr>
          <w:rFonts w:ascii="Times New Roman" w:hAnsi="Times New Roman" w:cs="Times New Roman"/>
          <w:color w:val="000000" w:themeColor="text1"/>
          <w:sz w:val="24"/>
          <w:szCs w:val="24"/>
          <w:lang w:val="ro-RO"/>
        </w:rPr>
        <w:t>în scopul evaluăr</w:t>
      </w:r>
      <w:r w:rsidR="008053F5" w:rsidRPr="00650D66">
        <w:rPr>
          <w:rFonts w:ascii="Times New Roman" w:hAnsi="Times New Roman" w:cs="Times New Roman"/>
          <w:color w:val="000000" w:themeColor="text1"/>
          <w:sz w:val="24"/>
          <w:szCs w:val="24"/>
          <w:lang w:val="ro-RO"/>
        </w:rPr>
        <w:t>ii conformității</w:t>
      </w:r>
      <w:r w:rsidR="008053F5" w:rsidRPr="00650D66">
        <w:rPr>
          <w:rFonts w:ascii="Times New Roman" w:eastAsia="Times New Roman" w:hAnsi="Times New Roman" w:cs="Times New Roman"/>
          <w:b/>
          <w:sz w:val="24"/>
          <w:szCs w:val="28"/>
          <w:lang w:val="ro-RO" w:eastAsia="ru-RU"/>
        </w:rPr>
        <w:t xml:space="preserve"> </w:t>
      </w:r>
      <w:r w:rsidR="008053F5" w:rsidRPr="00650D66">
        <w:rPr>
          <w:rFonts w:ascii="Times New Roman" w:hAnsi="Times New Roman" w:cs="Times New Roman"/>
          <w:bCs/>
          <w:color w:val="000000" w:themeColor="text1"/>
          <w:sz w:val="24"/>
          <w:szCs w:val="24"/>
          <w:lang w:val="ro-RO"/>
        </w:rPr>
        <w:t>devizelor de cheltuieli și alocațiilor pentru investiții ale Băncii Naționale a Moldovei pe anii 2019</w:t>
      </w:r>
      <w:r w:rsidR="00AC747D">
        <w:rPr>
          <w:rFonts w:ascii="Times New Roman" w:hAnsi="Times New Roman" w:cs="Times New Roman"/>
          <w:bCs/>
          <w:color w:val="000000" w:themeColor="text1"/>
          <w:sz w:val="24"/>
          <w:szCs w:val="24"/>
          <w:lang w:val="ro-RO"/>
        </w:rPr>
        <w:t>-</w:t>
      </w:r>
      <w:r w:rsidR="008053F5" w:rsidRPr="00650D66">
        <w:rPr>
          <w:rFonts w:ascii="Times New Roman" w:hAnsi="Times New Roman" w:cs="Times New Roman"/>
          <w:bCs/>
          <w:color w:val="000000" w:themeColor="text1"/>
          <w:sz w:val="24"/>
          <w:szCs w:val="24"/>
          <w:lang w:val="ro-RO"/>
        </w:rPr>
        <w:t>2022, sub toate aspectele semnificative, în conformitate cu cadrul normativ aplicabil.</w:t>
      </w:r>
    </w:p>
    <w:p w14:paraId="51C697A0" w14:textId="77777777" w:rsidR="00DC1CC4" w:rsidRPr="00650D66" w:rsidRDefault="00DC1CC4" w:rsidP="00DC1CC4">
      <w:pPr>
        <w:spacing w:after="0" w:line="276" w:lineRule="auto"/>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 xml:space="preserve">În vederea realizării scopului propus și reieșind din riscurile identificate, au fost stabilite următoarele obiective specifice de audit: </w:t>
      </w:r>
    </w:p>
    <w:p w14:paraId="4AB3A885" w14:textId="0B95474E" w:rsidR="00C4168B" w:rsidRPr="00650D66" w:rsidRDefault="00C4168B" w:rsidP="00C4168B">
      <w:pPr>
        <w:pStyle w:val="ListParagraph"/>
        <w:numPr>
          <w:ilvl w:val="0"/>
          <w:numId w:val="30"/>
        </w:numPr>
        <w:tabs>
          <w:tab w:val="left" w:pos="426"/>
          <w:tab w:val="left" w:pos="993"/>
        </w:tabs>
        <w:spacing w:after="0"/>
        <w:ind w:left="0" w:firstLine="709"/>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Obiectivul nr.1: Există un cadru normativ exhaustiv și transparent, dezvoltat prin acte interne suficiente la planificarea și executarea de către BNM a devizului de cheltuieli și alocațiilor pentru investiții?</w:t>
      </w:r>
    </w:p>
    <w:p w14:paraId="6954D686" w14:textId="78DD2FB5" w:rsidR="00C4168B" w:rsidRPr="00650D66" w:rsidRDefault="00C4168B" w:rsidP="00C4168B">
      <w:pPr>
        <w:pStyle w:val="ListParagraph"/>
        <w:numPr>
          <w:ilvl w:val="0"/>
          <w:numId w:val="30"/>
        </w:numPr>
        <w:tabs>
          <w:tab w:val="left" w:pos="426"/>
          <w:tab w:val="left" w:pos="1134"/>
        </w:tabs>
        <w:spacing w:after="0"/>
        <w:ind w:left="0" w:firstLine="709"/>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Obiectivul nr.2: A asigurat BNM elaborarea și executarea devizelor de cheltuieli și alocațiilor pentru investiții conform cadrului normativ aplicabil?</w:t>
      </w:r>
    </w:p>
    <w:p w14:paraId="76B6B535" w14:textId="587C31AE" w:rsidR="00DC1CC4" w:rsidRPr="00650D66" w:rsidRDefault="00C4168B" w:rsidP="00C4168B">
      <w:pPr>
        <w:pStyle w:val="ListParagraph"/>
        <w:numPr>
          <w:ilvl w:val="0"/>
          <w:numId w:val="30"/>
        </w:numPr>
        <w:tabs>
          <w:tab w:val="left" w:pos="426"/>
          <w:tab w:val="left" w:pos="1134"/>
        </w:tabs>
        <w:spacing w:after="0"/>
        <w:ind w:left="0" w:firstLine="709"/>
        <w:jc w:val="both"/>
        <w:rPr>
          <w:rFonts w:ascii="Times New Roman" w:hAnsi="Times New Roman" w:cs="Times New Roman"/>
          <w:i/>
          <w:color w:val="000000" w:themeColor="text1"/>
          <w:sz w:val="24"/>
          <w:szCs w:val="24"/>
          <w:lang w:val="ro-RO"/>
        </w:rPr>
      </w:pPr>
      <w:r w:rsidRPr="00650D66">
        <w:rPr>
          <w:rFonts w:ascii="Times New Roman" w:hAnsi="Times New Roman" w:cs="Times New Roman"/>
          <w:i/>
          <w:color w:val="000000" w:themeColor="text1"/>
          <w:sz w:val="24"/>
          <w:szCs w:val="24"/>
          <w:lang w:val="ro-RO"/>
        </w:rPr>
        <w:t>Obiectivul nr.3: Procedurile de achiziții publice de bunuri, lucrări și servicii au fost efectuate de către BNM în conformitate cu prevederile cadrului normativ aplicat?</w:t>
      </w:r>
    </w:p>
    <w:p w14:paraId="5A52ACFC" w14:textId="77777777" w:rsidR="00C4168B" w:rsidRPr="00650D66" w:rsidRDefault="00C4168B" w:rsidP="00C4168B">
      <w:pPr>
        <w:pStyle w:val="ListParagraph"/>
        <w:tabs>
          <w:tab w:val="left" w:pos="426"/>
          <w:tab w:val="left" w:pos="1134"/>
        </w:tabs>
        <w:spacing w:after="0"/>
        <w:ind w:left="709"/>
        <w:jc w:val="both"/>
        <w:rPr>
          <w:rFonts w:ascii="Times New Roman" w:hAnsi="Times New Roman" w:cs="Times New Roman"/>
          <w:i/>
          <w:color w:val="000000" w:themeColor="text1"/>
          <w:sz w:val="24"/>
          <w:szCs w:val="24"/>
          <w:lang w:val="ro-RO"/>
        </w:rPr>
      </w:pPr>
    </w:p>
    <w:p w14:paraId="30C32DC5" w14:textId="77777777" w:rsidR="00DC1CC4" w:rsidRPr="00650D66" w:rsidRDefault="00DC1CC4" w:rsidP="00DC1CC4">
      <w:pPr>
        <w:tabs>
          <w:tab w:val="left" w:pos="426"/>
        </w:tabs>
        <w:spacing w:after="0" w:line="276" w:lineRule="auto"/>
        <w:rPr>
          <w:rFonts w:ascii="Times New Roman" w:hAnsi="Times New Roman" w:cs="Times New Roman"/>
          <w:b/>
          <w:bCs/>
          <w:color w:val="000000" w:themeColor="text1"/>
          <w:sz w:val="24"/>
          <w:szCs w:val="24"/>
          <w:lang w:val="ro-RO"/>
        </w:rPr>
      </w:pPr>
      <w:r w:rsidRPr="00650D66">
        <w:rPr>
          <w:rFonts w:ascii="Times New Roman" w:hAnsi="Times New Roman" w:cs="Times New Roman"/>
          <w:b/>
          <w:bCs/>
          <w:color w:val="000000" w:themeColor="text1"/>
          <w:sz w:val="24"/>
          <w:szCs w:val="24"/>
          <w:lang w:val="ro-RO"/>
        </w:rPr>
        <w:t>Abordarea auditului</w:t>
      </w:r>
    </w:p>
    <w:p w14:paraId="4ABF9976" w14:textId="54C58609" w:rsidR="00DC1CC4" w:rsidRPr="00650D66" w:rsidRDefault="00DC1CC4" w:rsidP="00DC1CC4">
      <w:pPr>
        <w:spacing w:line="276" w:lineRule="auto"/>
        <w:jc w:val="both"/>
        <w:rPr>
          <w:rFonts w:ascii="Times New Roman" w:eastAsia="Times New Roman" w:hAnsi="Times New Roman" w:cs="Times New Roman"/>
          <w:noProof/>
          <w:color w:val="000000" w:themeColor="text1"/>
          <w:sz w:val="24"/>
          <w:szCs w:val="24"/>
          <w:lang w:val="ro-RO"/>
        </w:rPr>
      </w:pPr>
      <w:r w:rsidRPr="00650D66">
        <w:rPr>
          <w:rFonts w:ascii="Times New Roman" w:eastAsia="Times New Roman" w:hAnsi="Times New Roman" w:cs="Times New Roman"/>
          <w:noProof/>
          <w:color w:val="000000" w:themeColor="text1"/>
          <w:sz w:val="24"/>
          <w:szCs w:val="24"/>
          <w:lang w:val="ro-RO"/>
        </w:rPr>
        <w:t xml:space="preserve">Misiunea de audit public extern s-a desfășurat la </w:t>
      </w:r>
      <w:r w:rsidR="00B26BC2" w:rsidRPr="00650D66">
        <w:rPr>
          <w:rFonts w:ascii="Times New Roman" w:eastAsia="Times New Roman" w:hAnsi="Times New Roman" w:cs="Times New Roman"/>
          <w:noProof/>
          <w:color w:val="000000" w:themeColor="text1"/>
          <w:sz w:val="24"/>
          <w:szCs w:val="24"/>
          <w:lang w:val="ro-RO"/>
        </w:rPr>
        <w:t>BNM</w:t>
      </w:r>
      <w:r w:rsidRPr="00650D66">
        <w:rPr>
          <w:rFonts w:ascii="Times New Roman" w:eastAsia="Times New Roman" w:hAnsi="Times New Roman" w:cs="Times New Roman"/>
          <w:noProof/>
          <w:color w:val="000000" w:themeColor="text1"/>
          <w:sz w:val="24"/>
          <w:szCs w:val="24"/>
          <w:lang w:val="ro-RO"/>
        </w:rPr>
        <w:t>, fiind realizată în conformitate cu Standardele Internaționale ale Instituțiilor Supreme de Audit (ISSAI 100, ISSAI 400 și ISSAI 4000)</w:t>
      </w:r>
      <w:r w:rsidRPr="00650D66">
        <w:rPr>
          <w:rFonts w:ascii="Times New Roman" w:eastAsia="Times New Roman" w:hAnsi="Times New Roman" w:cs="Times New Roman"/>
          <w:noProof/>
          <w:color w:val="000000" w:themeColor="text1"/>
          <w:sz w:val="24"/>
          <w:szCs w:val="24"/>
          <w:vertAlign w:val="superscript"/>
          <w:lang w:val="ro-RO"/>
        </w:rPr>
        <w:footnoteReference w:id="98"/>
      </w:r>
      <w:r w:rsidRPr="00650D66">
        <w:rPr>
          <w:rFonts w:ascii="Times New Roman" w:eastAsia="Times New Roman" w:hAnsi="Times New Roman" w:cs="Times New Roman"/>
          <w:noProof/>
          <w:color w:val="000000" w:themeColor="text1"/>
          <w:sz w:val="24"/>
          <w:szCs w:val="24"/>
          <w:lang w:val="ro-RO"/>
        </w:rPr>
        <w:t xml:space="preserve"> și cu Ghidul privind auditul conformității</w:t>
      </w:r>
      <w:r w:rsidR="00AC747D">
        <w:rPr>
          <w:rFonts w:ascii="Times New Roman" w:eastAsia="Times New Roman" w:hAnsi="Times New Roman" w:cs="Times New Roman"/>
          <w:noProof/>
          <w:color w:val="000000" w:themeColor="text1"/>
          <w:sz w:val="24"/>
          <w:szCs w:val="24"/>
          <w:lang w:val="ro-RO"/>
        </w:rPr>
        <w:t>,</w:t>
      </w:r>
      <w:r w:rsidRPr="00650D66">
        <w:rPr>
          <w:rFonts w:ascii="Times New Roman" w:eastAsia="Times New Roman" w:hAnsi="Times New Roman" w:cs="Times New Roman"/>
          <w:noProof/>
          <w:color w:val="000000" w:themeColor="text1"/>
          <w:sz w:val="24"/>
          <w:szCs w:val="24"/>
          <w:lang w:val="ro-RO"/>
        </w:rPr>
        <w:t xml:space="preserve"> aprobat de Curtea de Conturi.</w:t>
      </w:r>
    </w:p>
    <w:p w14:paraId="336F14DE" w14:textId="2F8AD507" w:rsidR="00DC1CC4" w:rsidRPr="00650D66" w:rsidRDefault="00DC1CC4" w:rsidP="00DC1CC4">
      <w:pPr>
        <w:spacing w:line="276" w:lineRule="auto"/>
        <w:jc w:val="both"/>
        <w:rPr>
          <w:rFonts w:ascii="Times New Roman" w:eastAsia="Times New Roman" w:hAnsi="Times New Roman" w:cs="Times New Roman"/>
          <w:noProof/>
          <w:color w:val="000000" w:themeColor="text1"/>
          <w:sz w:val="24"/>
          <w:szCs w:val="24"/>
          <w:lang w:val="ro-RO"/>
        </w:rPr>
      </w:pPr>
      <w:r w:rsidRPr="00650D66">
        <w:rPr>
          <w:rFonts w:ascii="Times New Roman" w:eastAsia="Times New Roman" w:hAnsi="Times New Roman" w:cs="Times New Roman"/>
          <w:b/>
          <w:i/>
          <w:noProof/>
          <w:color w:val="000000" w:themeColor="text1"/>
          <w:sz w:val="24"/>
          <w:szCs w:val="24"/>
          <w:lang w:val="ro-RO"/>
        </w:rPr>
        <w:t>Abordarea auditului public extern</w:t>
      </w:r>
      <w:r w:rsidRPr="00650D66">
        <w:rPr>
          <w:rFonts w:ascii="Times New Roman" w:eastAsia="Times New Roman" w:hAnsi="Times New Roman" w:cs="Times New Roman"/>
          <w:noProof/>
          <w:color w:val="000000" w:themeColor="text1"/>
          <w:sz w:val="24"/>
          <w:szCs w:val="24"/>
          <w:lang w:val="ro-RO"/>
        </w:rPr>
        <w:t xml:space="preserve"> s-a bazat pe riscuri, ce presupune orientarea activității de audit asupra acelor </w:t>
      </w:r>
      <w:r w:rsidR="00520A87" w:rsidRPr="00650D66">
        <w:rPr>
          <w:rFonts w:ascii="Times New Roman" w:eastAsia="Times New Roman" w:hAnsi="Times New Roman" w:cs="Times New Roman"/>
          <w:noProof/>
          <w:color w:val="000000" w:themeColor="text1"/>
          <w:sz w:val="24"/>
          <w:szCs w:val="24"/>
          <w:lang w:val="ro-RO"/>
        </w:rPr>
        <w:t>procese din cadrul BNM</w:t>
      </w:r>
      <w:r w:rsidRPr="00650D66">
        <w:rPr>
          <w:rFonts w:ascii="Times New Roman" w:eastAsia="Times New Roman" w:hAnsi="Times New Roman" w:cs="Times New Roman"/>
          <w:noProof/>
          <w:color w:val="000000" w:themeColor="text1"/>
          <w:sz w:val="24"/>
          <w:szCs w:val="24"/>
          <w:lang w:val="ro-RO"/>
        </w:rPr>
        <w:t xml:space="preserve"> care sunt predispuse unor neconformități semnificative. Angajamentul auditului a fost cel de raportare directă, prin urmare procesele auditate au fost evaluate în raport cu criteriile de audit extrase din prevederile cadrului normativ aplicabil, iar asigurarea limitată oferită ne permite în baza constatărilor susținute de probele de audit să formulăm concluzia generală.</w:t>
      </w:r>
    </w:p>
    <w:p w14:paraId="478049B0" w14:textId="182E8427" w:rsidR="00DC1CC4" w:rsidRPr="00650D66" w:rsidRDefault="00DC1CC4" w:rsidP="00DC1CC4">
      <w:pPr>
        <w:spacing w:after="0" w:line="276" w:lineRule="auto"/>
        <w:jc w:val="both"/>
        <w:rPr>
          <w:rFonts w:ascii="Times New Roman" w:hAnsi="Times New Roman" w:cs="Times New Roman"/>
          <w:color w:val="000000" w:themeColor="text1"/>
          <w:sz w:val="24"/>
          <w:szCs w:val="24"/>
          <w:lang w:val="ro-RO"/>
        </w:rPr>
      </w:pPr>
      <w:r w:rsidRPr="00650D66">
        <w:rPr>
          <w:rFonts w:ascii="Times New Roman" w:hAnsi="Times New Roman" w:cs="Times New Roman"/>
          <w:color w:val="000000" w:themeColor="text1"/>
          <w:sz w:val="24"/>
          <w:szCs w:val="24"/>
          <w:lang w:val="ro-RO"/>
        </w:rPr>
        <w:t xml:space="preserve">Probele de audit au fost colectate la fața locului prin examinarea </w:t>
      </w:r>
      <w:r w:rsidR="004E66E7" w:rsidRPr="00650D66">
        <w:rPr>
          <w:rFonts w:ascii="Times New Roman" w:hAnsi="Times New Roman" w:cs="Times New Roman"/>
          <w:color w:val="000000" w:themeColor="text1"/>
          <w:sz w:val="24"/>
          <w:szCs w:val="24"/>
          <w:lang w:val="ro-RO"/>
        </w:rPr>
        <w:t>rapoartelor, documentelor primare și extraselor din înregistrările în sistemele informaționale ale entității; calcularea și compararea informațiilor prezentate; analiza dosarelor de achiziții; suprapunerea informațiilor din documentele primare cu informațiile înregistrate în devizele de cheltuieli și în alocațiile pentru investiții</w:t>
      </w:r>
      <w:r w:rsidR="00AC747D">
        <w:rPr>
          <w:rFonts w:ascii="Times New Roman" w:hAnsi="Times New Roman" w:cs="Times New Roman"/>
          <w:color w:val="000000" w:themeColor="text1"/>
          <w:sz w:val="24"/>
          <w:szCs w:val="24"/>
          <w:lang w:val="ro-RO"/>
        </w:rPr>
        <w:t>,</w:t>
      </w:r>
      <w:r w:rsidR="004E66E7" w:rsidRPr="00650D66">
        <w:rPr>
          <w:rFonts w:ascii="Times New Roman" w:hAnsi="Times New Roman" w:cs="Times New Roman"/>
          <w:color w:val="000000" w:themeColor="text1"/>
          <w:sz w:val="24"/>
          <w:szCs w:val="24"/>
          <w:lang w:val="ro-RO"/>
        </w:rPr>
        <w:t xml:space="preserve"> </w:t>
      </w:r>
      <w:r w:rsidRPr="00650D66">
        <w:rPr>
          <w:rFonts w:ascii="Times New Roman" w:hAnsi="Times New Roman" w:cs="Times New Roman"/>
          <w:color w:val="000000" w:themeColor="text1"/>
          <w:sz w:val="24"/>
          <w:szCs w:val="24"/>
          <w:lang w:val="ro-RO"/>
        </w:rPr>
        <w:t xml:space="preserve">precum și intervievarea persoanelor responsabile din cadrul </w:t>
      </w:r>
      <w:r w:rsidR="00821CD7" w:rsidRPr="00650D66">
        <w:rPr>
          <w:rFonts w:ascii="Times New Roman" w:hAnsi="Times New Roman" w:cs="Times New Roman"/>
          <w:color w:val="000000" w:themeColor="text1"/>
          <w:sz w:val="24"/>
          <w:szCs w:val="24"/>
          <w:lang w:val="ro-RO"/>
        </w:rPr>
        <w:t>BNM</w:t>
      </w:r>
      <w:r w:rsidRPr="00650D66">
        <w:rPr>
          <w:rFonts w:ascii="Times New Roman" w:hAnsi="Times New Roman" w:cs="Times New Roman"/>
          <w:color w:val="000000" w:themeColor="text1"/>
          <w:sz w:val="24"/>
          <w:szCs w:val="24"/>
          <w:lang w:val="ro-RO"/>
        </w:rPr>
        <w:t>.</w:t>
      </w:r>
    </w:p>
    <w:p w14:paraId="1F97B1E4" w14:textId="77777777" w:rsidR="00DC1CC4" w:rsidRPr="00650D66" w:rsidRDefault="00DC1CC4" w:rsidP="00DC1CC4">
      <w:pPr>
        <w:spacing w:after="0" w:line="276" w:lineRule="auto"/>
        <w:jc w:val="both"/>
        <w:rPr>
          <w:rFonts w:ascii="Times New Roman" w:hAnsi="Times New Roman" w:cs="Times New Roman"/>
          <w:color w:val="000000" w:themeColor="text1"/>
          <w:sz w:val="24"/>
          <w:szCs w:val="24"/>
          <w:lang w:val="ro-RO"/>
        </w:rPr>
      </w:pPr>
    </w:p>
    <w:tbl>
      <w:tblPr>
        <w:tblStyle w:val="TableGrid12"/>
        <w:tblW w:w="9711" w:type="dxa"/>
        <w:tblLayout w:type="fixed"/>
        <w:tblLook w:val="04A0" w:firstRow="1" w:lastRow="0" w:firstColumn="1" w:lastColumn="0" w:noHBand="0" w:noVBand="1"/>
      </w:tblPr>
      <w:tblGrid>
        <w:gridCol w:w="1980"/>
        <w:gridCol w:w="3544"/>
        <w:gridCol w:w="2055"/>
        <w:gridCol w:w="2132"/>
      </w:tblGrid>
      <w:tr w:rsidR="006C4F40" w:rsidRPr="00650D66" w14:paraId="1A7EC354" w14:textId="77777777" w:rsidTr="0090213E">
        <w:trPr>
          <w:trHeight w:val="305"/>
        </w:trPr>
        <w:tc>
          <w:tcPr>
            <w:tcW w:w="1980" w:type="dxa"/>
            <w:shd w:val="clear" w:color="auto" w:fill="DEEAF6" w:themeFill="accent1" w:themeFillTint="33"/>
            <w:vAlign w:val="center"/>
          </w:tcPr>
          <w:p w14:paraId="19904036" w14:textId="77777777" w:rsidR="006C4F40" w:rsidRPr="00650D66" w:rsidRDefault="006C4F40" w:rsidP="0090213E">
            <w:pPr>
              <w:spacing w:line="276" w:lineRule="auto"/>
              <w:jc w:val="center"/>
              <w:rPr>
                <w:rFonts w:ascii="Times New Roman" w:hAnsi="Times New Roman"/>
                <w:b/>
                <w:bCs/>
                <w:lang w:val="ro-RO"/>
              </w:rPr>
            </w:pPr>
            <w:r w:rsidRPr="00650D66">
              <w:rPr>
                <w:rFonts w:ascii="Times New Roman" w:hAnsi="Times New Roman"/>
                <w:b/>
                <w:bCs/>
                <w:lang w:val="ro-RO"/>
              </w:rPr>
              <w:t>Paragraful din raport/ referință la riscul testat</w:t>
            </w:r>
          </w:p>
        </w:tc>
        <w:tc>
          <w:tcPr>
            <w:tcW w:w="3544" w:type="dxa"/>
            <w:shd w:val="clear" w:color="auto" w:fill="DEEAF6" w:themeFill="accent1" w:themeFillTint="33"/>
            <w:vAlign w:val="center"/>
          </w:tcPr>
          <w:p w14:paraId="4DFC1CED" w14:textId="77777777" w:rsidR="006C4F40" w:rsidRPr="00650D66" w:rsidRDefault="006C4F40" w:rsidP="0090213E">
            <w:pPr>
              <w:spacing w:line="276" w:lineRule="auto"/>
              <w:jc w:val="center"/>
              <w:rPr>
                <w:rFonts w:ascii="Times New Roman" w:hAnsi="Times New Roman"/>
                <w:b/>
                <w:bCs/>
                <w:lang w:val="ro-RO"/>
              </w:rPr>
            </w:pPr>
            <w:r w:rsidRPr="00650D66">
              <w:rPr>
                <w:rFonts w:ascii="Times New Roman" w:hAnsi="Times New Roman"/>
                <w:b/>
                <w:bCs/>
                <w:lang w:val="ro-RO"/>
              </w:rPr>
              <w:t>Criteriile de audit</w:t>
            </w:r>
          </w:p>
        </w:tc>
        <w:tc>
          <w:tcPr>
            <w:tcW w:w="2055" w:type="dxa"/>
            <w:shd w:val="clear" w:color="auto" w:fill="DEEAF6" w:themeFill="accent1" w:themeFillTint="33"/>
            <w:vAlign w:val="center"/>
          </w:tcPr>
          <w:p w14:paraId="5BEE8A9C" w14:textId="77777777" w:rsidR="006C4F40" w:rsidRPr="00650D66" w:rsidRDefault="006C4F40" w:rsidP="0090213E">
            <w:pPr>
              <w:spacing w:line="276" w:lineRule="auto"/>
              <w:ind w:right="35"/>
              <w:jc w:val="center"/>
              <w:rPr>
                <w:rFonts w:ascii="Times New Roman" w:hAnsi="Times New Roman"/>
                <w:b/>
                <w:bCs/>
                <w:lang w:val="ro-RO"/>
              </w:rPr>
            </w:pPr>
            <w:r w:rsidRPr="00650D66">
              <w:rPr>
                <w:rFonts w:ascii="Times New Roman" w:hAnsi="Times New Roman"/>
                <w:b/>
                <w:bCs/>
                <w:lang w:val="ro-RO"/>
              </w:rPr>
              <w:t>Tehnicile de audit aplicate</w:t>
            </w:r>
          </w:p>
        </w:tc>
        <w:tc>
          <w:tcPr>
            <w:tcW w:w="2132" w:type="dxa"/>
            <w:shd w:val="clear" w:color="auto" w:fill="DEEAF6" w:themeFill="accent1" w:themeFillTint="33"/>
            <w:vAlign w:val="center"/>
          </w:tcPr>
          <w:p w14:paraId="69486CB1" w14:textId="77777777" w:rsidR="006C4F40" w:rsidRPr="00650D66" w:rsidRDefault="006C4F40" w:rsidP="0090213E">
            <w:pPr>
              <w:spacing w:line="276" w:lineRule="auto"/>
              <w:jc w:val="center"/>
              <w:rPr>
                <w:rFonts w:ascii="Times New Roman" w:hAnsi="Times New Roman"/>
                <w:b/>
                <w:bCs/>
                <w:lang w:val="ro-RO"/>
              </w:rPr>
            </w:pPr>
            <w:r w:rsidRPr="00650D66">
              <w:rPr>
                <w:rFonts w:ascii="Times New Roman" w:hAnsi="Times New Roman"/>
                <w:b/>
                <w:bCs/>
                <w:lang w:val="ro-RO"/>
              </w:rPr>
              <w:t>Dimensiunea eșantionului</w:t>
            </w:r>
          </w:p>
        </w:tc>
      </w:tr>
      <w:tr w:rsidR="006C4F40" w:rsidRPr="00650D66" w14:paraId="0C9FA268" w14:textId="77777777" w:rsidTr="0090213E">
        <w:trPr>
          <w:trHeight w:val="183"/>
        </w:trPr>
        <w:tc>
          <w:tcPr>
            <w:tcW w:w="1980" w:type="dxa"/>
          </w:tcPr>
          <w:p w14:paraId="0C183F1E" w14:textId="77777777" w:rsidR="006C4F40" w:rsidRPr="00650D66" w:rsidRDefault="006C4F40" w:rsidP="0090213E">
            <w:pPr>
              <w:spacing w:line="276" w:lineRule="auto"/>
              <w:jc w:val="center"/>
              <w:rPr>
                <w:rFonts w:ascii="Times New Roman" w:hAnsi="Times New Roman"/>
                <w:b/>
                <w:bCs/>
                <w:sz w:val="16"/>
                <w:szCs w:val="16"/>
                <w:lang w:val="ro-RO"/>
              </w:rPr>
            </w:pPr>
            <w:r w:rsidRPr="00650D66">
              <w:rPr>
                <w:rFonts w:ascii="Times New Roman" w:hAnsi="Times New Roman"/>
                <w:b/>
                <w:bCs/>
                <w:sz w:val="16"/>
                <w:szCs w:val="16"/>
                <w:lang w:val="ro-RO"/>
              </w:rPr>
              <w:t>1</w:t>
            </w:r>
          </w:p>
        </w:tc>
        <w:tc>
          <w:tcPr>
            <w:tcW w:w="3544" w:type="dxa"/>
          </w:tcPr>
          <w:p w14:paraId="193A0DF5" w14:textId="77777777" w:rsidR="006C4F40" w:rsidRPr="00650D66" w:rsidRDefault="006C4F40" w:rsidP="0090213E">
            <w:pPr>
              <w:spacing w:line="276" w:lineRule="auto"/>
              <w:jc w:val="center"/>
              <w:rPr>
                <w:rFonts w:ascii="Times New Roman" w:hAnsi="Times New Roman"/>
                <w:b/>
                <w:bCs/>
                <w:sz w:val="16"/>
                <w:szCs w:val="16"/>
                <w:lang w:val="ro-RO"/>
              </w:rPr>
            </w:pPr>
            <w:r w:rsidRPr="00650D66">
              <w:rPr>
                <w:rFonts w:ascii="Times New Roman" w:hAnsi="Times New Roman"/>
                <w:b/>
                <w:bCs/>
                <w:sz w:val="16"/>
                <w:szCs w:val="16"/>
                <w:lang w:val="ro-RO"/>
              </w:rPr>
              <w:t>2</w:t>
            </w:r>
          </w:p>
        </w:tc>
        <w:tc>
          <w:tcPr>
            <w:tcW w:w="2055" w:type="dxa"/>
          </w:tcPr>
          <w:p w14:paraId="63364259" w14:textId="77777777" w:rsidR="006C4F40" w:rsidRPr="00650D66" w:rsidRDefault="006C4F40" w:rsidP="0090213E">
            <w:pPr>
              <w:spacing w:line="276" w:lineRule="auto"/>
              <w:jc w:val="center"/>
              <w:rPr>
                <w:rFonts w:ascii="Times New Roman" w:hAnsi="Times New Roman"/>
                <w:b/>
                <w:bCs/>
                <w:sz w:val="16"/>
                <w:szCs w:val="16"/>
                <w:lang w:val="ro-RO"/>
              </w:rPr>
            </w:pPr>
            <w:r w:rsidRPr="00650D66">
              <w:rPr>
                <w:rFonts w:ascii="Times New Roman" w:hAnsi="Times New Roman"/>
                <w:b/>
                <w:bCs/>
                <w:sz w:val="16"/>
                <w:szCs w:val="16"/>
                <w:lang w:val="ro-RO"/>
              </w:rPr>
              <w:t>3</w:t>
            </w:r>
          </w:p>
        </w:tc>
        <w:tc>
          <w:tcPr>
            <w:tcW w:w="2132" w:type="dxa"/>
          </w:tcPr>
          <w:p w14:paraId="339C4213" w14:textId="77777777" w:rsidR="006C4F40" w:rsidRPr="00650D66" w:rsidRDefault="006C4F40" w:rsidP="0090213E">
            <w:pPr>
              <w:spacing w:line="276" w:lineRule="auto"/>
              <w:jc w:val="center"/>
              <w:rPr>
                <w:rFonts w:ascii="Times New Roman" w:hAnsi="Times New Roman"/>
                <w:b/>
                <w:bCs/>
                <w:sz w:val="16"/>
                <w:szCs w:val="16"/>
                <w:lang w:val="ro-RO"/>
              </w:rPr>
            </w:pPr>
            <w:r w:rsidRPr="00650D66">
              <w:rPr>
                <w:rFonts w:ascii="Times New Roman" w:hAnsi="Times New Roman"/>
                <w:b/>
                <w:bCs/>
                <w:sz w:val="16"/>
                <w:szCs w:val="16"/>
                <w:lang w:val="ro-RO"/>
              </w:rPr>
              <w:t>4</w:t>
            </w:r>
          </w:p>
        </w:tc>
      </w:tr>
      <w:tr w:rsidR="006C4F40" w:rsidRPr="00650D66" w14:paraId="47885F24" w14:textId="77777777" w:rsidTr="0090213E">
        <w:trPr>
          <w:trHeight w:val="249"/>
        </w:trPr>
        <w:tc>
          <w:tcPr>
            <w:tcW w:w="9711" w:type="dxa"/>
            <w:gridSpan w:val="4"/>
          </w:tcPr>
          <w:p w14:paraId="6326188A" w14:textId="77777777" w:rsidR="006C4F40" w:rsidRPr="00650D66" w:rsidRDefault="006C4F40" w:rsidP="0090213E">
            <w:pPr>
              <w:spacing w:line="276" w:lineRule="auto"/>
              <w:jc w:val="center"/>
              <w:rPr>
                <w:rFonts w:ascii="Times New Roman" w:hAnsi="Times New Roman"/>
                <w:b/>
                <w:bCs/>
                <w:lang w:val="ro-RO"/>
              </w:rPr>
            </w:pPr>
            <w:r w:rsidRPr="00650D66">
              <w:rPr>
                <w:rFonts w:ascii="Times New Roman" w:hAnsi="Times New Roman"/>
                <w:b/>
                <w:bCs/>
                <w:lang w:val="ro-RO"/>
              </w:rPr>
              <w:t>Obiectivul specific nr.1: Există un cadru normativ exhaustiv și transparent, dezvoltat prin acte interne suficiente la planificarea și executarea de către BNM a devizului de cheltuieli și alocațiilor pentru investiții?</w:t>
            </w:r>
          </w:p>
        </w:tc>
      </w:tr>
      <w:tr w:rsidR="006C4F40" w:rsidRPr="00650D66" w14:paraId="4DD11DE2" w14:textId="77777777" w:rsidTr="0090213E">
        <w:trPr>
          <w:trHeight w:val="249"/>
        </w:trPr>
        <w:tc>
          <w:tcPr>
            <w:tcW w:w="1980" w:type="dxa"/>
          </w:tcPr>
          <w:p w14:paraId="55B6CF54" w14:textId="77777777" w:rsidR="006C4F40" w:rsidRPr="007F627E" w:rsidRDefault="006C4F40" w:rsidP="0090213E">
            <w:pPr>
              <w:jc w:val="both"/>
              <w:rPr>
                <w:rFonts w:ascii="Times New Roman" w:hAnsi="Times New Roman"/>
                <w:b/>
                <w:lang w:val="ro-RO"/>
              </w:rPr>
            </w:pPr>
            <w:r w:rsidRPr="007F627E">
              <w:rPr>
                <w:rFonts w:ascii="Times New Roman" w:hAnsi="Times New Roman"/>
                <w:b/>
                <w:lang w:val="ro-RO"/>
              </w:rPr>
              <w:t xml:space="preserve">Paragraful 4.1.1 </w:t>
            </w:r>
          </w:p>
          <w:p w14:paraId="613CAEE4" w14:textId="77777777" w:rsidR="006C4F40" w:rsidRPr="007F627E" w:rsidRDefault="006C4F40" w:rsidP="0090213E">
            <w:pPr>
              <w:jc w:val="both"/>
              <w:rPr>
                <w:rFonts w:ascii="Times New Roman" w:hAnsi="Times New Roman"/>
                <w:b/>
                <w:lang w:val="ro-RO"/>
              </w:rPr>
            </w:pPr>
            <w:r w:rsidRPr="007F627E">
              <w:rPr>
                <w:rFonts w:ascii="Times New Roman" w:hAnsi="Times New Roman"/>
                <w:b/>
                <w:lang w:val="ro-RO"/>
              </w:rPr>
              <w:t>Riscul 1.1</w:t>
            </w:r>
            <w:r w:rsidRPr="007F627E">
              <w:rPr>
                <w:rFonts w:ascii="Times New Roman" w:hAnsi="Times New Roman"/>
                <w:lang w:val="ro-RO"/>
              </w:rPr>
              <w:t>.</w:t>
            </w:r>
            <w:r w:rsidRPr="007F627E">
              <w:rPr>
                <w:rFonts w:ascii="Times New Roman" w:eastAsia="Times New Roman" w:hAnsi="Times New Roman"/>
                <w:b/>
                <w:i/>
                <w:color w:val="000000"/>
                <w:lang w:eastAsia="ro-RO" w:bidi="ro-RO"/>
              </w:rPr>
              <w:t xml:space="preserve"> </w:t>
            </w:r>
            <w:r>
              <w:rPr>
                <w:rFonts w:ascii="Times New Roman" w:eastAsia="Times New Roman" w:hAnsi="Times New Roman"/>
                <w:b/>
                <w:i/>
                <w:color w:val="000000"/>
                <w:lang w:eastAsia="ro-RO" w:bidi="ro-RO"/>
              </w:rPr>
              <w:t xml:space="preserve">Nedefinirea în cadrul normativ a noțiunilor </w:t>
            </w:r>
            <w:r>
              <w:rPr>
                <w:rFonts w:ascii="Times New Roman" w:eastAsia="Times New Roman" w:hAnsi="Times New Roman"/>
                <w:b/>
                <w:i/>
                <w:color w:val="000000"/>
                <w:lang w:eastAsia="ro-RO" w:bidi="ro-RO"/>
              </w:rPr>
              <w:lastRenderedPageBreak/>
              <w:t>de</w:t>
            </w:r>
            <w:r>
              <w:rPr>
                <w:rFonts w:ascii="Times New Roman" w:hAnsi="Times New Roman"/>
                <w:b/>
                <w:i/>
              </w:rPr>
              <w:t xml:space="preserve"> „deviz de cheltuieli” și „alocațiilor pentru investiții”</w:t>
            </w:r>
            <w:r w:rsidRPr="007F627E">
              <w:rPr>
                <w:rFonts w:ascii="Times New Roman" w:hAnsi="Times New Roman"/>
                <w:b/>
                <w:i/>
              </w:rPr>
              <w:t>.</w:t>
            </w:r>
          </w:p>
        </w:tc>
        <w:tc>
          <w:tcPr>
            <w:tcW w:w="3544" w:type="dxa"/>
          </w:tcPr>
          <w:p w14:paraId="700E57D0" w14:textId="77777777" w:rsidR="006C4F40" w:rsidRPr="007F627E" w:rsidRDefault="006C4F40" w:rsidP="0090213E">
            <w:pPr>
              <w:contextualSpacing/>
              <w:jc w:val="both"/>
              <w:rPr>
                <w:rFonts w:ascii="Times New Roman" w:hAnsi="Times New Roman"/>
                <w:lang w:val="ro-RO"/>
              </w:rPr>
            </w:pPr>
            <w:r w:rsidRPr="007F627E">
              <w:rPr>
                <w:rFonts w:ascii="Times New Roman" w:hAnsi="Times New Roman"/>
                <w:lang w:val="ro-RO"/>
              </w:rPr>
              <w:lastRenderedPageBreak/>
              <w:t>-</w:t>
            </w:r>
            <w:r w:rsidRPr="007F627E">
              <w:rPr>
                <w:rFonts w:ascii="Times New Roman" w:hAnsi="Times New Roman"/>
              </w:rPr>
              <w:t>,,Regulamentul privind elaborarea și executarea Bugetului BNM, aprobat prin HCE nr.321 din 17.11.2016”;</w:t>
            </w:r>
            <w:r w:rsidRPr="007F627E">
              <w:rPr>
                <w:rFonts w:ascii="Times New Roman" w:eastAsiaTheme="minorHAnsi" w:hAnsi="Times New Roman"/>
                <w:lang w:val="ro-RO"/>
              </w:rPr>
              <w:t xml:space="preserve"> </w:t>
            </w:r>
            <w:r w:rsidRPr="007F627E">
              <w:rPr>
                <w:rFonts w:ascii="Times New Roman" w:hAnsi="Times New Roman"/>
                <w:lang w:val="ro-RO"/>
              </w:rPr>
              <w:t xml:space="preserve">noțiunea de buget este definită astfel – </w:t>
            </w:r>
            <w:r w:rsidRPr="007F627E">
              <w:rPr>
                <w:rFonts w:ascii="Times New Roman" w:hAnsi="Times New Roman"/>
                <w:i/>
                <w:lang w:val="ro-RO"/>
              </w:rPr>
              <w:t xml:space="preserve">,,o previziune </w:t>
            </w:r>
            <w:r w:rsidRPr="007F627E">
              <w:rPr>
                <w:rFonts w:ascii="Times New Roman" w:hAnsi="Times New Roman"/>
                <w:i/>
                <w:lang w:val="ro-RO"/>
              </w:rPr>
              <w:lastRenderedPageBreak/>
              <w:t xml:space="preserve">detaliată a veniturilor, cheltuielilor și alocațiilor pentru investiții, pe o perioadă determinată de timp și care servește ca instrument esențial pentru gestionarea activității </w:t>
            </w:r>
            <w:proofErr w:type="spellStart"/>
            <w:r w:rsidRPr="007F627E">
              <w:rPr>
                <w:rFonts w:ascii="Times New Roman" w:hAnsi="Times New Roman"/>
                <w:i/>
                <w:lang w:val="ro-RO"/>
              </w:rPr>
              <w:t>economico</w:t>
            </w:r>
            <w:proofErr w:type="spellEnd"/>
            <w:r w:rsidRPr="007F627E">
              <w:rPr>
                <w:rFonts w:ascii="Times New Roman" w:hAnsi="Times New Roman"/>
                <w:i/>
                <w:lang w:val="ro-RO"/>
              </w:rPr>
              <w:t>-financiară a BNM”.</w:t>
            </w:r>
          </w:p>
          <w:p w14:paraId="714BB17C" w14:textId="77777777" w:rsidR="006C4F40" w:rsidRPr="007F627E" w:rsidRDefault="006C4F40" w:rsidP="0090213E">
            <w:pPr>
              <w:contextualSpacing/>
              <w:jc w:val="both"/>
              <w:rPr>
                <w:rFonts w:ascii="Times New Roman" w:hAnsi="Times New Roman"/>
              </w:rPr>
            </w:pPr>
            <w:r w:rsidRPr="007F627E">
              <w:rPr>
                <w:rFonts w:ascii="Times New Roman" w:hAnsi="Times New Roman"/>
              </w:rPr>
              <w:t>Prevederile Legii nr.548-XIII din 21.07.1995:</w:t>
            </w:r>
            <w:r w:rsidRPr="007F627E">
              <w:rPr>
                <w:rFonts w:ascii="Times New Roman" w:eastAsiaTheme="minorHAnsi" w:hAnsi="Times New Roman"/>
                <w:i/>
              </w:rPr>
              <w:t xml:space="preserve"> </w:t>
            </w:r>
            <w:r w:rsidRPr="007F627E">
              <w:rPr>
                <w:rFonts w:ascii="Times New Roman" w:hAnsi="Times New Roman"/>
                <w:i/>
              </w:rPr>
              <w:t>,,anual, toate cheltuielile administrative și investițiile capitale ale BNM se prevăd în devizul de cheltuieli și, respectiv, în alocațiile pentru investiții”.</w:t>
            </w:r>
          </w:p>
        </w:tc>
        <w:tc>
          <w:tcPr>
            <w:tcW w:w="2055" w:type="dxa"/>
          </w:tcPr>
          <w:p w14:paraId="7FE4C3AD" w14:textId="77777777" w:rsidR="006C4F40" w:rsidRPr="007F627E" w:rsidRDefault="006C4F40" w:rsidP="0090213E">
            <w:pPr>
              <w:ind w:right="-107"/>
              <w:jc w:val="both"/>
              <w:rPr>
                <w:rFonts w:ascii="Times New Roman" w:hAnsi="Times New Roman"/>
                <w:lang w:val="ro-RO"/>
              </w:rPr>
            </w:pPr>
            <w:r w:rsidRPr="007F627E">
              <w:rPr>
                <w:rFonts w:ascii="Times New Roman" w:hAnsi="Times New Roman"/>
                <w:lang w:val="ro-RO"/>
              </w:rPr>
              <w:lastRenderedPageBreak/>
              <w:t>Intervievarea responsabililor/cererea explicațiilor scrise.</w:t>
            </w:r>
          </w:p>
          <w:p w14:paraId="0633B7C4" w14:textId="77777777" w:rsidR="006C4F40" w:rsidRPr="007F627E" w:rsidRDefault="006C4F40" w:rsidP="0090213E">
            <w:pPr>
              <w:ind w:right="35"/>
              <w:jc w:val="both"/>
              <w:rPr>
                <w:rFonts w:ascii="Times New Roman" w:hAnsi="Times New Roman"/>
                <w:lang w:val="ro-RO"/>
              </w:rPr>
            </w:pPr>
          </w:p>
        </w:tc>
        <w:tc>
          <w:tcPr>
            <w:tcW w:w="2132" w:type="dxa"/>
          </w:tcPr>
          <w:p w14:paraId="091D8DAF" w14:textId="77777777" w:rsidR="006C4F40" w:rsidRPr="007F627E" w:rsidRDefault="006C4F40" w:rsidP="0090213E">
            <w:pPr>
              <w:jc w:val="center"/>
              <w:rPr>
                <w:rFonts w:ascii="Times New Roman" w:hAnsi="Times New Roman"/>
                <w:lang w:val="ro-RO"/>
              </w:rPr>
            </w:pPr>
            <w:r w:rsidRPr="007F627E">
              <w:rPr>
                <w:rFonts w:ascii="Times New Roman" w:hAnsi="Times New Roman"/>
                <w:lang w:val="ro-RO"/>
              </w:rPr>
              <w:t>-</w:t>
            </w:r>
          </w:p>
        </w:tc>
      </w:tr>
      <w:tr w:rsidR="006C4F40" w:rsidRPr="00650D66" w14:paraId="2BDAE17C" w14:textId="77777777" w:rsidTr="0090213E">
        <w:trPr>
          <w:trHeight w:val="249"/>
        </w:trPr>
        <w:tc>
          <w:tcPr>
            <w:tcW w:w="1980" w:type="dxa"/>
          </w:tcPr>
          <w:p w14:paraId="6A74407D" w14:textId="77777777" w:rsidR="006C4F40" w:rsidRPr="00650D66" w:rsidRDefault="006C4F40" w:rsidP="0090213E">
            <w:pPr>
              <w:jc w:val="both"/>
              <w:rPr>
                <w:rFonts w:ascii="Times New Roman" w:hAnsi="Times New Roman"/>
                <w:b/>
                <w:lang w:val="ro-RO"/>
              </w:rPr>
            </w:pPr>
            <w:r w:rsidRPr="00650D66">
              <w:rPr>
                <w:rFonts w:ascii="Times New Roman" w:hAnsi="Times New Roman"/>
                <w:b/>
                <w:lang w:val="ro-RO"/>
              </w:rPr>
              <w:t>Paragraful 4.1.</w:t>
            </w:r>
            <w:r>
              <w:rPr>
                <w:rFonts w:ascii="Times New Roman" w:hAnsi="Times New Roman"/>
                <w:b/>
                <w:lang w:val="ro-RO"/>
              </w:rPr>
              <w:t>1</w:t>
            </w:r>
          </w:p>
          <w:p w14:paraId="08DAF001" w14:textId="77777777" w:rsidR="006C4F40" w:rsidRPr="00650D66" w:rsidRDefault="006C4F40" w:rsidP="0090213E">
            <w:pPr>
              <w:jc w:val="both"/>
              <w:rPr>
                <w:rFonts w:ascii="Times New Roman" w:hAnsi="Times New Roman"/>
                <w:b/>
                <w:lang w:val="ro-RO"/>
              </w:rPr>
            </w:pPr>
            <w:r w:rsidRPr="00650D66">
              <w:rPr>
                <w:rFonts w:ascii="Times New Roman" w:hAnsi="Times New Roman"/>
                <w:b/>
                <w:lang w:val="ro-RO"/>
              </w:rPr>
              <w:t>Riscul 1.</w:t>
            </w:r>
            <w:r>
              <w:rPr>
                <w:rFonts w:ascii="Times New Roman" w:hAnsi="Times New Roman"/>
                <w:b/>
                <w:lang w:val="ro-RO"/>
              </w:rPr>
              <w:t>2</w:t>
            </w:r>
          </w:p>
          <w:p w14:paraId="5235FBC0" w14:textId="77777777" w:rsidR="006C4F40" w:rsidRPr="00650D66" w:rsidRDefault="006C4F40" w:rsidP="0090213E">
            <w:pPr>
              <w:jc w:val="both"/>
              <w:rPr>
                <w:rFonts w:ascii="Times New Roman" w:hAnsi="Times New Roman"/>
                <w:b/>
                <w:lang w:val="ro-RO"/>
              </w:rPr>
            </w:pPr>
            <w:r w:rsidRPr="00650D66">
              <w:rPr>
                <w:rFonts w:ascii="Times New Roman" w:hAnsi="Times New Roman"/>
                <w:b/>
                <w:i/>
                <w:lang w:val="ro-RO"/>
              </w:rPr>
              <w:t>Actele normative aprobate de către BNM, ce reglementează planificarea și executarea devizului de cheltuieli și alocațiilor pentru investiții, nu asigură transparența în procesul decizional și unele necesită revizuire.</w:t>
            </w:r>
          </w:p>
        </w:tc>
        <w:tc>
          <w:tcPr>
            <w:tcW w:w="3544" w:type="dxa"/>
          </w:tcPr>
          <w:p w14:paraId="7C07E716" w14:textId="7C1B27D5"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În scopul îndeplinirii atribuțiilor sale, BNM are dreptul să emită hotărâri, regulamente, instrucțiuni și ordonanțe, dar numai actele normative care s obligatorii pentru bănci și pentru alte persoane juridice și fizice se publică în Monitorul Oficial al RM</w:t>
            </w:r>
            <w:r w:rsidRPr="00650D66">
              <w:rPr>
                <w:rFonts w:ascii="Times New Roman" w:hAnsi="Times New Roman"/>
                <w:vertAlign w:val="superscript"/>
                <w:lang w:val="ro-RO"/>
              </w:rPr>
              <w:footnoteReference w:id="99"/>
            </w:r>
            <w:r w:rsidRPr="00650D66">
              <w:rPr>
                <w:rFonts w:ascii="Times New Roman" w:hAnsi="Times New Roman"/>
                <w:lang w:val="ro-RO"/>
              </w:rPr>
              <w:t>.</w:t>
            </w:r>
          </w:p>
          <w:p w14:paraId="56393E3D" w14:textId="6202EBE8"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Actele normative aprobate de către BNM, ce reglementează planificarea și executarea devizului de cheltuieli și alo</w:t>
            </w:r>
            <w:r w:rsidR="00AD3DD9">
              <w:rPr>
                <w:rFonts w:ascii="Times New Roman" w:hAnsi="Times New Roman"/>
                <w:lang w:val="ro-RO"/>
              </w:rPr>
              <w:t>cațiilor pentru investiții, sunt</w:t>
            </w:r>
            <w:r w:rsidRPr="00650D66">
              <w:rPr>
                <w:rFonts w:ascii="Times New Roman" w:hAnsi="Times New Roman"/>
                <w:lang w:val="ro-RO"/>
              </w:rPr>
              <w:t xml:space="preserve"> de uz intern și </w:t>
            </w:r>
            <w:r w:rsidR="00AD3DD9">
              <w:rPr>
                <w:rFonts w:ascii="Times New Roman" w:hAnsi="Times New Roman"/>
                <w:lang w:val="ro-RO"/>
              </w:rPr>
              <w:t xml:space="preserve">sunt </w:t>
            </w:r>
            <w:r w:rsidRPr="00650D66">
              <w:rPr>
                <w:rFonts w:ascii="Times New Roman" w:hAnsi="Times New Roman"/>
                <w:lang w:val="ro-RO"/>
              </w:rPr>
              <w:t>disponibile doar pe pagina-web internă a BNM.</w:t>
            </w:r>
          </w:p>
          <w:p w14:paraId="6D157EC0" w14:textId="77777777" w:rsidR="006C4F40" w:rsidRPr="00650D66" w:rsidRDefault="006C4F40" w:rsidP="0090213E">
            <w:pPr>
              <w:contextualSpacing/>
              <w:jc w:val="both"/>
              <w:rPr>
                <w:rFonts w:ascii="Times New Roman" w:hAnsi="Times New Roman"/>
                <w:lang w:val="ro-RO"/>
              </w:rPr>
            </w:pPr>
          </w:p>
        </w:tc>
        <w:tc>
          <w:tcPr>
            <w:tcW w:w="2055" w:type="dxa"/>
          </w:tcPr>
          <w:p w14:paraId="6CAC8EB9"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Examinarea actelor normative interne aprobate de către BNM.</w:t>
            </w:r>
          </w:p>
        </w:tc>
        <w:tc>
          <w:tcPr>
            <w:tcW w:w="2132" w:type="dxa"/>
          </w:tcPr>
          <w:p w14:paraId="32EC3C87" w14:textId="77777777" w:rsidR="006C4F40" w:rsidRPr="00650D66" w:rsidRDefault="006C4F40" w:rsidP="0090213E">
            <w:pPr>
              <w:jc w:val="center"/>
              <w:rPr>
                <w:rFonts w:ascii="Times New Roman" w:hAnsi="Times New Roman"/>
                <w:lang w:val="ro-RO"/>
              </w:rPr>
            </w:pPr>
            <w:r w:rsidRPr="00650D66">
              <w:rPr>
                <w:rFonts w:ascii="Times New Roman" w:hAnsi="Times New Roman"/>
                <w:lang w:val="ro-RO"/>
              </w:rPr>
              <w:t>-</w:t>
            </w:r>
          </w:p>
        </w:tc>
      </w:tr>
      <w:tr w:rsidR="006C4F40" w:rsidRPr="00650D66" w14:paraId="01874773" w14:textId="77777777" w:rsidTr="0090213E">
        <w:trPr>
          <w:trHeight w:val="249"/>
        </w:trPr>
        <w:tc>
          <w:tcPr>
            <w:tcW w:w="9711" w:type="dxa"/>
            <w:gridSpan w:val="4"/>
          </w:tcPr>
          <w:p w14:paraId="07090EBE" w14:textId="77777777" w:rsidR="006C4F40" w:rsidRPr="00650D66" w:rsidRDefault="006C4F40" w:rsidP="0090213E">
            <w:pPr>
              <w:spacing w:line="276" w:lineRule="auto"/>
              <w:jc w:val="center"/>
              <w:rPr>
                <w:rFonts w:ascii="Times New Roman" w:hAnsi="Times New Roman"/>
                <w:b/>
                <w:lang w:val="ro-RO"/>
              </w:rPr>
            </w:pPr>
            <w:r w:rsidRPr="00650D66">
              <w:rPr>
                <w:rFonts w:ascii="Times New Roman" w:hAnsi="Times New Roman"/>
                <w:b/>
                <w:lang w:val="ro-RO"/>
              </w:rPr>
              <w:t>Obiectivul specific nr.2: A asigurat BNM elaborarea și executarea devizelor de cheltuieli și alocațiilor pentru investiții conform cadrului normativ aplicabil ?</w:t>
            </w:r>
          </w:p>
        </w:tc>
      </w:tr>
      <w:tr w:rsidR="006C4F40" w:rsidRPr="00650D66" w14:paraId="0AA454CC" w14:textId="77777777" w:rsidTr="0090213E">
        <w:trPr>
          <w:trHeight w:val="249"/>
        </w:trPr>
        <w:tc>
          <w:tcPr>
            <w:tcW w:w="1980" w:type="dxa"/>
          </w:tcPr>
          <w:p w14:paraId="3DCCB1A3" w14:textId="77777777" w:rsidR="006C4F40" w:rsidRPr="00650D66" w:rsidRDefault="006C4F40" w:rsidP="0090213E">
            <w:pPr>
              <w:jc w:val="both"/>
              <w:rPr>
                <w:rFonts w:ascii="Times New Roman" w:eastAsia="Times New Roman" w:hAnsi="Times New Roman"/>
                <w:b/>
                <w:bCs/>
                <w:color w:val="000000"/>
                <w:lang w:val="ro-RO"/>
              </w:rPr>
            </w:pPr>
            <w:r w:rsidRPr="00650D66">
              <w:rPr>
                <w:rFonts w:ascii="Times New Roman" w:eastAsia="Times New Roman" w:hAnsi="Times New Roman"/>
                <w:b/>
                <w:bCs/>
                <w:color w:val="000000"/>
                <w:lang w:val="ro-RO"/>
              </w:rPr>
              <w:t>Paragraful 4.2.2</w:t>
            </w:r>
          </w:p>
          <w:p w14:paraId="70C79028" w14:textId="77777777" w:rsidR="006C4F40" w:rsidRPr="00650D66" w:rsidRDefault="006C4F40" w:rsidP="0090213E">
            <w:pPr>
              <w:jc w:val="both"/>
              <w:rPr>
                <w:rFonts w:ascii="Times New Roman" w:eastAsia="Times New Roman" w:hAnsi="Times New Roman"/>
                <w:b/>
                <w:bCs/>
                <w:color w:val="000000"/>
                <w:lang w:val="ro-RO"/>
              </w:rPr>
            </w:pPr>
            <w:r w:rsidRPr="00650D66">
              <w:rPr>
                <w:rFonts w:ascii="Times New Roman" w:eastAsia="Times New Roman" w:hAnsi="Times New Roman"/>
                <w:b/>
                <w:bCs/>
                <w:color w:val="000000"/>
                <w:lang w:val="ro-RO"/>
              </w:rPr>
              <w:t>Riscul 2.1</w:t>
            </w:r>
          </w:p>
          <w:p w14:paraId="32F240F3" w14:textId="77777777" w:rsidR="006C4F40" w:rsidRPr="00650D66" w:rsidRDefault="006C4F40" w:rsidP="0090213E">
            <w:pPr>
              <w:jc w:val="both"/>
              <w:rPr>
                <w:rFonts w:ascii="Times New Roman" w:hAnsi="Times New Roman"/>
                <w:b/>
                <w:lang w:val="ro-RO"/>
              </w:rPr>
            </w:pPr>
            <w:r w:rsidRPr="00650D66">
              <w:rPr>
                <w:rFonts w:ascii="Times New Roman" w:eastAsia="Times New Roman" w:hAnsi="Times New Roman"/>
                <w:b/>
                <w:bCs/>
                <w:i/>
                <w:color w:val="000000"/>
                <w:lang w:val="ro-RO"/>
              </w:rPr>
              <w:t>Salarizarea angajaților BNM s-a efectuat cu abateri de la cadrul regulamentar.</w:t>
            </w:r>
          </w:p>
        </w:tc>
        <w:tc>
          <w:tcPr>
            <w:tcW w:w="3544" w:type="dxa"/>
          </w:tcPr>
          <w:p w14:paraId="12B26BD8"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Salarizarea angajaților BNM s-a efectuat în conformitate cu Legea nr.847 din 14.02.2002</w:t>
            </w:r>
            <w:r w:rsidRPr="00650D66">
              <w:rPr>
                <w:rFonts w:ascii="Times New Roman" w:hAnsi="Times New Roman"/>
                <w:vertAlign w:val="superscript"/>
                <w:lang w:val="ro-RO"/>
              </w:rPr>
              <w:footnoteReference w:id="100"/>
            </w:r>
            <w:r w:rsidRPr="00650D66">
              <w:rPr>
                <w:rFonts w:ascii="Times New Roman" w:hAnsi="Times New Roman"/>
                <w:lang w:val="ro-RO"/>
              </w:rPr>
              <w:t xml:space="preserve"> și cu Regulamentul aprobat de către Consiliul de supraveghere al BNM</w:t>
            </w:r>
            <w:r w:rsidRPr="00650D66">
              <w:rPr>
                <w:rFonts w:ascii="Times New Roman" w:hAnsi="Times New Roman"/>
                <w:vertAlign w:val="superscript"/>
                <w:lang w:val="ro-RO"/>
              </w:rPr>
              <w:footnoteReference w:id="101"/>
            </w:r>
            <w:r w:rsidRPr="00650D66">
              <w:rPr>
                <w:rFonts w:ascii="Times New Roman" w:hAnsi="Times New Roman"/>
                <w:lang w:val="ro-RO"/>
              </w:rPr>
              <w:t>.</w:t>
            </w:r>
          </w:p>
          <w:p w14:paraId="61DFEE78" w14:textId="77777777" w:rsidR="006C4F40" w:rsidRPr="00650D66" w:rsidRDefault="006C4F40" w:rsidP="0090213E">
            <w:pPr>
              <w:contextualSpacing/>
              <w:jc w:val="both"/>
              <w:rPr>
                <w:rFonts w:ascii="Times New Roman" w:hAnsi="Times New Roman"/>
                <w:lang w:val="ro-RO"/>
              </w:rPr>
            </w:pPr>
          </w:p>
        </w:tc>
        <w:tc>
          <w:tcPr>
            <w:tcW w:w="2055" w:type="dxa"/>
          </w:tcPr>
          <w:p w14:paraId="66CC69DA"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Examinarea documentelor ce țin de salarizarea angajaților BNM, dacă a fost efectuată în limitele mijloacelor prevăzute în Fondul de salarizare al BNM pentru fiecare an gestionar, definit de Comitetul executiv și aprobat de către Consiliul de supraveghere al BNM.</w:t>
            </w:r>
          </w:p>
          <w:p w14:paraId="4B05BE7D" w14:textId="77777777" w:rsidR="006C4F40" w:rsidRPr="00650D66" w:rsidRDefault="006C4F40" w:rsidP="0090213E">
            <w:pPr>
              <w:ind w:right="35"/>
              <w:jc w:val="both"/>
              <w:rPr>
                <w:rFonts w:ascii="Times New Roman" w:hAnsi="Times New Roman"/>
                <w:lang w:val="ro-RO"/>
              </w:rPr>
            </w:pPr>
          </w:p>
        </w:tc>
        <w:tc>
          <w:tcPr>
            <w:tcW w:w="2132" w:type="dxa"/>
          </w:tcPr>
          <w:p w14:paraId="3669A9A3"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t>Cheltuieli cu personalul (9150) – la nivel mediu de 99%, inclusiv anual în conformitate cu criteriul stabilit &gt;1%, anual au fost selectate categoriile:</w:t>
            </w:r>
          </w:p>
          <w:p w14:paraId="0E9D9F18"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t>i)</w:t>
            </w:r>
            <w:r w:rsidRPr="00650D66">
              <w:rPr>
                <w:rFonts w:ascii="Times New Roman" w:hAnsi="Times New Roman"/>
                <w:lang w:val="ro-RO"/>
              </w:rPr>
              <w:tab/>
              <w:t>Cheltuieli privind retribuirea personalului scriptic – 87%;</w:t>
            </w:r>
          </w:p>
          <w:p w14:paraId="4FED1D21"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t>ii)</w:t>
            </w:r>
            <w:r w:rsidRPr="00650D66">
              <w:rPr>
                <w:rFonts w:ascii="Times New Roman" w:hAnsi="Times New Roman"/>
                <w:lang w:val="ro-RO"/>
              </w:rPr>
              <w:tab/>
              <w:t>Cheltuieli privind premiile și alte drepturi acordate personalului BNM -7%;</w:t>
            </w:r>
          </w:p>
          <w:p w14:paraId="56836AC8"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t>iii)</w:t>
            </w:r>
            <w:r w:rsidRPr="00650D66">
              <w:rPr>
                <w:rFonts w:ascii="Times New Roman" w:hAnsi="Times New Roman"/>
                <w:lang w:val="ro-RO"/>
              </w:rPr>
              <w:tab/>
              <w:t>Cheltuieli privind retribuirea personalul nescriptic – 3% etc.</w:t>
            </w:r>
          </w:p>
        </w:tc>
      </w:tr>
      <w:tr w:rsidR="006C4F40" w:rsidRPr="00650D66" w14:paraId="1321286B" w14:textId="77777777" w:rsidTr="0090213E">
        <w:trPr>
          <w:trHeight w:val="249"/>
        </w:trPr>
        <w:tc>
          <w:tcPr>
            <w:tcW w:w="1980" w:type="dxa"/>
          </w:tcPr>
          <w:p w14:paraId="5D55DD4A"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Paragraful 4.2.3</w:t>
            </w:r>
          </w:p>
          <w:p w14:paraId="42174F27"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Riscul 2.2</w:t>
            </w:r>
          </w:p>
          <w:p w14:paraId="13445AE5" w14:textId="77777777" w:rsidR="006C4F40" w:rsidRPr="00650D66" w:rsidRDefault="006C4F40" w:rsidP="0090213E">
            <w:pPr>
              <w:jc w:val="both"/>
              <w:rPr>
                <w:rFonts w:ascii="Times New Roman" w:hAnsi="Times New Roman"/>
                <w:b/>
                <w:i/>
                <w:lang w:val="ro-RO"/>
              </w:rPr>
            </w:pPr>
            <w:r w:rsidRPr="00650D66">
              <w:rPr>
                <w:rFonts w:ascii="Times New Roman" w:hAnsi="Times New Roman"/>
                <w:b/>
                <w:i/>
                <w:lang w:val="ro-RO"/>
              </w:rPr>
              <w:t>Întocmirea neconformă a documentelor ce țin de deplasările de serviciu și</w:t>
            </w:r>
            <w:r w:rsidRPr="00650D66">
              <w:rPr>
                <w:rFonts w:asciiTheme="majorHAnsi" w:hAnsiTheme="majorHAnsi" w:cstheme="majorHAnsi"/>
                <w:b/>
                <w:i/>
                <w:sz w:val="22"/>
                <w:szCs w:val="22"/>
                <w:lang w:val="ro-RO"/>
              </w:rPr>
              <w:t xml:space="preserve"> </w:t>
            </w:r>
            <w:r w:rsidRPr="00650D66">
              <w:rPr>
                <w:rFonts w:ascii="Times New Roman" w:hAnsi="Times New Roman"/>
                <w:b/>
                <w:i/>
                <w:lang w:val="ro-RO"/>
              </w:rPr>
              <w:t>de deplasările privind pregătirea și perfecționarea personalului.</w:t>
            </w:r>
          </w:p>
        </w:tc>
        <w:tc>
          <w:tcPr>
            <w:tcW w:w="3544" w:type="dxa"/>
          </w:tcPr>
          <w:p w14:paraId="405FC0DC" w14:textId="77777777" w:rsidR="006C4F40" w:rsidRPr="00650D66" w:rsidRDefault="006C4F40" w:rsidP="0090213E">
            <w:pPr>
              <w:contextualSpacing/>
              <w:jc w:val="both"/>
              <w:rPr>
                <w:rFonts w:ascii="Times New Roman" w:hAnsi="Times New Roman"/>
                <w:bCs/>
                <w:lang w:val="ro-RO"/>
              </w:rPr>
            </w:pPr>
            <w:r w:rsidRPr="00650D66">
              <w:rPr>
                <w:rFonts w:ascii="Times New Roman" w:hAnsi="Times New Roman"/>
                <w:bCs/>
                <w:lang w:val="ro-RO"/>
              </w:rPr>
              <w:t xml:space="preserve">În procesul de delegare a salariaților/ pregătirea și perfecționarea personalului și de gestionare a cheltuielilor aferente, BNM se ghidează în special de prevederile Regulamentului cu privire la delegarea salariaților entităților din RM, aprobat prin HG nr.10 din 05.01.2012, </w:t>
            </w:r>
          </w:p>
          <w:p w14:paraId="34767E35" w14:textId="77777777" w:rsidR="006C4F40" w:rsidRPr="00650D66" w:rsidRDefault="006C4F40" w:rsidP="0090213E">
            <w:pPr>
              <w:contextualSpacing/>
              <w:jc w:val="both"/>
              <w:rPr>
                <w:rFonts w:ascii="Times New Roman" w:hAnsi="Times New Roman"/>
                <w:bCs/>
                <w:lang w:val="ro-RO"/>
              </w:rPr>
            </w:pPr>
            <w:r w:rsidRPr="00650D66">
              <w:rPr>
                <w:rFonts w:ascii="Times New Roman" w:hAnsi="Times New Roman"/>
                <w:lang w:val="ro-RO"/>
              </w:rPr>
              <w:t>Codul muncii al Republicii Moldova nr.154-XV/2003.</w:t>
            </w:r>
            <w:r w:rsidRPr="00650D66">
              <w:rPr>
                <w:rFonts w:ascii="Calibri Light" w:eastAsia="Times New Roman" w:hAnsi="Calibri Light" w:cs="Calibri Light"/>
                <w:bCs/>
                <w:color w:val="000000"/>
                <w:lang w:val="ro-RO"/>
              </w:rPr>
              <w:t xml:space="preserve"> </w:t>
            </w:r>
            <w:r w:rsidRPr="00650D66">
              <w:rPr>
                <w:rFonts w:ascii="Times New Roman" w:hAnsi="Times New Roman"/>
                <w:bCs/>
                <w:lang w:val="ro-RO"/>
              </w:rPr>
              <w:t xml:space="preserve">Calculele se efectuează conform normelor diurnelor și plafoanelor de cazare pe categorii a </w:t>
            </w:r>
            <w:r w:rsidRPr="00650D66">
              <w:rPr>
                <w:rFonts w:ascii="Times New Roman" w:hAnsi="Times New Roman"/>
                <w:bCs/>
                <w:lang w:val="ro-RO"/>
              </w:rPr>
              <w:lastRenderedPageBreak/>
              <w:t>persoanelor delegate, stabilite în Anexa nr.2 la Regulament.</w:t>
            </w:r>
          </w:p>
          <w:p w14:paraId="40D47944" w14:textId="77777777" w:rsidR="006C4F40" w:rsidRPr="00650D66" w:rsidRDefault="006C4F40" w:rsidP="0090213E">
            <w:pPr>
              <w:contextualSpacing/>
              <w:jc w:val="both"/>
              <w:rPr>
                <w:rFonts w:ascii="Times New Roman" w:hAnsi="Times New Roman"/>
                <w:lang w:val="ro-RO"/>
              </w:rPr>
            </w:pPr>
          </w:p>
          <w:p w14:paraId="323D0084" w14:textId="77777777" w:rsidR="006C4F40" w:rsidRPr="00650D66" w:rsidRDefault="006C4F40" w:rsidP="0090213E">
            <w:pPr>
              <w:contextualSpacing/>
              <w:jc w:val="both"/>
              <w:rPr>
                <w:rFonts w:ascii="Times New Roman" w:hAnsi="Times New Roman"/>
                <w:lang w:val="ro-RO"/>
              </w:rPr>
            </w:pPr>
          </w:p>
        </w:tc>
        <w:tc>
          <w:tcPr>
            <w:tcW w:w="2055" w:type="dxa"/>
          </w:tcPr>
          <w:p w14:paraId="6949A77C"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lastRenderedPageBreak/>
              <w:t xml:space="preserve">Examinarea -,Raportului privind executarea devizului de cheltuieli și alocațiilor pentru investiții”, </w:t>
            </w:r>
          </w:p>
          <w:p w14:paraId="49AB3097"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-Invitațiilor, Ordinelor, Notelor de serviciu etc.</w:t>
            </w:r>
          </w:p>
          <w:p w14:paraId="4773E3F3"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 xml:space="preserve">- dosarelor de achiziții a biletelor </w:t>
            </w:r>
            <w:proofErr w:type="spellStart"/>
            <w:r w:rsidRPr="00650D66">
              <w:rPr>
                <w:rFonts w:ascii="Times New Roman" w:hAnsi="Times New Roman"/>
                <w:lang w:val="ro-RO"/>
              </w:rPr>
              <w:t>avia</w:t>
            </w:r>
            <w:proofErr w:type="spellEnd"/>
            <w:r w:rsidRPr="00650D66">
              <w:rPr>
                <w:rFonts w:ascii="Times New Roman" w:hAnsi="Times New Roman"/>
                <w:lang w:val="ro-RO"/>
              </w:rPr>
              <w:t>;</w:t>
            </w:r>
          </w:p>
          <w:p w14:paraId="43FCCBFA" w14:textId="77777777" w:rsidR="006C4F40" w:rsidRPr="00650D66" w:rsidRDefault="006C4F40" w:rsidP="0090213E">
            <w:pPr>
              <w:tabs>
                <w:tab w:val="left" w:pos="172"/>
              </w:tabs>
              <w:ind w:right="35"/>
              <w:jc w:val="both"/>
              <w:rPr>
                <w:rFonts w:ascii="Times New Roman" w:hAnsi="Times New Roman"/>
                <w:lang w:val="ro-RO"/>
              </w:rPr>
            </w:pPr>
            <w:r w:rsidRPr="00650D66">
              <w:rPr>
                <w:rFonts w:ascii="Times New Roman" w:hAnsi="Times New Roman"/>
                <w:lang w:val="ro-RO"/>
              </w:rPr>
              <w:lastRenderedPageBreak/>
              <w:t>- deconturilor de avans;</w:t>
            </w:r>
          </w:p>
          <w:p w14:paraId="542A0279" w14:textId="77777777" w:rsidR="006C4F40" w:rsidRPr="00650D66" w:rsidRDefault="006C4F40" w:rsidP="0090213E">
            <w:pPr>
              <w:tabs>
                <w:tab w:val="left" w:pos="172"/>
              </w:tabs>
              <w:ind w:right="35"/>
              <w:jc w:val="both"/>
              <w:rPr>
                <w:rFonts w:ascii="Times New Roman" w:hAnsi="Times New Roman"/>
                <w:lang w:val="ro-RO"/>
              </w:rPr>
            </w:pPr>
            <w:r w:rsidRPr="00650D66">
              <w:rPr>
                <w:rFonts w:ascii="Times New Roman" w:hAnsi="Times New Roman"/>
                <w:lang w:val="ro-RO"/>
              </w:rPr>
              <w:t>- documentelor confirmative a plăților din deplasări;</w:t>
            </w:r>
          </w:p>
          <w:p w14:paraId="6AADAED3" w14:textId="77777777" w:rsidR="006C4F40" w:rsidRPr="00650D66" w:rsidRDefault="006C4F40" w:rsidP="0090213E">
            <w:pPr>
              <w:tabs>
                <w:tab w:val="left" w:pos="172"/>
              </w:tabs>
              <w:ind w:right="35"/>
              <w:jc w:val="both"/>
              <w:rPr>
                <w:rFonts w:ascii="Times New Roman" w:hAnsi="Times New Roman"/>
                <w:lang w:val="ro-RO"/>
              </w:rPr>
            </w:pPr>
            <w:r w:rsidRPr="00650D66">
              <w:rPr>
                <w:rFonts w:ascii="Times New Roman" w:hAnsi="Times New Roman"/>
                <w:lang w:val="ro-RO"/>
              </w:rPr>
              <w:t xml:space="preserve">- rapoartele de deplasare </w:t>
            </w:r>
          </w:p>
          <w:p w14:paraId="2418D0D0" w14:textId="77777777" w:rsidR="006C4F40" w:rsidRPr="00650D66" w:rsidRDefault="006C4F40" w:rsidP="0090213E">
            <w:pPr>
              <w:tabs>
                <w:tab w:val="left" w:pos="172"/>
              </w:tabs>
              <w:ind w:right="35"/>
              <w:jc w:val="both"/>
              <w:rPr>
                <w:rFonts w:ascii="Times New Roman" w:hAnsi="Times New Roman"/>
                <w:lang w:val="ro-RO"/>
              </w:rPr>
            </w:pPr>
            <w:r w:rsidRPr="00650D66">
              <w:rPr>
                <w:rFonts w:ascii="Times New Roman" w:hAnsi="Times New Roman"/>
                <w:lang w:val="ro-RO"/>
              </w:rPr>
              <w:t>- certificatele de instruire etc.</w:t>
            </w:r>
          </w:p>
          <w:p w14:paraId="670F6E36" w14:textId="77777777" w:rsidR="006C4F40" w:rsidRPr="00650D66" w:rsidRDefault="006C4F40" w:rsidP="0090213E">
            <w:pPr>
              <w:ind w:right="35"/>
              <w:jc w:val="both"/>
              <w:rPr>
                <w:rFonts w:ascii="Times New Roman" w:hAnsi="Times New Roman"/>
                <w:lang w:val="ro-RO"/>
              </w:rPr>
            </w:pPr>
          </w:p>
          <w:p w14:paraId="560405BA"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color w:val="000000" w:themeColor="text1"/>
                <w:lang w:val="ro-RO"/>
              </w:rPr>
              <w:t>Calcularea și compararea informațiilor prezentate.</w:t>
            </w:r>
          </w:p>
        </w:tc>
        <w:tc>
          <w:tcPr>
            <w:tcW w:w="2132" w:type="dxa"/>
          </w:tcPr>
          <w:p w14:paraId="735C90ED" w14:textId="77777777" w:rsidR="006C4F40" w:rsidRPr="00650D66" w:rsidRDefault="006C4F40" w:rsidP="0090213E">
            <w:pPr>
              <w:jc w:val="both"/>
              <w:rPr>
                <w:rFonts w:ascii="Times New Roman" w:hAnsi="Times New Roman"/>
                <w:bCs/>
                <w:lang w:val="ro-RO"/>
              </w:rPr>
            </w:pPr>
            <w:r w:rsidRPr="00650D66">
              <w:rPr>
                <w:rFonts w:ascii="Times New Roman" w:hAnsi="Times New Roman"/>
                <w:bCs/>
                <w:lang w:val="ro-RO"/>
              </w:rPr>
              <w:lastRenderedPageBreak/>
              <w:t>Cheltuieli pentru deplasare în interes de serviciu, pe un eșantion reprezentativ de 71,6% (1 339,7 mii lei) în anul 2019 și 75,1% (1138,5 mii lei) în anul 2022, selectate după criteriul mărimii valorii executate.</w:t>
            </w:r>
          </w:p>
          <w:p w14:paraId="4130C491" w14:textId="77777777" w:rsidR="006C4F40" w:rsidRPr="00650D66" w:rsidRDefault="006C4F40" w:rsidP="0090213E">
            <w:pPr>
              <w:jc w:val="both"/>
              <w:rPr>
                <w:rFonts w:ascii="Times New Roman" w:hAnsi="Times New Roman"/>
                <w:lang w:val="ro-RO"/>
              </w:rPr>
            </w:pPr>
          </w:p>
          <w:p w14:paraId="06F1BAE2" w14:textId="77777777" w:rsidR="006C4F40" w:rsidRPr="00650D66" w:rsidRDefault="006C4F40" w:rsidP="0090213E">
            <w:pPr>
              <w:tabs>
                <w:tab w:val="left" w:pos="284"/>
              </w:tabs>
              <w:contextualSpacing/>
              <w:jc w:val="both"/>
              <w:rPr>
                <w:rFonts w:ascii="Times New Roman" w:eastAsia="Times New Roman" w:hAnsi="Times New Roman"/>
                <w:bCs/>
                <w:color w:val="000000"/>
                <w:lang w:val="ro-RO"/>
              </w:rPr>
            </w:pPr>
            <w:r w:rsidRPr="00650D66">
              <w:rPr>
                <w:rFonts w:ascii="Times New Roman" w:eastAsia="Times New Roman" w:hAnsi="Times New Roman"/>
                <w:bCs/>
                <w:i/>
                <w:color w:val="000000"/>
                <w:lang w:val="ro-RO"/>
              </w:rPr>
              <w:lastRenderedPageBreak/>
              <w:t>Cheltuielilor pentru pregătirea și perfecționarea personalului,</w:t>
            </w:r>
            <w:r w:rsidRPr="00650D66">
              <w:rPr>
                <w:rFonts w:ascii="Times New Roman" w:eastAsia="Times New Roman" w:hAnsi="Times New Roman"/>
                <w:bCs/>
                <w:color w:val="000000"/>
                <w:lang w:val="ro-RO"/>
              </w:rPr>
              <w:t xml:space="preserve"> pe un eșantion reprezentativ de 58,6% (1 329,5 mii lei) în anul 2019, 78,3% (479,6 mii lei) în anul 2020 și 78,0% (778,2 mii lei) în anul 2022, selectate după criteriul mărimii valorii executate.</w:t>
            </w:r>
          </w:p>
          <w:p w14:paraId="029B192B" w14:textId="77777777" w:rsidR="006C4F40" w:rsidRPr="00650D66" w:rsidRDefault="006C4F40" w:rsidP="0090213E">
            <w:pPr>
              <w:tabs>
                <w:tab w:val="left" w:pos="284"/>
              </w:tabs>
              <w:contextualSpacing/>
              <w:jc w:val="both"/>
              <w:rPr>
                <w:rFonts w:ascii="Times New Roman" w:eastAsia="Times New Roman" w:hAnsi="Times New Roman"/>
                <w:bCs/>
                <w:color w:val="000000"/>
                <w:lang w:val="ro-RO"/>
              </w:rPr>
            </w:pPr>
            <w:r w:rsidRPr="00650D66">
              <w:rPr>
                <w:rFonts w:ascii="Times New Roman" w:eastAsia="Times New Roman" w:hAnsi="Times New Roman"/>
                <w:bCs/>
                <w:color w:val="000000"/>
                <w:lang w:val="ro-RO"/>
              </w:rPr>
              <w:t>Cheltuielilor pentru servicii prestate, pe un eșantion reprezentativ de 95,0% (462,5 mii lei) în anul 2019, 70,5% (86,3 mii lei) în anul 2020 și 88,0% (443,4 mii lei) în anul 2022, selectate după criteriul mărimii valorii executate. Cheltuielilor pentru asistență tehnică, pe un eșantion reprezentativ de 85,9% (195,2 mii lei) în anul 2019, 100,0% (2,4 mii lei) în anul 2020 și 95,3% (117,08 mii lei) în anul 2022, selectate după criteriul mărimii valorii executate.</w:t>
            </w:r>
          </w:p>
        </w:tc>
      </w:tr>
      <w:tr w:rsidR="006C4F40" w:rsidRPr="00650D66" w14:paraId="4BC6F6AD" w14:textId="77777777" w:rsidTr="0090213E">
        <w:trPr>
          <w:trHeight w:val="249"/>
        </w:trPr>
        <w:tc>
          <w:tcPr>
            <w:tcW w:w="1980" w:type="dxa"/>
          </w:tcPr>
          <w:p w14:paraId="7A184146"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lastRenderedPageBreak/>
              <w:t>Paragraful 4.2.4</w:t>
            </w:r>
          </w:p>
          <w:p w14:paraId="0F8D1850"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Riscul 2.3</w:t>
            </w:r>
          </w:p>
          <w:p w14:paraId="32EA6E89" w14:textId="77777777" w:rsidR="006C4F40" w:rsidRPr="00650D66" w:rsidRDefault="006C4F40" w:rsidP="0090213E">
            <w:pPr>
              <w:jc w:val="both"/>
              <w:rPr>
                <w:rFonts w:ascii="Times New Roman" w:hAnsi="Times New Roman"/>
                <w:b/>
                <w:lang w:val="ro-RO"/>
              </w:rPr>
            </w:pPr>
            <w:r w:rsidRPr="00650D66">
              <w:rPr>
                <w:rFonts w:ascii="Times New Roman" w:hAnsi="Times New Roman"/>
                <w:b/>
                <w:i/>
                <w:lang w:val="ro-RO"/>
              </w:rPr>
              <w:t>Reglementările interne privind cheltuielile de reprezentanță ale BNM nu conțin expres prevederi privind procesul de promovare a imaginii BNM.</w:t>
            </w:r>
          </w:p>
        </w:tc>
        <w:tc>
          <w:tcPr>
            <w:tcW w:w="3544" w:type="dxa"/>
          </w:tcPr>
          <w:p w14:paraId="669F3D75"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Regulamentul privind cheltuielile de reprezentanță aprobat de către Comitetul executiv</w:t>
            </w:r>
            <w:r w:rsidRPr="00650D66">
              <w:rPr>
                <w:rFonts w:ascii="Times New Roman" w:hAnsi="Times New Roman"/>
                <w:vertAlign w:val="superscript"/>
                <w:lang w:val="ro-RO"/>
              </w:rPr>
              <w:footnoteReference w:id="102"/>
            </w:r>
            <w:r w:rsidRPr="00650D66">
              <w:rPr>
                <w:rFonts w:ascii="Times New Roman" w:hAnsi="Times New Roman"/>
                <w:lang w:val="ro-RO"/>
              </w:rPr>
              <w:t>, stabilește modul de planificare și efectuare a cheltuielilor de reprezentanță pentru organizarea primirii delegațiilor străine, membrilor misiunilor de asistență tehnică, persoanelor oficiale din RM și a personalităților remarcabile care vizitează BNM. Regulamentul menționat mai sus, a fost aprobat de către BNM în limitele aprobate prin HG nr.101 din 30.01.2018</w:t>
            </w:r>
            <w:r w:rsidRPr="00650D66">
              <w:rPr>
                <w:rFonts w:ascii="Times New Roman" w:hAnsi="Times New Roman"/>
                <w:vertAlign w:val="superscript"/>
                <w:lang w:val="ro-RO"/>
              </w:rPr>
              <w:footnoteReference w:id="103"/>
            </w:r>
            <w:r w:rsidRPr="00650D66">
              <w:rPr>
                <w:rFonts w:ascii="Times New Roman" w:hAnsi="Times New Roman"/>
                <w:lang w:val="ro-RO"/>
              </w:rPr>
              <w:t>.</w:t>
            </w:r>
          </w:p>
          <w:p w14:paraId="06059A7B" w14:textId="77777777" w:rsidR="006C4F40" w:rsidRPr="00650D66" w:rsidRDefault="006C4F40" w:rsidP="0090213E">
            <w:pPr>
              <w:contextualSpacing/>
              <w:jc w:val="both"/>
              <w:rPr>
                <w:rFonts w:ascii="Times New Roman" w:hAnsi="Times New Roman"/>
                <w:lang w:val="ro-RO"/>
              </w:rPr>
            </w:pPr>
          </w:p>
        </w:tc>
        <w:tc>
          <w:tcPr>
            <w:tcW w:w="2055" w:type="dxa"/>
          </w:tcPr>
          <w:p w14:paraId="20042685"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Examinarea ,,Raportului privind executarea devizului de cheltuieli și alocațiilor pentru investiții”.</w:t>
            </w:r>
          </w:p>
          <w:p w14:paraId="5A467AE1"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-notele de serviciu, Ordinele etc.</w:t>
            </w:r>
          </w:p>
          <w:p w14:paraId="5CE4FD47"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-devizele de cheltuieli aprobate pentru delegații;</w:t>
            </w:r>
          </w:p>
          <w:p w14:paraId="57D56A14"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 facturile fiscale;</w:t>
            </w:r>
          </w:p>
          <w:p w14:paraId="31536093"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 actele de predare-primire a serviciilor și bunurilor ;</w:t>
            </w:r>
          </w:p>
          <w:p w14:paraId="66ACC30A"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 xml:space="preserve">- actele de casare </w:t>
            </w:r>
          </w:p>
          <w:p w14:paraId="0CC33618"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 dispozițiile de eliberare a monedelor comemorative etc.</w:t>
            </w:r>
          </w:p>
        </w:tc>
        <w:tc>
          <w:tcPr>
            <w:tcW w:w="2132" w:type="dxa"/>
          </w:tcPr>
          <w:p w14:paraId="37FEF9EE"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t>Toată populația pentru anii 2020-2022 și 79% pentru anul 2019.</w:t>
            </w:r>
          </w:p>
        </w:tc>
      </w:tr>
      <w:tr w:rsidR="006C4F40" w:rsidRPr="00650D66" w14:paraId="42FD3C1D" w14:textId="77777777" w:rsidTr="0090213E">
        <w:trPr>
          <w:trHeight w:val="249"/>
        </w:trPr>
        <w:tc>
          <w:tcPr>
            <w:tcW w:w="1980" w:type="dxa"/>
          </w:tcPr>
          <w:p w14:paraId="2AF2352C"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Paragraful 4.2.5</w:t>
            </w:r>
          </w:p>
          <w:p w14:paraId="28EEA929"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Riscul 2.4</w:t>
            </w:r>
          </w:p>
          <w:p w14:paraId="66DC4B01" w14:textId="77777777" w:rsidR="006C4F40" w:rsidRPr="00650D66" w:rsidRDefault="006C4F40" w:rsidP="0090213E">
            <w:pPr>
              <w:jc w:val="both"/>
              <w:rPr>
                <w:rFonts w:ascii="Times New Roman" w:hAnsi="Times New Roman"/>
                <w:b/>
                <w:lang w:val="ro-RO"/>
              </w:rPr>
            </w:pPr>
            <w:r w:rsidRPr="00650D66">
              <w:rPr>
                <w:rFonts w:ascii="Times New Roman" w:hAnsi="Times New Roman"/>
                <w:b/>
                <w:i/>
                <w:lang w:val="ro-RO"/>
              </w:rPr>
              <w:t xml:space="preserve">Executarea cheltuielilor sociale în lipsa actelor normative aprobate și </w:t>
            </w:r>
            <w:r w:rsidRPr="00650D66">
              <w:rPr>
                <w:rFonts w:ascii="Times New Roman" w:hAnsi="Times New Roman"/>
                <w:b/>
                <w:i/>
                <w:lang w:val="ro-RO"/>
              </w:rPr>
              <w:lastRenderedPageBreak/>
              <w:t>documentelor justificative.</w:t>
            </w:r>
          </w:p>
        </w:tc>
        <w:tc>
          <w:tcPr>
            <w:tcW w:w="3544" w:type="dxa"/>
          </w:tcPr>
          <w:p w14:paraId="2C365FA6"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lastRenderedPageBreak/>
              <w:t>Conform art.8 din Legea nr.1585 din 27.02.1998</w:t>
            </w:r>
            <w:r w:rsidRPr="00650D66">
              <w:rPr>
                <w:rFonts w:ascii="Times New Roman" w:hAnsi="Times New Roman"/>
                <w:vertAlign w:val="superscript"/>
                <w:lang w:val="ro-RO"/>
              </w:rPr>
              <w:footnoteReference w:id="104"/>
            </w:r>
            <w:r w:rsidRPr="00650D66">
              <w:rPr>
                <w:rFonts w:ascii="Times New Roman" w:hAnsi="Times New Roman"/>
                <w:lang w:val="ro-RO"/>
              </w:rPr>
              <w:t>, volumul serviciilor prestate în cadrul asigurării obligatorii de asistentă medicală poate fi extins în temeiul condițiilor asigurării facultative de sănătate.</w:t>
            </w:r>
          </w:p>
          <w:p w14:paraId="3D002791"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lastRenderedPageBreak/>
              <w:t>În baza Hotărârilor Consiliului de supraveghere au fost acordate ajutoare materiale pensionarilor, invalizilor foștilor angajați ai BNM.</w:t>
            </w:r>
          </w:p>
          <w:p w14:paraId="49FAAB5C" w14:textId="77777777" w:rsidR="006C4F40" w:rsidRPr="00650D66" w:rsidRDefault="006C4F40" w:rsidP="0090213E">
            <w:pPr>
              <w:contextualSpacing/>
              <w:jc w:val="both"/>
              <w:rPr>
                <w:rFonts w:ascii="Times New Roman" w:hAnsi="Times New Roman"/>
                <w:lang w:val="ro-RO"/>
              </w:rPr>
            </w:pPr>
          </w:p>
          <w:p w14:paraId="308CBF6A"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Casa de odihnă ,,La Nistru” situată în satul Molovata Nouă raionul Dubăsari și oficiul de protocol nr.9 situat în satul Holercani, raionul Dubăsari reprezintă obiective de menire social-culturală și sunt părți a patrimoniului BNM.</w:t>
            </w:r>
          </w:p>
        </w:tc>
        <w:tc>
          <w:tcPr>
            <w:tcW w:w="2055" w:type="dxa"/>
          </w:tcPr>
          <w:p w14:paraId="22981AEE" w14:textId="77777777" w:rsidR="006C4F40" w:rsidRPr="00650D66" w:rsidRDefault="006C4F40" w:rsidP="0090213E">
            <w:pPr>
              <w:ind w:right="35"/>
              <w:jc w:val="both"/>
              <w:rPr>
                <w:rFonts w:ascii="Times New Roman" w:hAnsi="Times New Roman"/>
                <w:bCs/>
                <w:lang w:val="ro-RO"/>
              </w:rPr>
            </w:pPr>
            <w:r w:rsidRPr="00650D66">
              <w:rPr>
                <w:rFonts w:ascii="Times New Roman" w:hAnsi="Times New Roman"/>
                <w:bCs/>
                <w:lang w:val="ro-RO"/>
              </w:rPr>
              <w:lastRenderedPageBreak/>
              <w:t>Evaluarea dacă controalele-cheie au funcționat eficient și continuu în perioada 2019-2022.</w:t>
            </w:r>
          </w:p>
          <w:p w14:paraId="404DD2A2" w14:textId="77777777" w:rsidR="006C4F40" w:rsidRPr="00650D66" w:rsidRDefault="006C4F40" w:rsidP="0090213E">
            <w:pPr>
              <w:ind w:right="35"/>
              <w:jc w:val="both"/>
              <w:rPr>
                <w:rFonts w:ascii="Times New Roman" w:hAnsi="Times New Roman"/>
                <w:bCs/>
                <w:lang w:val="ro-RO"/>
              </w:rPr>
            </w:pPr>
          </w:p>
          <w:p w14:paraId="04967735" w14:textId="1D5F66B4" w:rsidR="006C4F40" w:rsidRPr="00650D66" w:rsidRDefault="006C4F40" w:rsidP="0090213E">
            <w:pPr>
              <w:ind w:right="35"/>
              <w:jc w:val="both"/>
              <w:rPr>
                <w:rFonts w:ascii="Times New Roman" w:hAnsi="Times New Roman"/>
                <w:bCs/>
                <w:lang w:val="ro-RO"/>
              </w:rPr>
            </w:pPr>
            <w:r w:rsidRPr="00650D66">
              <w:rPr>
                <w:rFonts w:ascii="Times New Roman" w:hAnsi="Times New Roman"/>
                <w:bCs/>
                <w:lang w:val="ro-RO"/>
              </w:rPr>
              <w:lastRenderedPageBreak/>
              <w:t xml:space="preserve">Examinarea activităților întreprinse pentru a asigura că subiectul supus auditului (executarea cheltuielilor sociale) este reglementat, procesul derulează eficient și cheltuielile executate </w:t>
            </w:r>
            <w:r w:rsidR="00AD3DD9">
              <w:rPr>
                <w:rFonts w:ascii="Times New Roman" w:hAnsi="Times New Roman"/>
                <w:bCs/>
                <w:lang w:val="ro-RO"/>
              </w:rPr>
              <w:t>sunt</w:t>
            </w:r>
            <w:r w:rsidRPr="00650D66">
              <w:rPr>
                <w:rFonts w:ascii="Times New Roman" w:hAnsi="Times New Roman"/>
                <w:bCs/>
                <w:lang w:val="ro-RO"/>
              </w:rPr>
              <w:t xml:space="preserve"> justificate prin documente confirmative.</w:t>
            </w:r>
          </w:p>
          <w:p w14:paraId="1B67E461" w14:textId="77777777" w:rsidR="006C4F40" w:rsidRPr="00650D66" w:rsidRDefault="006C4F40" w:rsidP="0090213E">
            <w:pPr>
              <w:ind w:right="35"/>
              <w:jc w:val="both"/>
              <w:rPr>
                <w:rFonts w:ascii="Times New Roman" w:hAnsi="Times New Roman"/>
                <w:bCs/>
                <w:lang w:val="ro-RO"/>
              </w:rPr>
            </w:pPr>
          </w:p>
          <w:p w14:paraId="7BB11295"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bCs/>
                <w:lang w:val="ro-RO"/>
              </w:rPr>
              <w:t>Verificarea dacă toate cheltuielile sociale executate de către BNM se regăsesc și în cadrul național.</w:t>
            </w:r>
          </w:p>
        </w:tc>
        <w:tc>
          <w:tcPr>
            <w:tcW w:w="2132" w:type="dxa"/>
          </w:tcPr>
          <w:p w14:paraId="5322EAEB"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lastRenderedPageBreak/>
              <w:t>A fost testată toată populația</w:t>
            </w:r>
            <w:r w:rsidRPr="00650D66">
              <w:rPr>
                <w:rFonts w:ascii="Times New Roman" w:hAnsi="Times New Roman"/>
                <w:b/>
                <w:lang w:val="ro-RO"/>
              </w:rPr>
              <w:t xml:space="preserve"> </w:t>
            </w:r>
            <w:r w:rsidRPr="00650D66">
              <w:rPr>
                <w:rFonts w:ascii="Times New Roman" w:hAnsi="Times New Roman"/>
                <w:lang w:val="ro-RO"/>
              </w:rPr>
              <w:t>ținând cont de nivelul riscurilor, precum și de faptul că populația este mică.</w:t>
            </w:r>
          </w:p>
          <w:p w14:paraId="7D9B1EE5"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lastRenderedPageBreak/>
              <w:t xml:space="preserve">În perioada auditată, cea mai semnificativă pondere de executare a cheltuielilor sociale se înregistrează pentru: </w:t>
            </w:r>
            <w:r w:rsidRPr="00650D66">
              <w:rPr>
                <w:rFonts w:ascii="Times New Roman" w:hAnsi="Times New Roman"/>
                <w:i/>
                <w:lang w:val="ro-RO"/>
              </w:rPr>
              <w:t>(i)</w:t>
            </w:r>
            <w:r w:rsidRPr="00650D66">
              <w:rPr>
                <w:rFonts w:ascii="Times New Roman" w:hAnsi="Times New Roman"/>
                <w:lang w:val="ro-RO"/>
              </w:rPr>
              <w:t xml:space="preserve"> asigurări facultative de sănătate – 1 657,05 mii lei, </w:t>
            </w:r>
            <w:r w:rsidRPr="00650D66">
              <w:rPr>
                <w:rFonts w:ascii="Times New Roman" w:hAnsi="Times New Roman"/>
                <w:i/>
                <w:lang w:val="ro-RO"/>
              </w:rPr>
              <w:t xml:space="preserve">(ii) </w:t>
            </w:r>
            <w:r w:rsidRPr="00650D66">
              <w:rPr>
                <w:rFonts w:ascii="Times New Roman" w:hAnsi="Times New Roman"/>
                <w:lang w:val="ro-RO"/>
              </w:rPr>
              <w:t xml:space="preserve">ajutor material pensionarilor, invalizilor – 1 188,5 mii lei, </w:t>
            </w:r>
            <w:r w:rsidRPr="00650D66">
              <w:rPr>
                <w:rFonts w:ascii="Times New Roman" w:hAnsi="Times New Roman"/>
                <w:i/>
                <w:lang w:val="ro-RO"/>
              </w:rPr>
              <w:t>(iii)</w:t>
            </w:r>
            <w:r w:rsidRPr="00650D66">
              <w:rPr>
                <w:rFonts w:ascii="Times New Roman" w:hAnsi="Times New Roman"/>
                <w:lang w:val="ro-RO"/>
              </w:rPr>
              <w:t xml:space="preserve"> cheltuieli de întreținere și reparație a obiectelor social-culturale Casa de odihnă ,,La Nistru” – 281,8 mii lei, </w:t>
            </w:r>
            <w:r w:rsidRPr="00650D66">
              <w:rPr>
                <w:rFonts w:ascii="Times New Roman" w:hAnsi="Times New Roman"/>
                <w:i/>
                <w:lang w:val="ro-RO"/>
              </w:rPr>
              <w:t>(iv)</w:t>
            </w:r>
            <w:r w:rsidRPr="00650D66">
              <w:rPr>
                <w:rFonts w:ascii="Times New Roman" w:hAnsi="Times New Roman"/>
                <w:lang w:val="ro-RO"/>
              </w:rPr>
              <w:t xml:space="preserve"> cheltuieli de întreținere și reparație a obiectelor social-culturale oficiul de protocol nr.9 din Holercani – 227,7 mii lei și alte cheltuieli.</w:t>
            </w:r>
          </w:p>
        </w:tc>
      </w:tr>
      <w:tr w:rsidR="006C4F40" w:rsidRPr="00650D66" w14:paraId="5E9BD1FB" w14:textId="77777777" w:rsidTr="0090213E">
        <w:trPr>
          <w:trHeight w:val="249"/>
        </w:trPr>
        <w:tc>
          <w:tcPr>
            <w:tcW w:w="1980" w:type="dxa"/>
          </w:tcPr>
          <w:p w14:paraId="07F8075F"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lastRenderedPageBreak/>
              <w:t>Paragraful 4.2.6</w:t>
            </w:r>
          </w:p>
          <w:p w14:paraId="513F6B07"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Riscul 2.5</w:t>
            </w:r>
          </w:p>
          <w:p w14:paraId="08F9C922" w14:textId="77777777" w:rsidR="006C4F40" w:rsidRPr="00650D66" w:rsidRDefault="006C4F40" w:rsidP="0090213E">
            <w:pPr>
              <w:jc w:val="both"/>
              <w:rPr>
                <w:rFonts w:ascii="Times New Roman" w:hAnsi="Times New Roman"/>
                <w:b/>
                <w:lang w:val="ro-RO"/>
              </w:rPr>
            </w:pPr>
            <w:r w:rsidRPr="00650D66">
              <w:rPr>
                <w:rFonts w:ascii="Times New Roman" w:hAnsi="Times New Roman"/>
                <w:b/>
                <w:i/>
                <w:lang w:val="ro-RO"/>
              </w:rPr>
              <w:t>Necorelarea alocațiilor aprobate anual pentru produsele alimentare în Planurile de achiziții și devizele de cheltuieli aprobate pentru Cantina BNM.</w:t>
            </w:r>
          </w:p>
        </w:tc>
        <w:tc>
          <w:tcPr>
            <w:tcW w:w="3544" w:type="dxa"/>
          </w:tcPr>
          <w:p w14:paraId="71A5CBCE" w14:textId="77777777" w:rsidR="006C4F40" w:rsidRPr="00650D66" w:rsidRDefault="006C4F40" w:rsidP="0090213E">
            <w:pPr>
              <w:contextualSpacing/>
              <w:jc w:val="both"/>
              <w:rPr>
                <w:rFonts w:ascii="Times New Roman" w:hAnsi="Times New Roman"/>
                <w:bCs/>
                <w:lang w:val="ro-RO"/>
              </w:rPr>
            </w:pPr>
            <w:r w:rsidRPr="00650D66">
              <w:rPr>
                <w:rFonts w:ascii="Times New Roman" w:hAnsi="Times New Roman"/>
                <w:bCs/>
                <w:lang w:val="ro-RO"/>
              </w:rPr>
              <w:t>Activitatea cantinei se desfășoară în conformitate cu prevederile HG nr.1209 din 08.11.2007 ,,cu privire la prestarea serviciilor de alimentație publică”, legislația în domeniu a RM, ordinele și dispozițiile conducerii BNM și Regulamentul privind activitatea cantinei din cadrul BNM</w:t>
            </w:r>
            <w:r w:rsidRPr="00650D66">
              <w:rPr>
                <w:rFonts w:ascii="Times New Roman" w:hAnsi="Times New Roman"/>
                <w:bCs/>
                <w:vertAlign w:val="superscript"/>
                <w:lang w:val="ro-RO"/>
              </w:rPr>
              <w:footnoteReference w:id="105"/>
            </w:r>
            <w:r w:rsidRPr="00650D66">
              <w:rPr>
                <w:rFonts w:ascii="Times New Roman" w:hAnsi="Times New Roman"/>
                <w:bCs/>
                <w:lang w:val="ro-RO"/>
              </w:rPr>
              <w:t>.</w:t>
            </w:r>
          </w:p>
          <w:p w14:paraId="00888F5B" w14:textId="77777777" w:rsidR="006C4F40" w:rsidRPr="00650D66" w:rsidRDefault="006C4F40" w:rsidP="0090213E">
            <w:pPr>
              <w:contextualSpacing/>
              <w:jc w:val="both"/>
              <w:rPr>
                <w:rFonts w:ascii="Times New Roman" w:hAnsi="Times New Roman"/>
                <w:bCs/>
                <w:lang w:val="ro-RO"/>
              </w:rPr>
            </w:pPr>
          </w:p>
          <w:p w14:paraId="11F050BB" w14:textId="77777777" w:rsidR="006C4F40" w:rsidRPr="00650D66" w:rsidRDefault="006C4F40" w:rsidP="0090213E">
            <w:pPr>
              <w:contextualSpacing/>
              <w:jc w:val="both"/>
              <w:rPr>
                <w:rFonts w:ascii="Times New Roman" w:hAnsi="Times New Roman"/>
                <w:bCs/>
                <w:lang w:val="ro-RO"/>
              </w:rPr>
            </w:pPr>
            <w:r w:rsidRPr="00650D66">
              <w:rPr>
                <w:rFonts w:ascii="Times New Roman" w:hAnsi="Times New Roman"/>
                <w:bCs/>
                <w:lang w:val="ro-RO"/>
              </w:rPr>
              <w:t>Procedura privind modalitatea achiziționării produselor alimentare pentru cantina BNM, din 05.12.2011.</w:t>
            </w:r>
          </w:p>
        </w:tc>
        <w:tc>
          <w:tcPr>
            <w:tcW w:w="2055" w:type="dxa"/>
          </w:tcPr>
          <w:p w14:paraId="4B55D207" w14:textId="77777777" w:rsidR="006C4F40" w:rsidRPr="00650D66" w:rsidRDefault="006C4F40" w:rsidP="0090213E">
            <w:pPr>
              <w:ind w:right="-37"/>
              <w:jc w:val="both"/>
              <w:rPr>
                <w:rFonts w:ascii="Times New Roman" w:hAnsi="Times New Roman"/>
                <w:lang w:val="ro-RO"/>
              </w:rPr>
            </w:pPr>
            <w:r w:rsidRPr="00650D66">
              <w:rPr>
                <w:rFonts w:ascii="Times New Roman" w:hAnsi="Times New Roman"/>
                <w:lang w:val="ro-RO"/>
              </w:rPr>
              <w:t xml:space="preserve">Examinarea </w:t>
            </w:r>
          </w:p>
          <w:p w14:paraId="36672F72" w14:textId="77777777" w:rsidR="006C4F40" w:rsidRPr="00650D66" w:rsidRDefault="006C4F40" w:rsidP="0090213E">
            <w:pPr>
              <w:ind w:right="-37"/>
              <w:jc w:val="both"/>
              <w:rPr>
                <w:rFonts w:ascii="Times New Roman" w:hAnsi="Times New Roman"/>
                <w:lang w:val="ro-RO"/>
              </w:rPr>
            </w:pPr>
            <w:r w:rsidRPr="00650D66">
              <w:rPr>
                <w:rFonts w:ascii="Times New Roman" w:hAnsi="Times New Roman"/>
                <w:lang w:val="ro-RO"/>
              </w:rPr>
              <w:t>-Planurilor de achiziții inclusiv cele pentru procurarea produselor alimentare;</w:t>
            </w:r>
          </w:p>
          <w:p w14:paraId="2F9402EE" w14:textId="77777777" w:rsidR="006C4F40" w:rsidRPr="00650D66" w:rsidRDefault="006C4F40" w:rsidP="0090213E">
            <w:pPr>
              <w:ind w:right="-37"/>
              <w:jc w:val="both"/>
              <w:rPr>
                <w:rFonts w:ascii="Times New Roman" w:hAnsi="Times New Roman"/>
                <w:lang w:val="ro-RO"/>
              </w:rPr>
            </w:pPr>
            <w:r w:rsidRPr="00650D66">
              <w:rPr>
                <w:rFonts w:ascii="Times New Roman" w:hAnsi="Times New Roman"/>
                <w:lang w:val="ro-RO"/>
              </w:rPr>
              <w:t>- Dosarele de achiziții prin valoare mică;</w:t>
            </w:r>
          </w:p>
          <w:p w14:paraId="5C41281F" w14:textId="77777777" w:rsidR="006C4F40" w:rsidRPr="00650D66" w:rsidRDefault="006C4F40" w:rsidP="0090213E">
            <w:pPr>
              <w:ind w:right="-37"/>
              <w:jc w:val="both"/>
              <w:rPr>
                <w:rFonts w:ascii="Times New Roman" w:hAnsi="Times New Roman"/>
                <w:lang w:val="ro-RO"/>
              </w:rPr>
            </w:pPr>
            <w:r w:rsidRPr="00650D66">
              <w:rPr>
                <w:rFonts w:ascii="Times New Roman" w:hAnsi="Times New Roman"/>
                <w:lang w:val="ro-RO"/>
              </w:rPr>
              <w:t>-contractele, facturile fiscale, actele de predare-primire etc.</w:t>
            </w:r>
          </w:p>
          <w:p w14:paraId="4AAD07ED" w14:textId="77777777" w:rsidR="006C4F40" w:rsidRPr="00650D66" w:rsidRDefault="006C4F40" w:rsidP="0090213E">
            <w:pPr>
              <w:ind w:right="-37"/>
              <w:jc w:val="both"/>
              <w:rPr>
                <w:rFonts w:ascii="Times New Roman" w:hAnsi="Times New Roman"/>
                <w:lang w:val="ro-RO"/>
              </w:rPr>
            </w:pPr>
            <w:r w:rsidRPr="00650D66">
              <w:rPr>
                <w:rFonts w:ascii="Times New Roman" w:hAnsi="Times New Roman"/>
                <w:lang w:val="ro-RO"/>
              </w:rPr>
              <w:t>Calcularea și compararea informațiilor prezentate.</w:t>
            </w:r>
          </w:p>
          <w:p w14:paraId="6B15E0B1" w14:textId="77777777" w:rsidR="006C4F40" w:rsidRPr="00650D66" w:rsidRDefault="006C4F40" w:rsidP="0090213E">
            <w:pPr>
              <w:ind w:right="-37"/>
              <w:jc w:val="both"/>
              <w:rPr>
                <w:rFonts w:ascii="Times New Roman" w:hAnsi="Times New Roman"/>
                <w:lang w:val="ro-RO"/>
              </w:rPr>
            </w:pPr>
            <w:r w:rsidRPr="00650D66">
              <w:rPr>
                <w:rFonts w:ascii="Times New Roman" w:hAnsi="Times New Roman"/>
                <w:lang w:val="ro-RO"/>
              </w:rPr>
              <w:t>Suprapunerea informațiilor din documentele primare cu informațiile înregistrate în devizele de cheltuieli și în alocațiile pentru investiții prec</w:t>
            </w:r>
            <w:r>
              <w:rPr>
                <w:rFonts w:ascii="Times New Roman" w:hAnsi="Times New Roman"/>
                <w:lang w:val="ro-RO"/>
              </w:rPr>
              <w:t xml:space="preserve">um și intervievarea persoanelor </w:t>
            </w:r>
            <w:r w:rsidRPr="00650D66">
              <w:rPr>
                <w:rFonts w:ascii="Times New Roman" w:hAnsi="Times New Roman"/>
                <w:lang w:val="ro-RO"/>
              </w:rPr>
              <w:t>responsabile din cadrul BNM.</w:t>
            </w:r>
          </w:p>
        </w:tc>
        <w:tc>
          <w:tcPr>
            <w:tcW w:w="2132" w:type="dxa"/>
          </w:tcPr>
          <w:p w14:paraId="4159DF16"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t>A fost testată toată populația</w:t>
            </w:r>
            <w:r w:rsidRPr="00650D66">
              <w:rPr>
                <w:rFonts w:ascii="Times New Roman" w:hAnsi="Times New Roman"/>
                <w:b/>
                <w:lang w:val="ro-RO"/>
              </w:rPr>
              <w:t xml:space="preserve"> </w:t>
            </w:r>
            <w:r w:rsidRPr="00650D66">
              <w:rPr>
                <w:rFonts w:ascii="Times New Roman" w:hAnsi="Times New Roman"/>
                <w:lang w:val="ro-RO"/>
              </w:rPr>
              <w:t>ținând cont de nivelul riscurilor, precum și de faptul că populația este mică.</w:t>
            </w:r>
          </w:p>
          <w:p w14:paraId="2FD02157" w14:textId="77777777" w:rsidR="006C4F40" w:rsidRPr="00650D66" w:rsidRDefault="006C4F40" w:rsidP="0090213E">
            <w:pPr>
              <w:jc w:val="both"/>
              <w:rPr>
                <w:rFonts w:ascii="Times New Roman" w:hAnsi="Times New Roman"/>
                <w:lang w:val="ro-RO"/>
              </w:rPr>
            </w:pPr>
          </w:p>
        </w:tc>
      </w:tr>
      <w:tr w:rsidR="006C4F40" w:rsidRPr="00650D66" w14:paraId="3EE41B7C" w14:textId="77777777" w:rsidTr="0090213E">
        <w:trPr>
          <w:trHeight w:val="249"/>
        </w:trPr>
        <w:tc>
          <w:tcPr>
            <w:tcW w:w="9711" w:type="dxa"/>
            <w:gridSpan w:val="4"/>
          </w:tcPr>
          <w:p w14:paraId="1AD3800C" w14:textId="77777777" w:rsidR="006C4F40" w:rsidRPr="00650D66" w:rsidRDefault="006C4F40" w:rsidP="0090213E">
            <w:pPr>
              <w:spacing w:line="276" w:lineRule="auto"/>
              <w:jc w:val="center"/>
              <w:rPr>
                <w:rFonts w:ascii="Times New Roman" w:hAnsi="Times New Roman"/>
                <w:b/>
                <w:lang w:val="ro-RO"/>
              </w:rPr>
            </w:pPr>
            <w:r w:rsidRPr="00650D66">
              <w:rPr>
                <w:rFonts w:ascii="Times New Roman" w:hAnsi="Times New Roman"/>
                <w:b/>
                <w:lang w:val="ro-RO"/>
              </w:rPr>
              <w:t>Obiectivul specific nr.3: Procedurile de achiziții publice de bunuri, lucrări și servicii au fost efectuate de către BNM în conformitate cu prevederile cadrului normativ aplicat ?</w:t>
            </w:r>
          </w:p>
        </w:tc>
      </w:tr>
      <w:tr w:rsidR="006C4F40" w:rsidRPr="00650D66" w14:paraId="47E515A1" w14:textId="77777777" w:rsidTr="0090213E">
        <w:trPr>
          <w:trHeight w:val="249"/>
        </w:trPr>
        <w:tc>
          <w:tcPr>
            <w:tcW w:w="1980" w:type="dxa"/>
          </w:tcPr>
          <w:p w14:paraId="4FFF36B1"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Paragraful 4.3.1</w:t>
            </w:r>
          </w:p>
          <w:p w14:paraId="0CE20B8E"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Riscul 3.1</w:t>
            </w:r>
          </w:p>
          <w:p w14:paraId="56E20599" w14:textId="77777777" w:rsidR="006C4F40" w:rsidRPr="00650D66" w:rsidRDefault="006C4F40" w:rsidP="0090213E">
            <w:pPr>
              <w:jc w:val="both"/>
              <w:rPr>
                <w:rFonts w:ascii="Times New Roman" w:hAnsi="Times New Roman"/>
                <w:b/>
                <w:lang w:val="ro-RO"/>
              </w:rPr>
            </w:pPr>
            <w:r w:rsidRPr="00650D66">
              <w:rPr>
                <w:rFonts w:ascii="Times New Roman" w:hAnsi="Times New Roman"/>
                <w:b/>
                <w:i/>
                <w:lang w:val="ro-RO"/>
              </w:rPr>
              <w:t>Nevalorificarea mijloacelor financiare planificate pentru achiziționarea bunurilor, lucrărilor și serviciilor în perioada auditată.</w:t>
            </w:r>
          </w:p>
        </w:tc>
        <w:tc>
          <w:tcPr>
            <w:tcW w:w="3544" w:type="dxa"/>
          </w:tcPr>
          <w:p w14:paraId="37FDB592"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-Legea nr.131 din 03.07.2015 privind achizițiile publice.</w:t>
            </w:r>
          </w:p>
          <w:p w14:paraId="1B2B669A"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 HG nr.1419 din 28.12.2016 ,,pentru aprobarea Regulamentului cu privire la modul de planificare a contractelor de achiziții publice.</w:t>
            </w:r>
          </w:p>
          <w:p w14:paraId="6B0BDD23"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 xml:space="preserve">-Instrucțiune privind modul de planificare, organizare și desfășurare a achizițiilor în Banca Națională a Moldovei, nr. 218 din 16.08.2019 </w:t>
            </w:r>
            <w:r w:rsidRPr="00650D66">
              <w:rPr>
                <w:rFonts w:ascii="Times New Roman" w:hAnsi="Times New Roman"/>
                <w:lang w:val="ro-RO"/>
              </w:rPr>
              <w:lastRenderedPageBreak/>
              <w:t>(modificat prin HCE nr. 193 din 30.09.2021 și HCE nr. 42 din 23.02.2023)</w:t>
            </w:r>
          </w:p>
          <w:p w14:paraId="412F7496" w14:textId="77777777" w:rsidR="006C4F40" w:rsidRPr="00650D66" w:rsidRDefault="006C4F40" w:rsidP="0090213E">
            <w:pPr>
              <w:contextualSpacing/>
              <w:jc w:val="both"/>
              <w:rPr>
                <w:rFonts w:ascii="Times New Roman" w:hAnsi="Times New Roman"/>
                <w:bCs/>
                <w:lang w:val="ro-RO"/>
              </w:rPr>
            </w:pPr>
          </w:p>
          <w:p w14:paraId="5498757C" w14:textId="76B5CDA4" w:rsidR="006C4F40" w:rsidRPr="00650D66" w:rsidRDefault="006C4F40" w:rsidP="0090213E">
            <w:pPr>
              <w:contextualSpacing/>
              <w:jc w:val="both"/>
              <w:rPr>
                <w:rFonts w:ascii="Times New Roman" w:hAnsi="Times New Roman"/>
                <w:lang w:val="ro-RO"/>
              </w:rPr>
            </w:pPr>
            <w:r w:rsidRPr="00650D66">
              <w:rPr>
                <w:rFonts w:ascii="Times New Roman" w:hAnsi="Times New Roman"/>
                <w:bCs/>
                <w:lang w:val="ro-RO"/>
              </w:rPr>
              <w:t>L</w:t>
            </w:r>
            <w:r w:rsidRPr="00650D66">
              <w:rPr>
                <w:rFonts w:ascii="Times New Roman" w:hAnsi="Times New Roman"/>
                <w:lang w:val="ro-RO"/>
              </w:rPr>
              <w:t>a planificarea contractelor de achiziții publice</w:t>
            </w:r>
            <w:r w:rsidRPr="00650D66">
              <w:rPr>
                <w:rFonts w:ascii="Times New Roman" w:hAnsi="Times New Roman"/>
                <w:vertAlign w:val="superscript"/>
                <w:lang w:val="ro-RO"/>
              </w:rPr>
              <w:footnoteReference w:id="106"/>
            </w:r>
            <w:r w:rsidRPr="00650D66">
              <w:rPr>
                <w:rFonts w:ascii="Times New Roman" w:hAnsi="Times New Roman"/>
                <w:lang w:val="ro-RO"/>
              </w:rPr>
              <w:t xml:space="preserve">, una din condițiile de planificare a contractului de achiziții publice este cunoașterea exactă a necesităților de bunuri, lucrări sau servicii, </w:t>
            </w:r>
            <w:r w:rsidRPr="00650D66">
              <w:rPr>
                <w:rFonts w:ascii="Times New Roman" w:hAnsi="Times New Roman"/>
                <w:bCs/>
                <w:lang w:val="ro-RO"/>
              </w:rPr>
              <w:t xml:space="preserve">iar </w:t>
            </w:r>
            <w:r w:rsidRPr="00650D66">
              <w:rPr>
                <w:rFonts w:ascii="Times New Roman" w:hAnsi="Times New Roman"/>
                <w:lang w:val="ro-RO"/>
              </w:rPr>
              <w:t>Planul se modifică ori se completează dacă apar modific</w:t>
            </w:r>
            <w:r w:rsidR="00FF3DE7">
              <w:rPr>
                <w:rFonts w:ascii="Times New Roman" w:hAnsi="Times New Roman"/>
                <w:lang w:val="ro-RO"/>
              </w:rPr>
              <w:t>ări în buget și, respectiv, sunt</w:t>
            </w:r>
            <w:r w:rsidRPr="00650D66">
              <w:rPr>
                <w:rFonts w:ascii="Times New Roman" w:hAnsi="Times New Roman"/>
                <w:lang w:val="ro-RO"/>
              </w:rPr>
              <w:t xml:space="preserve"> identificate noi resurse financiare</w:t>
            </w:r>
            <w:r w:rsidRPr="00650D66">
              <w:rPr>
                <w:rFonts w:ascii="Times New Roman" w:hAnsi="Times New Roman"/>
                <w:vertAlign w:val="superscript"/>
                <w:lang w:val="ro-RO"/>
              </w:rPr>
              <w:footnoteReference w:id="107"/>
            </w:r>
            <w:r w:rsidRPr="00650D66">
              <w:rPr>
                <w:rFonts w:ascii="Times New Roman" w:hAnsi="Times New Roman"/>
                <w:lang w:val="ro-RO"/>
              </w:rPr>
              <w:t>.</w:t>
            </w:r>
          </w:p>
        </w:tc>
        <w:tc>
          <w:tcPr>
            <w:tcW w:w="2055" w:type="dxa"/>
          </w:tcPr>
          <w:p w14:paraId="77DFEB76"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lastRenderedPageBreak/>
              <w:t>Analiza valorificării mijloacelor financiare planificate pentru achiziționarea bunurilor, lucrărilor și serviciilor în perioada auditată.</w:t>
            </w:r>
          </w:p>
        </w:tc>
        <w:tc>
          <w:tcPr>
            <w:tcW w:w="2132" w:type="dxa"/>
          </w:tcPr>
          <w:p w14:paraId="645910C4" w14:textId="77777777" w:rsidR="006C4F40" w:rsidRPr="00650D66" w:rsidRDefault="006C4F40" w:rsidP="0090213E">
            <w:pPr>
              <w:jc w:val="center"/>
              <w:rPr>
                <w:rFonts w:ascii="Times New Roman" w:hAnsi="Times New Roman"/>
                <w:lang w:val="ro-RO"/>
              </w:rPr>
            </w:pPr>
            <w:r w:rsidRPr="00650D66">
              <w:rPr>
                <w:rFonts w:ascii="Times New Roman" w:hAnsi="Times New Roman"/>
                <w:lang w:val="ro-RO"/>
              </w:rPr>
              <w:t>-</w:t>
            </w:r>
          </w:p>
        </w:tc>
      </w:tr>
      <w:tr w:rsidR="006C4F40" w:rsidRPr="00650D66" w14:paraId="46FCD52F" w14:textId="77777777" w:rsidTr="0090213E">
        <w:trPr>
          <w:trHeight w:val="249"/>
        </w:trPr>
        <w:tc>
          <w:tcPr>
            <w:tcW w:w="1980" w:type="dxa"/>
          </w:tcPr>
          <w:p w14:paraId="3A7BA6F1"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Paragraful 4.3.1</w:t>
            </w:r>
          </w:p>
          <w:p w14:paraId="34C04325"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Riscul 3.2</w:t>
            </w:r>
          </w:p>
          <w:p w14:paraId="4EDCA2E1" w14:textId="77777777" w:rsidR="006C4F40" w:rsidRPr="00650D66" w:rsidRDefault="006C4F40" w:rsidP="0090213E">
            <w:pPr>
              <w:jc w:val="both"/>
              <w:rPr>
                <w:rFonts w:ascii="Times New Roman" w:hAnsi="Times New Roman"/>
                <w:b/>
                <w:lang w:val="ro-RO"/>
              </w:rPr>
            </w:pPr>
            <w:r w:rsidRPr="00650D66">
              <w:rPr>
                <w:rFonts w:ascii="Times New Roman" w:hAnsi="Times New Roman"/>
                <w:b/>
                <w:bCs/>
                <w:i/>
                <w:lang w:val="ro-RO"/>
              </w:rPr>
              <w:t>Divizarea achizițiilor în scopul de a evita o altă procedură de achiziție.</w:t>
            </w:r>
          </w:p>
        </w:tc>
        <w:tc>
          <w:tcPr>
            <w:tcW w:w="3544" w:type="dxa"/>
          </w:tcPr>
          <w:p w14:paraId="016173AC"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Legea nr.131 din 03.07.2015 privind achizițiile publice.</w:t>
            </w:r>
          </w:p>
          <w:p w14:paraId="129F5079"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 Hotărârea Comitetului executiv al BNM nr.218 din 16.08.2019 ,,Instrucțiune privind modul de planificare, organizare și desfășurare a achizițiilor în Banca Națională a Moldovei”.</w:t>
            </w:r>
          </w:p>
          <w:p w14:paraId="04DEF446"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 pagina oficială www. mtender.gov.md, Ordinul MF nr.157 din 14.09.2018 cu privire la aprobarea Programului de utilizare experimentală a Sistemului Informațional Automatizat „Registrul de stat al achizițiilor publice” (</w:t>
            </w:r>
            <w:proofErr w:type="spellStart"/>
            <w:r w:rsidRPr="00650D66">
              <w:rPr>
                <w:rFonts w:ascii="Times New Roman" w:hAnsi="Times New Roman"/>
                <w:lang w:val="ro-RO"/>
              </w:rPr>
              <w:t>MTender</w:t>
            </w:r>
            <w:proofErr w:type="spellEnd"/>
            <w:r w:rsidRPr="00650D66">
              <w:rPr>
                <w:rFonts w:ascii="Times New Roman" w:hAnsi="Times New Roman"/>
                <w:lang w:val="ro-RO"/>
              </w:rPr>
              <w:t>)</w:t>
            </w:r>
          </w:p>
          <w:p w14:paraId="784DD6E3"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-pagina oficială www.achizitii.md; Ordinul MF nr.18 din 20.06.2016 cu privire la aprobarea Regulamentului cu privire la utilizarea Sistemului Informațional Automatizat „Registrul de stat al achizițiilor publice” (SIA RSAP)</w:t>
            </w:r>
          </w:p>
        </w:tc>
        <w:tc>
          <w:tcPr>
            <w:tcW w:w="2055" w:type="dxa"/>
          </w:tcPr>
          <w:p w14:paraId="5D39C686"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Evaluarea sistemului de control intern – evaluarea gradului de eficiență a activității și nivelului de funcționare a controlului intern;</w:t>
            </w:r>
          </w:p>
          <w:p w14:paraId="0C81F540"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Verificarea documentelor – verificarea corectitudinii întocmirii documentelor, aplicării procedurilor de achiziții conforme cadrului normativ și verificarea neadmiterii divizării achizițiilor de același tip în scopul de a evita efectuarea acestora prin alt tip de achiziție cu cerințe mai stricte;</w:t>
            </w:r>
          </w:p>
          <w:p w14:paraId="70AA414F"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Examinare prin testare – analiza aspectelor, întru identificarea și prevenirea activităților frauduloase.</w:t>
            </w:r>
          </w:p>
        </w:tc>
        <w:tc>
          <w:tcPr>
            <w:tcW w:w="2132" w:type="dxa"/>
          </w:tcPr>
          <w:p w14:paraId="4E986238"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t>Eșantion reprezentativ în mediu de 76,4% de proceduri de achiziții organizate în perioada 2019-2022: în anul 2019 – 76,1%, în anul 2020 - 71,7%, în anul 2021 – 76,9% și în anul 2022 – 80,9%.</w:t>
            </w:r>
          </w:p>
        </w:tc>
      </w:tr>
      <w:tr w:rsidR="006C4F40" w:rsidRPr="00650D66" w14:paraId="1AC70183" w14:textId="77777777" w:rsidTr="0090213E">
        <w:trPr>
          <w:trHeight w:val="249"/>
        </w:trPr>
        <w:tc>
          <w:tcPr>
            <w:tcW w:w="1980" w:type="dxa"/>
          </w:tcPr>
          <w:p w14:paraId="6C8B59EB"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Paragraful 4.3.2</w:t>
            </w:r>
          </w:p>
          <w:p w14:paraId="39057127"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Riscul 3.3</w:t>
            </w:r>
          </w:p>
          <w:p w14:paraId="20D2A47C" w14:textId="77777777" w:rsidR="006C4F40" w:rsidRPr="00650D66" w:rsidRDefault="006C4F40" w:rsidP="0090213E">
            <w:pPr>
              <w:jc w:val="both"/>
              <w:rPr>
                <w:rFonts w:ascii="Times New Roman" w:hAnsi="Times New Roman"/>
                <w:b/>
                <w:lang w:val="ro-RO"/>
              </w:rPr>
            </w:pPr>
            <w:r w:rsidRPr="00650D66">
              <w:rPr>
                <w:rFonts w:ascii="Times New Roman" w:hAnsi="Times New Roman"/>
                <w:b/>
                <w:bCs/>
                <w:i/>
                <w:lang w:val="ro-RO"/>
              </w:rPr>
              <w:t>Estimarea valorilor majorate  pentru achiziții și selectarea ofertelor câștigătoare la cele mai mari prețuri.</w:t>
            </w:r>
          </w:p>
        </w:tc>
        <w:tc>
          <w:tcPr>
            <w:tcW w:w="3544" w:type="dxa"/>
          </w:tcPr>
          <w:p w14:paraId="4BFCEF2E"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Legea nr.131 din 03.07.2015 privind achizițiile publice.</w:t>
            </w:r>
          </w:p>
          <w:p w14:paraId="41709226"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 Hotărârea Comitetului executiv al BNM nr.218 din 16.08.2019 ,,Instrucțiune privind modul de planificare, organizare și desfășurare a achizițiilor în Banca Națională a Moldovei”.</w:t>
            </w:r>
          </w:p>
          <w:p w14:paraId="16A39EDD"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 pagina oficială www. mtender.gov.md, Ordinul MF nr.157 din 14.09.2018 cu privire la aprobarea Programului de utilizare experimentală a Sistemului Informațional Automatizat „Registrul de stat al achizițiilor publice” (</w:t>
            </w:r>
            <w:proofErr w:type="spellStart"/>
            <w:r w:rsidRPr="00650D66">
              <w:rPr>
                <w:rFonts w:ascii="Times New Roman" w:hAnsi="Times New Roman"/>
                <w:lang w:val="ro-RO"/>
              </w:rPr>
              <w:t>MTender</w:t>
            </w:r>
            <w:proofErr w:type="spellEnd"/>
            <w:r w:rsidRPr="00650D66">
              <w:rPr>
                <w:rFonts w:ascii="Times New Roman" w:hAnsi="Times New Roman"/>
                <w:lang w:val="ro-RO"/>
              </w:rPr>
              <w:t>)</w:t>
            </w:r>
          </w:p>
          <w:p w14:paraId="1E123CB5" w14:textId="77777777" w:rsidR="006C4F40" w:rsidRPr="00650D66" w:rsidRDefault="006C4F40" w:rsidP="0090213E">
            <w:pPr>
              <w:contextualSpacing/>
              <w:jc w:val="both"/>
              <w:rPr>
                <w:rFonts w:ascii="Times New Roman" w:hAnsi="Times New Roman"/>
                <w:lang w:val="ro-RO"/>
              </w:rPr>
            </w:pPr>
            <w:r w:rsidRPr="00650D66">
              <w:rPr>
                <w:rFonts w:ascii="Times New Roman" w:hAnsi="Times New Roman"/>
                <w:lang w:val="ro-RO"/>
              </w:rPr>
              <w:t>-pagina oficială www.achizitii.md; Ordinul MF nr.18 din 20.06.2016 cu privire la aprobarea Regulamentului cu privire la utilizarea Sistemului Informațional Automatizat „Registrul de stat al achizițiilor publice” (SIA RSAP)</w:t>
            </w:r>
          </w:p>
        </w:tc>
        <w:tc>
          <w:tcPr>
            <w:tcW w:w="2055" w:type="dxa"/>
          </w:tcPr>
          <w:p w14:paraId="3CAFBCFA"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Evaluarea sistemului de control intern – evaluarea gradului de eficiență a activității și nivelului de funcționare a controlului intern;</w:t>
            </w:r>
          </w:p>
          <w:p w14:paraId="3CF198C3"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 verificarea documentelor – verificarea corectitudinii întocmirii documentelor primare;</w:t>
            </w:r>
          </w:p>
          <w:p w14:paraId="1B7E57CB"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 examinare prin testare – verificarea existenței bunurilor/ serviciilor achiziționate.</w:t>
            </w:r>
          </w:p>
          <w:p w14:paraId="58FAD040"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lastRenderedPageBreak/>
              <w:t>- verificarea aplicării criteriului stabilit de BNM ,,la cel mai mic preț”.</w:t>
            </w:r>
          </w:p>
        </w:tc>
        <w:tc>
          <w:tcPr>
            <w:tcW w:w="2132" w:type="dxa"/>
          </w:tcPr>
          <w:p w14:paraId="2914085C" w14:textId="77777777" w:rsidR="006C4F40" w:rsidRPr="00650D66" w:rsidRDefault="006C4F40" w:rsidP="0090213E">
            <w:pPr>
              <w:jc w:val="both"/>
              <w:rPr>
                <w:rFonts w:ascii="Times New Roman" w:hAnsi="Times New Roman"/>
                <w:lang w:val="ro-RO"/>
              </w:rPr>
            </w:pPr>
            <w:r w:rsidRPr="00650D66">
              <w:rPr>
                <w:rFonts w:ascii="Times New Roman" w:hAnsi="Times New Roman"/>
                <w:lang w:val="ro-RO"/>
              </w:rPr>
              <w:lastRenderedPageBreak/>
              <w:t>Eșantion reprezentativ în mediu de 76,4% de proceduri de achiziții organizate în perioada 2019-2022: în anul 2019 – 76,1%, în anul 2020 - 71,7%, în anul 2021 – 76,9% și în anul 2022 – 80,9%.</w:t>
            </w:r>
          </w:p>
          <w:p w14:paraId="0091747D" w14:textId="77777777" w:rsidR="006C4F40" w:rsidRPr="00650D66" w:rsidRDefault="006C4F40" w:rsidP="0090213E">
            <w:pPr>
              <w:jc w:val="both"/>
              <w:rPr>
                <w:rFonts w:ascii="Times New Roman" w:hAnsi="Times New Roman"/>
                <w:lang w:val="ro-RO"/>
              </w:rPr>
            </w:pPr>
          </w:p>
          <w:p w14:paraId="672E8253" w14:textId="77777777" w:rsidR="006C4F40" w:rsidRPr="00650D66" w:rsidRDefault="006C4F40" w:rsidP="0090213E">
            <w:pPr>
              <w:jc w:val="both"/>
              <w:rPr>
                <w:rFonts w:ascii="Times New Roman" w:hAnsi="Times New Roman"/>
                <w:lang w:val="ro-RO"/>
              </w:rPr>
            </w:pPr>
            <w:r w:rsidRPr="00650D66">
              <w:rPr>
                <w:rFonts w:ascii="Times New Roman" w:hAnsi="Times New Roman"/>
                <w:bCs/>
                <w:lang w:val="ro-RO"/>
              </w:rPr>
              <w:t>Mijloacele executate în perioada 2019-2022 pentru reparația clădirii, utilajului și transportului (clădirii) la 100%.</w:t>
            </w:r>
          </w:p>
          <w:p w14:paraId="7E4A9CB7" w14:textId="77777777" w:rsidR="006C4F40" w:rsidRPr="00650D66" w:rsidRDefault="006C4F40" w:rsidP="0090213E">
            <w:pPr>
              <w:jc w:val="both"/>
              <w:rPr>
                <w:rFonts w:ascii="Times New Roman" w:hAnsi="Times New Roman"/>
                <w:lang w:val="ro-RO"/>
              </w:rPr>
            </w:pPr>
          </w:p>
          <w:p w14:paraId="0F6B19BC" w14:textId="77777777" w:rsidR="006C4F40" w:rsidRPr="00650D66" w:rsidRDefault="006C4F40" w:rsidP="0090213E">
            <w:pPr>
              <w:jc w:val="both"/>
              <w:rPr>
                <w:rFonts w:ascii="Times New Roman" w:hAnsi="Times New Roman"/>
                <w:lang w:val="ro-RO"/>
              </w:rPr>
            </w:pPr>
          </w:p>
        </w:tc>
      </w:tr>
      <w:tr w:rsidR="006C4F40" w:rsidRPr="00650D66" w14:paraId="2F199851" w14:textId="77777777" w:rsidTr="0090213E">
        <w:trPr>
          <w:trHeight w:val="249"/>
        </w:trPr>
        <w:tc>
          <w:tcPr>
            <w:tcW w:w="1980" w:type="dxa"/>
          </w:tcPr>
          <w:p w14:paraId="5F91CB9D" w14:textId="77777777" w:rsidR="006C4F40" w:rsidRPr="00650D66" w:rsidRDefault="006C4F40" w:rsidP="0090213E">
            <w:pPr>
              <w:jc w:val="both"/>
              <w:rPr>
                <w:rFonts w:ascii="Times New Roman" w:hAnsi="Times New Roman"/>
                <w:b/>
                <w:bCs/>
                <w:lang w:val="ro-RO"/>
              </w:rPr>
            </w:pPr>
            <w:r w:rsidRPr="00650D66">
              <w:rPr>
                <w:rFonts w:ascii="Times New Roman" w:hAnsi="Times New Roman"/>
                <w:b/>
                <w:bCs/>
                <w:lang w:val="ro-RO"/>
              </w:rPr>
              <w:t>Paragraful 4.</w:t>
            </w:r>
            <w:r>
              <w:rPr>
                <w:rFonts w:ascii="Times New Roman" w:hAnsi="Times New Roman"/>
                <w:b/>
                <w:bCs/>
                <w:lang w:val="ro-RO"/>
              </w:rPr>
              <w:t>4</w:t>
            </w:r>
          </w:p>
          <w:p w14:paraId="773D3BBF" w14:textId="77777777" w:rsidR="006C4F40" w:rsidRPr="00650D66" w:rsidRDefault="006C4F40" w:rsidP="0090213E">
            <w:pPr>
              <w:jc w:val="both"/>
              <w:rPr>
                <w:rFonts w:ascii="Times New Roman" w:hAnsi="Times New Roman"/>
                <w:b/>
                <w:bCs/>
                <w:lang w:val="ro-RO"/>
              </w:rPr>
            </w:pPr>
            <w:r>
              <w:rPr>
                <w:rFonts w:ascii="Times New Roman" w:hAnsi="Times New Roman"/>
                <w:b/>
                <w:bCs/>
                <w:lang w:val="ro-RO"/>
              </w:rPr>
              <w:t>Riscul 4.1</w:t>
            </w:r>
          </w:p>
          <w:p w14:paraId="0329F5F1" w14:textId="77777777" w:rsidR="006C4F40" w:rsidRPr="00650D66" w:rsidRDefault="006C4F40" w:rsidP="0090213E">
            <w:pPr>
              <w:jc w:val="both"/>
              <w:rPr>
                <w:rFonts w:ascii="Times New Roman" w:hAnsi="Times New Roman"/>
                <w:b/>
                <w:lang w:val="ro-RO"/>
              </w:rPr>
            </w:pPr>
            <w:r>
              <w:rPr>
                <w:rFonts w:ascii="Times New Roman" w:hAnsi="Times New Roman"/>
                <w:b/>
                <w:bCs/>
                <w:i/>
                <w:lang w:val="ro-RO"/>
              </w:rPr>
              <w:t>Neimplementarea sistemului de control intern</w:t>
            </w:r>
            <w:r w:rsidRPr="00650D66">
              <w:rPr>
                <w:rFonts w:ascii="Times New Roman" w:hAnsi="Times New Roman"/>
                <w:b/>
                <w:bCs/>
                <w:i/>
                <w:lang w:val="ro-RO"/>
              </w:rPr>
              <w:t>.</w:t>
            </w:r>
          </w:p>
        </w:tc>
        <w:tc>
          <w:tcPr>
            <w:tcW w:w="3544" w:type="dxa"/>
          </w:tcPr>
          <w:p w14:paraId="7BCCD339" w14:textId="77777777" w:rsidR="006C4F40" w:rsidRDefault="006C4F40" w:rsidP="006C4F40">
            <w:pPr>
              <w:pStyle w:val="ListParagraph"/>
              <w:numPr>
                <w:ilvl w:val="0"/>
                <w:numId w:val="35"/>
              </w:numPr>
              <w:tabs>
                <w:tab w:val="left" w:pos="180"/>
              </w:tabs>
              <w:ind w:left="0" w:firstLine="0"/>
              <w:jc w:val="both"/>
              <w:rPr>
                <w:rFonts w:ascii="Times New Roman" w:hAnsi="Times New Roman"/>
                <w:lang w:val="ro-RO"/>
              </w:rPr>
            </w:pPr>
            <w:r>
              <w:rPr>
                <w:rFonts w:ascii="Times New Roman" w:hAnsi="Times New Roman"/>
                <w:lang w:val="ro-RO"/>
              </w:rPr>
              <w:t>Art.26 din Legea nr.548-XIII din 21.07.1995 cu privire la BNM;</w:t>
            </w:r>
          </w:p>
          <w:p w14:paraId="7BD02625" w14:textId="77777777" w:rsidR="006C4F40" w:rsidRDefault="006C4F40" w:rsidP="006C4F40">
            <w:pPr>
              <w:pStyle w:val="ListParagraph"/>
              <w:numPr>
                <w:ilvl w:val="0"/>
                <w:numId w:val="35"/>
              </w:numPr>
              <w:tabs>
                <w:tab w:val="left" w:pos="180"/>
              </w:tabs>
              <w:ind w:left="0" w:firstLine="0"/>
              <w:jc w:val="both"/>
              <w:rPr>
                <w:rFonts w:ascii="Times New Roman" w:hAnsi="Times New Roman"/>
                <w:lang w:val="ro-RO"/>
              </w:rPr>
            </w:pPr>
            <w:r>
              <w:rPr>
                <w:rFonts w:ascii="Times New Roman" w:hAnsi="Times New Roman"/>
                <w:lang w:val="ro-RO"/>
              </w:rPr>
              <w:t>Legea nr.229 din 23.09.2010 privind controlul financiar public intern;</w:t>
            </w:r>
          </w:p>
          <w:p w14:paraId="7B5454B2" w14:textId="77777777" w:rsidR="006C4F40" w:rsidRPr="000532B7" w:rsidRDefault="006C4F40" w:rsidP="006C4F40">
            <w:pPr>
              <w:pStyle w:val="ListParagraph"/>
              <w:numPr>
                <w:ilvl w:val="0"/>
                <w:numId w:val="35"/>
              </w:numPr>
              <w:tabs>
                <w:tab w:val="left" w:pos="180"/>
              </w:tabs>
              <w:ind w:left="0" w:firstLine="0"/>
              <w:jc w:val="both"/>
              <w:rPr>
                <w:rFonts w:ascii="Times New Roman" w:hAnsi="Times New Roman"/>
                <w:lang w:val="ro-RO"/>
              </w:rPr>
            </w:pPr>
            <w:r>
              <w:rPr>
                <w:rFonts w:ascii="Times New Roman" w:hAnsi="Times New Roman"/>
                <w:lang w:val="ro-RO"/>
              </w:rPr>
              <w:t xml:space="preserve">Hotărârea Consiliului de administrare </w:t>
            </w:r>
            <w:r w:rsidRPr="000532B7">
              <w:rPr>
                <w:rFonts w:ascii="Times New Roman" w:hAnsi="Times New Roman"/>
              </w:rPr>
              <w:t>al BNM nr.72 din 08.04.2010 ,,privind aprobarea Regulamentului privind Sistemul de Control Intern în cadrul BNM”</w:t>
            </w:r>
            <w:r>
              <w:rPr>
                <w:rFonts w:ascii="Times New Roman" w:hAnsi="Times New Roman"/>
              </w:rPr>
              <w:t>;</w:t>
            </w:r>
          </w:p>
          <w:p w14:paraId="6D422939" w14:textId="77777777" w:rsidR="006C4F40" w:rsidRPr="000532B7" w:rsidRDefault="006C4F40" w:rsidP="006C4F40">
            <w:pPr>
              <w:pStyle w:val="ListParagraph"/>
              <w:numPr>
                <w:ilvl w:val="0"/>
                <w:numId w:val="35"/>
              </w:numPr>
              <w:tabs>
                <w:tab w:val="left" w:pos="180"/>
              </w:tabs>
              <w:ind w:left="0" w:firstLine="0"/>
              <w:jc w:val="both"/>
              <w:rPr>
                <w:rFonts w:ascii="Times New Roman" w:hAnsi="Times New Roman"/>
                <w:lang w:val="ro-RO"/>
              </w:rPr>
            </w:pPr>
            <w:r w:rsidRPr="000532B7">
              <w:rPr>
                <w:rFonts w:ascii="Times New Roman" w:hAnsi="Times New Roman"/>
              </w:rPr>
              <w:t>H</w:t>
            </w:r>
            <w:r>
              <w:rPr>
                <w:rFonts w:ascii="Times New Roman" w:hAnsi="Times New Roman"/>
              </w:rPr>
              <w:t xml:space="preserve">otărârea </w:t>
            </w:r>
            <w:r w:rsidRPr="000532B7">
              <w:rPr>
                <w:rFonts w:ascii="Times New Roman" w:hAnsi="Times New Roman"/>
              </w:rPr>
              <w:t>CS al BNM nr.32 din 12.12.2019</w:t>
            </w:r>
            <w:r>
              <w:rPr>
                <w:rFonts w:ascii="Times New Roman" w:hAnsi="Times New Roman"/>
              </w:rPr>
              <w:t xml:space="preserve"> „privind aprobarea </w:t>
            </w:r>
            <w:r w:rsidRPr="000532B7">
              <w:rPr>
                <w:rFonts w:ascii="Times New Roman" w:hAnsi="Times New Roman"/>
              </w:rPr>
              <w:t>Regulamentul</w:t>
            </w:r>
            <w:r>
              <w:rPr>
                <w:rFonts w:ascii="Times New Roman" w:hAnsi="Times New Roman"/>
              </w:rPr>
              <w:t>ui</w:t>
            </w:r>
            <w:r w:rsidRPr="000532B7">
              <w:rPr>
                <w:rFonts w:ascii="Times New Roman" w:hAnsi="Times New Roman"/>
              </w:rPr>
              <w:t xml:space="preserve"> cu privire la funcționarea Depar</w:t>
            </w:r>
            <w:r>
              <w:rPr>
                <w:rFonts w:ascii="Times New Roman" w:hAnsi="Times New Roman"/>
              </w:rPr>
              <w:t>tamentului Audit Intern al BNM”.</w:t>
            </w:r>
          </w:p>
          <w:p w14:paraId="1E345397" w14:textId="77777777" w:rsidR="006C4F40" w:rsidRPr="00E82C23" w:rsidRDefault="006C4F40" w:rsidP="0090213E">
            <w:pPr>
              <w:pStyle w:val="ListParagraph"/>
              <w:tabs>
                <w:tab w:val="left" w:pos="180"/>
              </w:tabs>
              <w:ind w:left="0"/>
              <w:jc w:val="both"/>
              <w:rPr>
                <w:rFonts w:ascii="Times New Roman" w:hAnsi="Times New Roman"/>
                <w:lang w:val="ro-RO"/>
              </w:rPr>
            </w:pPr>
            <w:r w:rsidRPr="000532B7">
              <w:rPr>
                <w:rFonts w:ascii="Times New Roman" w:hAnsi="Times New Roman"/>
                <w:lang w:val="ro-RO"/>
              </w:rPr>
              <w:t>BNM are un organ de audit intern, constituit din specialiști cu competențe în domeniile auditului, contabilității, finanțelor și tehnologiilor informaționale. DAI este o subdiviziune structurală independentă, care din punct de vedere funcțional este subordonată și raportează Consiliului de supraveghere/Comitetului de audit, iar din punct de vedere administrativ se subordonează Guvernatorului BNM</w:t>
            </w:r>
          </w:p>
        </w:tc>
        <w:tc>
          <w:tcPr>
            <w:tcW w:w="2055" w:type="dxa"/>
          </w:tcPr>
          <w:p w14:paraId="58778046" w14:textId="77777777" w:rsidR="006C4F40" w:rsidRDefault="006C4F40" w:rsidP="0090213E">
            <w:pPr>
              <w:ind w:right="35"/>
              <w:jc w:val="both"/>
              <w:rPr>
                <w:rFonts w:ascii="Times New Roman" w:hAnsi="Times New Roman"/>
                <w:lang w:val="ro-RO"/>
              </w:rPr>
            </w:pPr>
            <w:r w:rsidRPr="00650D66">
              <w:rPr>
                <w:rFonts w:ascii="Times New Roman" w:hAnsi="Times New Roman"/>
                <w:lang w:val="ro-RO"/>
              </w:rPr>
              <w:t>Examinarea actelor normative interne aprobate de către BNM.</w:t>
            </w:r>
          </w:p>
          <w:p w14:paraId="7B80F503" w14:textId="77777777" w:rsidR="006C4F40" w:rsidRPr="00650D66" w:rsidRDefault="006C4F40" w:rsidP="0090213E">
            <w:pPr>
              <w:ind w:right="35"/>
              <w:jc w:val="both"/>
              <w:rPr>
                <w:rFonts w:ascii="Times New Roman" w:hAnsi="Times New Roman"/>
                <w:lang w:val="ro-RO"/>
              </w:rPr>
            </w:pPr>
            <w:r w:rsidRPr="00650D66">
              <w:rPr>
                <w:rFonts w:ascii="Times New Roman" w:hAnsi="Times New Roman"/>
                <w:lang w:val="ro-RO"/>
              </w:rPr>
              <w:t>Evaluarea sistemului de control intern – evaluarea gradului de eficiență a activității și nivelului de f</w:t>
            </w:r>
            <w:r>
              <w:rPr>
                <w:rFonts w:ascii="Times New Roman" w:hAnsi="Times New Roman"/>
                <w:lang w:val="ro-RO"/>
              </w:rPr>
              <w:t>uncționare a controlului intern.</w:t>
            </w:r>
          </w:p>
          <w:p w14:paraId="1D447066" w14:textId="77777777" w:rsidR="006C4F40" w:rsidRPr="00650D66" w:rsidRDefault="006C4F40" w:rsidP="0090213E">
            <w:pPr>
              <w:ind w:right="35"/>
              <w:jc w:val="both"/>
              <w:rPr>
                <w:rFonts w:ascii="Times New Roman" w:hAnsi="Times New Roman"/>
                <w:lang w:val="ro-RO"/>
              </w:rPr>
            </w:pPr>
          </w:p>
        </w:tc>
        <w:tc>
          <w:tcPr>
            <w:tcW w:w="2132" w:type="dxa"/>
          </w:tcPr>
          <w:p w14:paraId="6598B9B7" w14:textId="77777777" w:rsidR="006C4F40" w:rsidRPr="00650D66" w:rsidRDefault="006C4F40" w:rsidP="0090213E">
            <w:pPr>
              <w:jc w:val="center"/>
              <w:rPr>
                <w:rFonts w:ascii="Times New Roman" w:hAnsi="Times New Roman"/>
                <w:lang w:val="ro-RO"/>
              </w:rPr>
            </w:pPr>
            <w:r w:rsidRPr="00650D66">
              <w:rPr>
                <w:rFonts w:ascii="Times New Roman" w:hAnsi="Times New Roman"/>
                <w:lang w:val="ro-RO"/>
              </w:rPr>
              <w:t>-</w:t>
            </w:r>
          </w:p>
        </w:tc>
      </w:tr>
    </w:tbl>
    <w:p w14:paraId="03F5386A" w14:textId="77777777" w:rsidR="00DC1CC4" w:rsidRPr="00650D66" w:rsidRDefault="00DC1CC4" w:rsidP="00DC1CC4">
      <w:pPr>
        <w:spacing w:after="0" w:line="276" w:lineRule="auto"/>
        <w:jc w:val="both"/>
        <w:rPr>
          <w:rFonts w:asciiTheme="majorHAnsi" w:hAnsiTheme="majorHAnsi" w:cstheme="majorHAnsi"/>
          <w:color w:val="000000" w:themeColor="text1"/>
          <w:sz w:val="24"/>
          <w:szCs w:val="24"/>
          <w:lang w:val="ro-RO"/>
        </w:rPr>
      </w:pPr>
    </w:p>
    <w:p w14:paraId="7181FDF1" w14:textId="77777777" w:rsidR="00DC1CC4" w:rsidRPr="00650D66" w:rsidRDefault="00DC1CC4" w:rsidP="00DC1CC4">
      <w:pPr>
        <w:rPr>
          <w:rFonts w:asciiTheme="majorHAnsi" w:hAnsiTheme="majorHAnsi" w:cstheme="majorHAnsi"/>
          <w:color w:val="000000" w:themeColor="text1"/>
          <w:sz w:val="24"/>
          <w:szCs w:val="24"/>
          <w:lang w:val="ro-RO"/>
        </w:rPr>
      </w:pPr>
      <w:r w:rsidRPr="00650D66">
        <w:rPr>
          <w:rFonts w:asciiTheme="majorHAnsi" w:hAnsiTheme="majorHAnsi" w:cstheme="majorHAnsi"/>
          <w:color w:val="000000" w:themeColor="text1"/>
          <w:sz w:val="24"/>
          <w:szCs w:val="24"/>
          <w:lang w:val="ro-RO"/>
        </w:rPr>
        <w:br w:type="page"/>
      </w:r>
    </w:p>
    <w:p w14:paraId="22F7F2AD" w14:textId="77777777" w:rsidR="00A061F3" w:rsidRPr="00650D66" w:rsidRDefault="00A061F3" w:rsidP="00195191">
      <w:pPr>
        <w:spacing w:before="120"/>
        <w:jc w:val="both"/>
        <w:rPr>
          <w:rFonts w:ascii="Times New Roman" w:hAnsi="Times New Roman" w:cs="Times New Roman"/>
          <w:sz w:val="24"/>
          <w:lang w:val="ro-RO"/>
        </w:rPr>
        <w:sectPr w:rsidR="00A061F3" w:rsidRPr="00650D66" w:rsidSect="00C16B9C">
          <w:footerReference w:type="default" r:id="rId17"/>
          <w:pgSz w:w="11906" w:h="16838" w:code="9"/>
          <w:pgMar w:top="851" w:right="849" w:bottom="851" w:left="1701" w:header="709" w:footer="709" w:gutter="0"/>
          <w:cols w:space="708"/>
          <w:docGrid w:linePitch="360"/>
        </w:sectPr>
      </w:pPr>
    </w:p>
    <w:p w14:paraId="1D258E86" w14:textId="77777777" w:rsidR="00B95F09" w:rsidRPr="00650D66" w:rsidRDefault="00C27261" w:rsidP="00B95F09">
      <w:pPr>
        <w:spacing w:before="120"/>
        <w:ind w:firstLine="360"/>
        <w:rPr>
          <w:rFonts w:ascii="Times New Roman" w:hAnsi="Times New Roman" w:cs="Times New Roman"/>
          <w:sz w:val="24"/>
          <w:lang w:val="ro-RO"/>
        </w:rPr>
      </w:pPr>
      <w:r w:rsidRPr="00650D66">
        <w:rPr>
          <w:rFonts w:ascii="Times New Roman" w:hAnsi="Times New Roman" w:cs="Times New Roman"/>
          <w:sz w:val="24"/>
          <w:lang w:val="ro-RO"/>
        </w:rPr>
        <w:lastRenderedPageBreak/>
        <w:t xml:space="preserve">Domeniile și valorile auditate sunt prezentate </w:t>
      </w:r>
      <w:r w:rsidR="0069245F" w:rsidRPr="00650D66">
        <w:rPr>
          <w:rFonts w:ascii="Times New Roman" w:hAnsi="Times New Roman" w:cs="Times New Roman"/>
          <w:sz w:val="24"/>
          <w:lang w:val="ro-RO"/>
        </w:rPr>
        <w:t xml:space="preserve">în </w:t>
      </w:r>
      <w:r w:rsidR="00B95F09" w:rsidRPr="00650D66">
        <w:rPr>
          <w:rFonts w:ascii="Times New Roman" w:hAnsi="Times New Roman" w:cs="Times New Roman"/>
          <w:sz w:val="24"/>
          <w:lang w:val="ro-RO"/>
        </w:rPr>
        <w:t>Tabelul nr.1 și Tabelul nr.2</w:t>
      </w:r>
      <w:r w:rsidRPr="00650D66">
        <w:rPr>
          <w:rFonts w:ascii="Times New Roman" w:hAnsi="Times New Roman" w:cs="Times New Roman"/>
          <w:sz w:val="24"/>
          <w:lang w:val="ro-RO"/>
        </w:rPr>
        <w:t>.</w:t>
      </w:r>
    </w:p>
    <w:p w14:paraId="44D95C95" w14:textId="77777777" w:rsidR="00B95F09" w:rsidRPr="00650D66" w:rsidRDefault="00B95F09" w:rsidP="00F84EE3">
      <w:pPr>
        <w:spacing w:before="120" w:after="0"/>
        <w:ind w:firstLine="357"/>
        <w:jc w:val="right"/>
        <w:rPr>
          <w:rFonts w:ascii="Times New Roman" w:hAnsi="Times New Roman" w:cs="Times New Roman"/>
          <w:b/>
          <w:sz w:val="24"/>
          <w:lang w:val="ro-RO"/>
        </w:rPr>
      </w:pPr>
      <w:r w:rsidRPr="00650D66">
        <w:rPr>
          <w:rFonts w:ascii="Times New Roman" w:hAnsi="Times New Roman" w:cs="Times New Roman"/>
          <w:b/>
          <w:sz w:val="24"/>
          <w:lang w:val="ro-RO"/>
        </w:rPr>
        <w:t>Tabelul nr.1</w:t>
      </w:r>
    </w:p>
    <w:p w14:paraId="61C198EB" w14:textId="77777777" w:rsidR="00B95F09" w:rsidRPr="00650D66" w:rsidRDefault="00B95F09" w:rsidP="00F84EE3">
      <w:pPr>
        <w:spacing w:before="120" w:after="0"/>
        <w:ind w:firstLine="357"/>
        <w:jc w:val="center"/>
        <w:rPr>
          <w:rFonts w:ascii="Times New Roman" w:hAnsi="Times New Roman" w:cs="Times New Roman"/>
          <w:b/>
          <w:sz w:val="24"/>
          <w:lang w:val="ro-RO"/>
        </w:rPr>
      </w:pPr>
      <w:r w:rsidRPr="00650D66">
        <w:rPr>
          <w:rFonts w:ascii="Times New Roman" w:hAnsi="Times New Roman" w:cs="Times New Roman"/>
          <w:b/>
          <w:sz w:val="24"/>
          <w:lang w:val="ro-RO"/>
        </w:rPr>
        <w:t>Cheltuielile selectate spre auditare din totalul cheltuielilor administrative executate de către BNM pe parcursul anilor 2019-2022</w:t>
      </w:r>
    </w:p>
    <w:p w14:paraId="5B145293" w14:textId="77777777" w:rsidR="00F84EE3" w:rsidRPr="00650D66" w:rsidRDefault="00F84EE3" w:rsidP="00F84EE3">
      <w:pPr>
        <w:spacing w:before="120" w:after="0"/>
        <w:ind w:firstLine="357"/>
        <w:jc w:val="right"/>
        <w:rPr>
          <w:rFonts w:ascii="Times New Roman" w:hAnsi="Times New Roman" w:cs="Times New Roman"/>
          <w:b/>
          <w:sz w:val="24"/>
          <w:lang w:val="ro-RO"/>
        </w:rPr>
      </w:pPr>
      <w:r w:rsidRPr="00650D66">
        <w:rPr>
          <w:rFonts w:ascii="Times New Roman" w:hAnsi="Times New Roman" w:cs="Times New Roman"/>
          <w:b/>
          <w:sz w:val="24"/>
          <w:lang w:val="ro-RO"/>
        </w:rPr>
        <w:t>(mii lei)</w:t>
      </w:r>
    </w:p>
    <w:tbl>
      <w:tblPr>
        <w:tblW w:w="14885" w:type="dxa"/>
        <w:tblInd w:w="-289" w:type="dxa"/>
        <w:tblLayout w:type="fixed"/>
        <w:tblLook w:val="04A0" w:firstRow="1" w:lastRow="0" w:firstColumn="1" w:lastColumn="0" w:noHBand="0" w:noVBand="1"/>
      </w:tblPr>
      <w:tblGrid>
        <w:gridCol w:w="710"/>
        <w:gridCol w:w="1984"/>
        <w:gridCol w:w="1159"/>
        <w:gridCol w:w="913"/>
        <w:gridCol w:w="9"/>
        <w:gridCol w:w="896"/>
        <w:gridCol w:w="981"/>
        <w:gridCol w:w="914"/>
        <w:gridCol w:w="9"/>
        <w:gridCol w:w="841"/>
        <w:gridCol w:w="9"/>
        <w:gridCol w:w="1026"/>
        <w:gridCol w:w="914"/>
        <w:gridCol w:w="9"/>
        <w:gridCol w:w="825"/>
        <w:gridCol w:w="1025"/>
        <w:gridCol w:w="983"/>
        <w:gridCol w:w="855"/>
        <w:gridCol w:w="823"/>
      </w:tblGrid>
      <w:tr w:rsidR="00670A10" w:rsidRPr="00650D66" w14:paraId="033C5944" w14:textId="77777777" w:rsidTr="007E55D2">
        <w:trPr>
          <w:trHeight w:val="693"/>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0BE20" w14:textId="77777777" w:rsidR="00670A10" w:rsidRPr="00650D66" w:rsidRDefault="00670A10"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Nr. Contului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A9A9B" w14:textId="77777777" w:rsidR="00670A10" w:rsidRPr="00650D66" w:rsidRDefault="00670A10"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Domeniul auditat</w:t>
            </w:r>
          </w:p>
        </w:tc>
        <w:tc>
          <w:tcPr>
            <w:tcW w:w="208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8A02FF" w14:textId="77777777" w:rsidR="00670A10" w:rsidRPr="00650D66" w:rsidRDefault="00670A10" w:rsidP="0035565A">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2019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1F6E9" w14:textId="77777777" w:rsidR="00670A10" w:rsidRPr="00650D66" w:rsidRDefault="00670A10" w:rsidP="0035565A">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Selectat spre auditare</w:t>
            </w:r>
          </w:p>
        </w:tc>
        <w:tc>
          <w:tcPr>
            <w:tcW w:w="19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8A0F4D" w14:textId="77777777" w:rsidR="00670A10" w:rsidRPr="00650D66" w:rsidRDefault="00670A10" w:rsidP="0035565A">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9E1D4" w14:textId="77777777" w:rsidR="00670A10" w:rsidRPr="00650D66" w:rsidRDefault="00670A10" w:rsidP="0035565A">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Selectat spre auditare</w:t>
            </w:r>
          </w:p>
        </w:tc>
        <w:tc>
          <w:tcPr>
            <w:tcW w:w="194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D94838" w14:textId="77777777" w:rsidR="00670A10" w:rsidRPr="00650D66" w:rsidRDefault="00670A10" w:rsidP="0035565A">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4941D" w14:textId="77777777" w:rsidR="00670A10" w:rsidRPr="00650D66" w:rsidRDefault="00670A10" w:rsidP="0035565A">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Selectat spre auditare</w:t>
            </w:r>
          </w:p>
        </w:tc>
        <w:tc>
          <w:tcPr>
            <w:tcW w:w="20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A2FB78" w14:textId="77777777" w:rsidR="00670A10" w:rsidRPr="00650D66" w:rsidRDefault="00670A10" w:rsidP="0035565A">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2022</w:t>
            </w:r>
          </w:p>
        </w:tc>
        <w:tc>
          <w:tcPr>
            <w:tcW w:w="855" w:type="dxa"/>
            <w:vMerge w:val="restart"/>
            <w:tcBorders>
              <w:top w:val="single" w:sz="4" w:space="0" w:color="auto"/>
              <w:left w:val="single" w:sz="4" w:space="0" w:color="auto"/>
              <w:right w:val="single" w:sz="4" w:space="0" w:color="auto"/>
            </w:tcBorders>
            <w:shd w:val="clear" w:color="auto" w:fill="auto"/>
            <w:vAlign w:val="center"/>
            <w:hideMark/>
          </w:tcPr>
          <w:p w14:paraId="2F9609C1" w14:textId="77777777" w:rsidR="00670A10" w:rsidRPr="00650D66" w:rsidRDefault="00670A10" w:rsidP="0035565A">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Selectat spre auditare</w:t>
            </w:r>
          </w:p>
        </w:tc>
        <w:tc>
          <w:tcPr>
            <w:tcW w:w="823" w:type="dxa"/>
            <w:vMerge w:val="restart"/>
            <w:tcBorders>
              <w:top w:val="single" w:sz="4" w:space="0" w:color="auto"/>
              <w:left w:val="single" w:sz="4" w:space="0" w:color="auto"/>
              <w:right w:val="single" w:sz="4" w:space="0" w:color="auto"/>
            </w:tcBorders>
            <w:shd w:val="clear" w:color="auto" w:fill="auto"/>
            <w:vAlign w:val="center"/>
            <w:hideMark/>
          </w:tcPr>
          <w:p w14:paraId="2A00FED1" w14:textId="77777777" w:rsidR="00670A10" w:rsidRPr="00650D66" w:rsidRDefault="00670A10" w:rsidP="0035565A">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Criteriul de selecție</w:t>
            </w:r>
          </w:p>
        </w:tc>
      </w:tr>
      <w:tr w:rsidR="00670A10" w:rsidRPr="00650D66" w14:paraId="41A79F21" w14:textId="77777777" w:rsidTr="007E55D2">
        <w:trPr>
          <w:trHeight w:val="36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D39482A"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925185"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p>
        </w:tc>
        <w:tc>
          <w:tcPr>
            <w:tcW w:w="1159" w:type="dxa"/>
            <w:tcBorders>
              <w:top w:val="nil"/>
              <w:left w:val="nil"/>
              <w:bottom w:val="single" w:sz="4" w:space="0" w:color="auto"/>
              <w:right w:val="single" w:sz="4" w:space="0" w:color="auto"/>
            </w:tcBorders>
            <w:shd w:val="clear" w:color="auto" w:fill="auto"/>
            <w:noWrap/>
            <w:vAlign w:val="center"/>
            <w:hideMark/>
          </w:tcPr>
          <w:p w14:paraId="5D4E3920"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Executat </w:t>
            </w:r>
          </w:p>
        </w:tc>
        <w:tc>
          <w:tcPr>
            <w:tcW w:w="913" w:type="dxa"/>
            <w:tcBorders>
              <w:top w:val="nil"/>
              <w:left w:val="nil"/>
              <w:bottom w:val="single" w:sz="4" w:space="0" w:color="auto"/>
              <w:right w:val="single" w:sz="4" w:space="0" w:color="auto"/>
            </w:tcBorders>
            <w:shd w:val="clear" w:color="auto" w:fill="auto"/>
            <w:vAlign w:val="center"/>
            <w:hideMark/>
          </w:tcPr>
          <w:p w14:paraId="1CF26A5A" w14:textId="77777777" w:rsidR="00670A10" w:rsidRPr="00650D66" w:rsidRDefault="00670A10"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905" w:type="dxa"/>
            <w:gridSpan w:val="2"/>
            <w:tcBorders>
              <w:top w:val="single" w:sz="4" w:space="0" w:color="auto"/>
              <w:left w:val="single" w:sz="4" w:space="0" w:color="auto"/>
              <w:bottom w:val="single" w:sz="4" w:space="0" w:color="auto"/>
              <w:right w:val="single" w:sz="4" w:space="0" w:color="auto"/>
            </w:tcBorders>
            <w:vAlign w:val="center"/>
            <w:hideMark/>
          </w:tcPr>
          <w:p w14:paraId="1AE6BD7D"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p>
        </w:tc>
        <w:tc>
          <w:tcPr>
            <w:tcW w:w="981" w:type="dxa"/>
            <w:tcBorders>
              <w:top w:val="nil"/>
              <w:left w:val="nil"/>
              <w:bottom w:val="single" w:sz="4" w:space="0" w:color="auto"/>
              <w:right w:val="single" w:sz="4" w:space="0" w:color="auto"/>
            </w:tcBorders>
            <w:shd w:val="clear" w:color="auto" w:fill="auto"/>
            <w:noWrap/>
            <w:vAlign w:val="center"/>
            <w:hideMark/>
          </w:tcPr>
          <w:p w14:paraId="21002021"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Executat </w:t>
            </w:r>
          </w:p>
        </w:tc>
        <w:tc>
          <w:tcPr>
            <w:tcW w:w="914" w:type="dxa"/>
            <w:tcBorders>
              <w:top w:val="nil"/>
              <w:left w:val="nil"/>
              <w:bottom w:val="single" w:sz="4" w:space="0" w:color="auto"/>
              <w:right w:val="single" w:sz="4" w:space="0" w:color="auto"/>
            </w:tcBorders>
            <w:shd w:val="clear" w:color="auto" w:fill="auto"/>
            <w:vAlign w:val="center"/>
            <w:hideMark/>
          </w:tcPr>
          <w:p w14:paraId="1CDD62EA" w14:textId="77777777" w:rsidR="00670A10" w:rsidRPr="00650D66" w:rsidRDefault="00670A10"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4286513"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4CBA8156"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Executat </w:t>
            </w:r>
          </w:p>
        </w:tc>
        <w:tc>
          <w:tcPr>
            <w:tcW w:w="914" w:type="dxa"/>
            <w:tcBorders>
              <w:top w:val="nil"/>
              <w:left w:val="nil"/>
              <w:bottom w:val="single" w:sz="4" w:space="0" w:color="auto"/>
              <w:right w:val="single" w:sz="4" w:space="0" w:color="auto"/>
            </w:tcBorders>
            <w:shd w:val="clear" w:color="auto" w:fill="auto"/>
            <w:vAlign w:val="center"/>
            <w:hideMark/>
          </w:tcPr>
          <w:p w14:paraId="2A00AEC3" w14:textId="77777777" w:rsidR="00670A10" w:rsidRPr="00650D66" w:rsidRDefault="00670A10"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14:paraId="773D459B"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p>
        </w:tc>
        <w:tc>
          <w:tcPr>
            <w:tcW w:w="1025" w:type="dxa"/>
            <w:tcBorders>
              <w:top w:val="nil"/>
              <w:left w:val="nil"/>
              <w:bottom w:val="single" w:sz="4" w:space="0" w:color="auto"/>
              <w:right w:val="single" w:sz="4" w:space="0" w:color="auto"/>
            </w:tcBorders>
            <w:shd w:val="clear" w:color="auto" w:fill="auto"/>
            <w:noWrap/>
            <w:vAlign w:val="center"/>
            <w:hideMark/>
          </w:tcPr>
          <w:p w14:paraId="04A43230"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Executat </w:t>
            </w:r>
          </w:p>
        </w:tc>
        <w:tc>
          <w:tcPr>
            <w:tcW w:w="983" w:type="dxa"/>
            <w:tcBorders>
              <w:top w:val="nil"/>
              <w:left w:val="nil"/>
              <w:bottom w:val="single" w:sz="4" w:space="0" w:color="auto"/>
              <w:right w:val="single" w:sz="4" w:space="0" w:color="auto"/>
            </w:tcBorders>
            <w:shd w:val="clear" w:color="auto" w:fill="auto"/>
            <w:vAlign w:val="center"/>
            <w:hideMark/>
          </w:tcPr>
          <w:p w14:paraId="2A261E0D" w14:textId="77777777" w:rsidR="00670A10" w:rsidRPr="00650D66" w:rsidRDefault="00670A10"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55" w:type="dxa"/>
            <w:vMerge/>
            <w:tcBorders>
              <w:left w:val="single" w:sz="4" w:space="0" w:color="auto"/>
              <w:bottom w:val="single" w:sz="4" w:space="0" w:color="auto"/>
              <w:right w:val="single" w:sz="4" w:space="0" w:color="auto"/>
            </w:tcBorders>
            <w:vAlign w:val="center"/>
            <w:hideMark/>
          </w:tcPr>
          <w:p w14:paraId="135B9E8F" w14:textId="77777777" w:rsidR="00670A10" w:rsidRPr="00650D66" w:rsidRDefault="00670A10" w:rsidP="00B95F09">
            <w:pPr>
              <w:spacing w:after="0" w:line="240" w:lineRule="auto"/>
              <w:rPr>
                <w:rFonts w:ascii="Times New Roman" w:eastAsia="Times New Roman" w:hAnsi="Times New Roman" w:cs="Times New Roman"/>
                <w:b/>
                <w:bCs/>
                <w:color w:val="000000"/>
                <w:sz w:val="18"/>
                <w:szCs w:val="18"/>
                <w:lang w:val="ro-RO"/>
              </w:rPr>
            </w:pPr>
          </w:p>
        </w:tc>
        <w:tc>
          <w:tcPr>
            <w:tcW w:w="823" w:type="dxa"/>
            <w:vMerge/>
            <w:tcBorders>
              <w:left w:val="single" w:sz="4" w:space="0" w:color="auto"/>
              <w:bottom w:val="single" w:sz="4" w:space="0" w:color="auto"/>
              <w:right w:val="single" w:sz="4" w:space="0" w:color="auto"/>
            </w:tcBorders>
            <w:vAlign w:val="center"/>
            <w:hideMark/>
          </w:tcPr>
          <w:p w14:paraId="3CDE9284" w14:textId="77777777" w:rsidR="00670A10" w:rsidRPr="00650D66" w:rsidRDefault="00670A10" w:rsidP="00B95F09">
            <w:pPr>
              <w:spacing w:after="0" w:line="240" w:lineRule="auto"/>
              <w:rPr>
                <w:rFonts w:ascii="Times New Roman" w:eastAsia="Times New Roman" w:hAnsi="Times New Roman" w:cs="Times New Roman"/>
                <w:b/>
                <w:bCs/>
                <w:color w:val="FF0000"/>
                <w:sz w:val="18"/>
                <w:szCs w:val="18"/>
                <w:lang w:val="ro-RO"/>
              </w:rPr>
            </w:pPr>
          </w:p>
        </w:tc>
      </w:tr>
      <w:tr w:rsidR="00B95F09" w:rsidRPr="00650D66" w14:paraId="00E2C26C" w14:textId="77777777" w:rsidTr="004B49C8">
        <w:trPr>
          <w:trHeight w:val="345"/>
        </w:trPr>
        <w:tc>
          <w:tcPr>
            <w:tcW w:w="710" w:type="dxa"/>
            <w:tcBorders>
              <w:top w:val="nil"/>
              <w:left w:val="single" w:sz="4" w:space="0" w:color="auto"/>
              <w:bottom w:val="single" w:sz="4" w:space="0" w:color="auto"/>
              <w:right w:val="single" w:sz="4" w:space="0" w:color="auto"/>
            </w:tcBorders>
            <w:shd w:val="clear" w:color="000000" w:fill="F2F2F2"/>
            <w:noWrap/>
            <w:vAlign w:val="center"/>
            <w:hideMark/>
          </w:tcPr>
          <w:p w14:paraId="56909246"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9130</w:t>
            </w:r>
          </w:p>
        </w:tc>
        <w:tc>
          <w:tcPr>
            <w:tcW w:w="1984" w:type="dxa"/>
            <w:tcBorders>
              <w:top w:val="nil"/>
              <w:left w:val="nil"/>
              <w:bottom w:val="single" w:sz="4" w:space="0" w:color="auto"/>
              <w:right w:val="single" w:sz="4" w:space="0" w:color="auto"/>
            </w:tcBorders>
            <w:shd w:val="clear" w:color="000000" w:fill="F2F2F2"/>
            <w:vAlign w:val="center"/>
            <w:hideMark/>
          </w:tcPr>
          <w:p w14:paraId="034866BE"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serviciile acordate BNM</w:t>
            </w:r>
          </w:p>
        </w:tc>
        <w:tc>
          <w:tcPr>
            <w:tcW w:w="1159" w:type="dxa"/>
            <w:tcBorders>
              <w:top w:val="nil"/>
              <w:left w:val="nil"/>
              <w:bottom w:val="single" w:sz="4" w:space="0" w:color="auto"/>
              <w:right w:val="single" w:sz="4" w:space="0" w:color="auto"/>
            </w:tcBorders>
            <w:shd w:val="clear" w:color="000000" w:fill="F2F2F2"/>
            <w:noWrap/>
            <w:vAlign w:val="center"/>
            <w:hideMark/>
          </w:tcPr>
          <w:p w14:paraId="0B9A3C4D" w14:textId="77777777" w:rsidR="00C27261" w:rsidRPr="00650D66" w:rsidRDefault="00331BE5"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w:t>
            </w:r>
            <w:r w:rsidR="00C27261" w:rsidRPr="00650D66">
              <w:rPr>
                <w:rFonts w:ascii="Times New Roman" w:eastAsia="Times New Roman" w:hAnsi="Times New Roman" w:cs="Times New Roman"/>
                <w:b/>
                <w:bCs/>
                <w:color w:val="000000"/>
                <w:sz w:val="18"/>
                <w:szCs w:val="18"/>
                <w:lang w:val="ro-RO"/>
              </w:rPr>
              <w:t xml:space="preserve">1.062,23 </w:t>
            </w:r>
          </w:p>
        </w:tc>
        <w:tc>
          <w:tcPr>
            <w:tcW w:w="913" w:type="dxa"/>
            <w:tcBorders>
              <w:top w:val="nil"/>
              <w:left w:val="nil"/>
              <w:bottom w:val="single" w:sz="4" w:space="0" w:color="auto"/>
              <w:right w:val="single" w:sz="4" w:space="0" w:color="auto"/>
            </w:tcBorders>
            <w:shd w:val="clear" w:color="000000" w:fill="F2F2F2"/>
            <w:noWrap/>
            <w:vAlign w:val="center"/>
            <w:hideMark/>
          </w:tcPr>
          <w:p w14:paraId="37080F12"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4B36FFBE"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83%</w:t>
            </w:r>
          </w:p>
        </w:tc>
        <w:tc>
          <w:tcPr>
            <w:tcW w:w="981" w:type="dxa"/>
            <w:tcBorders>
              <w:top w:val="nil"/>
              <w:left w:val="nil"/>
              <w:bottom w:val="single" w:sz="4" w:space="0" w:color="auto"/>
              <w:right w:val="single" w:sz="4" w:space="0" w:color="auto"/>
            </w:tcBorders>
            <w:shd w:val="clear" w:color="000000" w:fill="F2F2F2"/>
            <w:noWrap/>
            <w:vAlign w:val="center"/>
            <w:hideMark/>
          </w:tcPr>
          <w:p w14:paraId="17FE0141" w14:textId="77777777" w:rsidR="00C27261" w:rsidRPr="00650D66" w:rsidRDefault="004B49C8"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w:t>
            </w:r>
            <w:r w:rsidR="00C27261" w:rsidRPr="00650D66">
              <w:rPr>
                <w:rFonts w:ascii="Times New Roman" w:eastAsia="Times New Roman" w:hAnsi="Times New Roman" w:cs="Times New Roman"/>
                <w:b/>
                <w:bCs/>
                <w:color w:val="000000"/>
                <w:sz w:val="18"/>
                <w:szCs w:val="18"/>
                <w:lang w:val="ro-RO"/>
              </w:rPr>
              <w:t xml:space="preserve">1.343,95 </w:t>
            </w:r>
          </w:p>
        </w:tc>
        <w:tc>
          <w:tcPr>
            <w:tcW w:w="914" w:type="dxa"/>
            <w:tcBorders>
              <w:top w:val="nil"/>
              <w:left w:val="nil"/>
              <w:bottom w:val="single" w:sz="4" w:space="0" w:color="auto"/>
              <w:right w:val="single" w:sz="4" w:space="0" w:color="auto"/>
            </w:tcBorders>
            <w:shd w:val="clear" w:color="000000" w:fill="F2F2F2"/>
            <w:noWrap/>
            <w:vAlign w:val="center"/>
            <w:hideMark/>
          </w:tcPr>
          <w:p w14:paraId="0682DD4E"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65709FC6"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88%</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2CAE4FBD" w14:textId="77777777" w:rsidR="00C27261" w:rsidRPr="00650D66" w:rsidRDefault="004B49C8"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w:t>
            </w:r>
            <w:r w:rsidR="00C27261" w:rsidRPr="00650D66">
              <w:rPr>
                <w:rFonts w:ascii="Times New Roman" w:eastAsia="Times New Roman" w:hAnsi="Times New Roman" w:cs="Times New Roman"/>
                <w:b/>
                <w:bCs/>
                <w:color w:val="000000"/>
                <w:sz w:val="18"/>
                <w:szCs w:val="18"/>
                <w:lang w:val="ro-RO"/>
              </w:rPr>
              <w:t xml:space="preserve">1.280,70 </w:t>
            </w:r>
          </w:p>
        </w:tc>
        <w:tc>
          <w:tcPr>
            <w:tcW w:w="914" w:type="dxa"/>
            <w:tcBorders>
              <w:top w:val="nil"/>
              <w:left w:val="nil"/>
              <w:bottom w:val="single" w:sz="4" w:space="0" w:color="auto"/>
              <w:right w:val="single" w:sz="4" w:space="0" w:color="auto"/>
            </w:tcBorders>
            <w:shd w:val="clear" w:color="000000" w:fill="F2F2F2"/>
            <w:noWrap/>
            <w:vAlign w:val="center"/>
            <w:hideMark/>
          </w:tcPr>
          <w:p w14:paraId="3635D336"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49F49862"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w:t>
            </w:r>
          </w:p>
        </w:tc>
        <w:tc>
          <w:tcPr>
            <w:tcW w:w="1025" w:type="dxa"/>
            <w:tcBorders>
              <w:top w:val="nil"/>
              <w:left w:val="nil"/>
              <w:bottom w:val="single" w:sz="4" w:space="0" w:color="auto"/>
              <w:right w:val="single" w:sz="4" w:space="0" w:color="auto"/>
            </w:tcBorders>
            <w:shd w:val="clear" w:color="000000" w:fill="F2F2F2"/>
            <w:noWrap/>
            <w:vAlign w:val="center"/>
            <w:hideMark/>
          </w:tcPr>
          <w:p w14:paraId="4786B24E" w14:textId="77777777" w:rsidR="00C27261" w:rsidRPr="00650D66" w:rsidRDefault="004B49C8"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w:t>
            </w:r>
            <w:r w:rsidR="00C27261" w:rsidRPr="00650D66">
              <w:rPr>
                <w:rFonts w:ascii="Times New Roman" w:eastAsia="Times New Roman" w:hAnsi="Times New Roman" w:cs="Times New Roman"/>
                <w:b/>
                <w:bCs/>
                <w:color w:val="000000"/>
                <w:sz w:val="18"/>
                <w:szCs w:val="18"/>
                <w:lang w:val="ro-RO"/>
              </w:rPr>
              <w:t xml:space="preserve">4.136,66 </w:t>
            </w:r>
          </w:p>
        </w:tc>
        <w:tc>
          <w:tcPr>
            <w:tcW w:w="983" w:type="dxa"/>
            <w:tcBorders>
              <w:top w:val="nil"/>
              <w:left w:val="nil"/>
              <w:bottom w:val="single" w:sz="4" w:space="0" w:color="auto"/>
              <w:right w:val="single" w:sz="4" w:space="0" w:color="auto"/>
            </w:tcBorders>
            <w:shd w:val="clear" w:color="000000" w:fill="F2F2F2"/>
            <w:noWrap/>
            <w:vAlign w:val="center"/>
            <w:hideMark/>
          </w:tcPr>
          <w:p w14:paraId="157337D9"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00324DB0"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96%</w:t>
            </w:r>
          </w:p>
        </w:tc>
        <w:tc>
          <w:tcPr>
            <w:tcW w:w="823" w:type="dxa"/>
            <w:tcBorders>
              <w:top w:val="nil"/>
              <w:left w:val="nil"/>
              <w:bottom w:val="single" w:sz="4" w:space="0" w:color="auto"/>
              <w:right w:val="single" w:sz="4" w:space="0" w:color="auto"/>
            </w:tcBorders>
            <w:shd w:val="clear" w:color="000000" w:fill="F2F2F2"/>
            <w:noWrap/>
            <w:vAlign w:val="center"/>
            <w:hideMark/>
          </w:tcPr>
          <w:p w14:paraId="24DB01DA"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&gt;15%</w:t>
            </w:r>
          </w:p>
        </w:tc>
      </w:tr>
      <w:tr w:rsidR="00B95F09" w:rsidRPr="00650D66" w14:paraId="1B78E27C"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64949E8"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9133</w:t>
            </w:r>
          </w:p>
        </w:tc>
        <w:tc>
          <w:tcPr>
            <w:tcW w:w="1984" w:type="dxa"/>
            <w:tcBorders>
              <w:top w:val="nil"/>
              <w:left w:val="nil"/>
              <w:bottom w:val="single" w:sz="4" w:space="0" w:color="auto"/>
              <w:right w:val="single" w:sz="4" w:space="0" w:color="auto"/>
            </w:tcBorders>
            <w:shd w:val="clear" w:color="auto" w:fill="auto"/>
            <w:vAlign w:val="center"/>
            <w:hideMark/>
          </w:tcPr>
          <w:p w14:paraId="14A50441" w14:textId="77777777" w:rsidR="00C27261" w:rsidRPr="00650D66" w:rsidRDefault="00C27261" w:rsidP="00FE694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serviciile de audit și consulting</w:t>
            </w:r>
          </w:p>
        </w:tc>
        <w:tc>
          <w:tcPr>
            <w:tcW w:w="1159" w:type="dxa"/>
            <w:tcBorders>
              <w:top w:val="nil"/>
              <w:left w:val="nil"/>
              <w:bottom w:val="single" w:sz="4" w:space="0" w:color="auto"/>
              <w:right w:val="single" w:sz="4" w:space="0" w:color="auto"/>
            </w:tcBorders>
            <w:shd w:val="clear" w:color="auto" w:fill="auto"/>
            <w:noWrap/>
            <w:vAlign w:val="center"/>
            <w:hideMark/>
          </w:tcPr>
          <w:p w14:paraId="19A0EEB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878,07</w:t>
            </w:r>
          </w:p>
        </w:tc>
        <w:tc>
          <w:tcPr>
            <w:tcW w:w="913" w:type="dxa"/>
            <w:tcBorders>
              <w:top w:val="nil"/>
              <w:left w:val="nil"/>
              <w:bottom w:val="single" w:sz="4" w:space="0" w:color="auto"/>
              <w:right w:val="single" w:sz="4" w:space="0" w:color="auto"/>
            </w:tcBorders>
            <w:shd w:val="clear" w:color="auto" w:fill="auto"/>
            <w:noWrap/>
            <w:vAlign w:val="center"/>
            <w:hideMark/>
          </w:tcPr>
          <w:p w14:paraId="4DF2D46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83%</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77CB8DE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center"/>
            <w:hideMark/>
          </w:tcPr>
          <w:p w14:paraId="570EEF1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708,59</w:t>
            </w:r>
          </w:p>
        </w:tc>
        <w:tc>
          <w:tcPr>
            <w:tcW w:w="914" w:type="dxa"/>
            <w:tcBorders>
              <w:top w:val="nil"/>
              <w:left w:val="nil"/>
              <w:bottom w:val="single" w:sz="4" w:space="0" w:color="auto"/>
              <w:right w:val="single" w:sz="4" w:space="0" w:color="auto"/>
            </w:tcBorders>
            <w:shd w:val="clear" w:color="auto" w:fill="auto"/>
            <w:noWrap/>
            <w:vAlign w:val="center"/>
            <w:hideMark/>
          </w:tcPr>
          <w:p w14:paraId="72F6429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660F92"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2270372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1.181,46</w:t>
            </w:r>
          </w:p>
        </w:tc>
        <w:tc>
          <w:tcPr>
            <w:tcW w:w="914" w:type="dxa"/>
            <w:tcBorders>
              <w:top w:val="nil"/>
              <w:left w:val="nil"/>
              <w:bottom w:val="single" w:sz="4" w:space="0" w:color="auto"/>
              <w:right w:val="single" w:sz="4" w:space="0" w:color="auto"/>
            </w:tcBorders>
            <w:shd w:val="clear" w:color="auto" w:fill="auto"/>
            <w:noWrap/>
            <w:vAlign w:val="center"/>
            <w:hideMark/>
          </w:tcPr>
          <w:p w14:paraId="4601527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3BC4D9D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center"/>
            <w:hideMark/>
          </w:tcPr>
          <w:p w14:paraId="09E62C0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2.890,24</w:t>
            </w:r>
          </w:p>
        </w:tc>
        <w:tc>
          <w:tcPr>
            <w:tcW w:w="983" w:type="dxa"/>
            <w:tcBorders>
              <w:top w:val="nil"/>
              <w:left w:val="nil"/>
              <w:bottom w:val="single" w:sz="4" w:space="0" w:color="auto"/>
              <w:right w:val="single" w:sz="4" w:space="0" w:color="auto"/>
            </w:tcBorders>
            <w:shd w:val="clear" w:color="auto" w:fill="auto"/>
            <w:noWrap/>
            <w:vAlign w:val="center"/>
            <w:hideMark/>
          </w:tcPr>
          <w:p w14:paraId="5E33EC5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70%</w:t>
            </w:r>
          </w:p>
        </w:tc>
        <w:tc>
          <w:tcPr>
            <w:tcW w:w="855" w:type="dxa"/>
            <w:tcBorders>
              <w:top w:val="nil"/>
              <w:left w:val="nil"/>
              <w:bottom w:val="single" w:sz="4" w:space="0" w:color="auto"/>
              <w:right w:val="single" w:sz="4" w:space="0" w:color="auto"/>
            </w:tcBorders>
            <w:shd w:val="clear" w:color="auto" w:fill="auto"/>
            <w:noWrap/>
            <w:vAlign w:val="center"/>
            <w:hideMark/>
          </w:tcPr>
          <w:p w14:paraId="08FEEA1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center"/>
            <w:hideMark/>
          </w:tcPr>
          <w:p w14:paraId="3666A947"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4535CB69" w14:textId="77777777" w:rsidTr="007B788F">
        <w:trPr>
          <w:trHeight w:val="4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79572C9"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9135</w:t>
            </w:r>
          </w:p>
        </w:tc>
        <w:tc>
          <w:tcPr>
            <w:tcW w:w="1984" w:type="dxa"/>
            <w:tcBorders>
              <w:top w:val="nil"/>
              <w:left w:val="nil"/>
              <w:bottom w:val="single" w:sz="4" w:space="0" w:color="auto"/>
              <w:right w:val="single" w:sz="4" w:space="0" w:color="auto"/>
            </w:tcBorders>
            <w:shd w:val="clear" w:color="auto" w:fill="auto"/>
            <w:vAlign w:val="center"/>
            <w:hideMark/>
          </w:tcPr>
          <w:p w14:paraId="0B61444B" w14:textId="77777777" w:rsidR="00C27261" w:rsidRPr="00650D66" w:rsidRDefault="00C27261" w:rsidP="00FE694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privind serviciile acordate</w:t>
            </w:r>
          </w:p>
        </w:tc>
        <w:tc>
          <w:tcPr>
            <w:tcW w:w="1159" w:type="dxa"/>
            <w:tcBorders>
              <w:top w:val="nil"/>
              <w:left w:val="nil"/>
              <w:bottom w:val="single" w:sz="4" w:space="0" w:color="auto"/>
              <w:right w:val="single" w:sz="4" w:space="0" w:color="auto"/>
            </w:tcBorders>
            <w:shd w:val="clear" w:color="auto" w:fill="auto"/>
            <w:noWrap/>
            <w:vAlign w:val="center"/>
            <w:hideMark/>
          </w:tcPr>
          <w:p w14:paraId="2D85985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26,75</w:t>
            </w:r>
          </w:p>
        </w:tc>
        <w:tc>
          <w:tcPr>
            <w:tcW w:w="913" w:type="dxa"/>
            <w:tcBorders>
              <w:top w:val="nil"/>
              <w:left w:val="nil"/>
              <w:bottom w:val="single" w:sz="4" w:space="0" w:color="auto"/>
              <w:right w:val="single" w:sz="4" w:space="0" w:color="auto"/>
            </w:tcBorders>
            <w:shd w:val="clear" w:color="auto" w:fill="auto"/>
            <w:noWrap/>
            <w:vAlign w:val="center"/>
            <w:hideMark/>
          </w:tcPr>
          <w:p w14:paraId="7932D43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2E04372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center"/>
            <w:hideMark/>
          </w:tcPr>
          <w:p w14:paraId="72C549C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480,80</w:t>
            </w:r>
          </w:p>
        </w:tc>
        <w:tc>
          <w:tcPr>
            <w:tcW w:w="914" w:type="dxa"/>
            <w:tcBorders>
              <w:top w:val="nil"/>
              <w:left w:val="nil"/>
              <w:bottom w:val="single" w:sz="4" w:space="0" w:color="auto"/>
              <w:right w:val="single" w:sz="4" w:space="0" w:color="auto"/>
            </w:tcBorders>
            <w:shd w:val="clear" w:color="auto" w:fill="auto"/>
            <w:noWrap/>
            <w:vAlign w:val="center"/>
            <w:hideMark/>
          </w:tcPr>
          <w:p w14:paraId="15AB68D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BE230D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5F79549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13,99</w:t>
            </w:r>
          </w:p>
        </w:tc>
        <w:tc>
          <w:tcPr>
            <w:tcW w:w="914" w:type="dxa"/>
            <w:tcBorders>
              <w:top w:val="nil"/>
              <w:left w:val="nil"/>
              <w:bottom w:val="single" w:sz="4" w:space="0" w:color="auto"/>
              <w:right w:val="single" w:sz="4" w:space="0" w:color="auto"/>
            </w:tcBorders>
            <w:shd w:val="clear" w:color="auto" w:fill="auto"/>
            <w:noWrap/>
            <w:vAlign w:val="center"/>
            <w:hideMark/>
          </w:tcPr>
          <w:p w14:paraId="4CAE273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5022B84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14:paraId="5F04531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1.094,06</w:t>
            </w:r>
          </w:p>
        </w:tc>
        <w:tc>
          <w:tcPr>
            <w:tcW w:w="983" w:type="dxa"/>
            <w:tcBorders>
              <w:top w:val="nil"/>
              <w:left w:val="nil"/>
              <w:bottom w:val="single" w:sz="4" w:space="0" w:color="auto"/>
              <w:right w:val="single" w:sz="4" w:space="0" w:color="auto"/>
            </w:tcBorders>
            <w:shd w:val="clear" w:color="auto" w:fill="auto"/>
            <w:noWrap/>
            <w:vAlign w:val="center"/>
            <w:hideMark/>
          </w:tcPr>
          <w:p w14:paraId="43F43DE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w:t>
            </w:r>
          </w:p>
        </w:tc>
        <w:tc>
          <w:tcPr>
            <w:tcW w:w="855" w:type="dxa"/>
            <w:tcBorders>
              <w:top w:val="nil"/>
              <w:left w:val="nil"/>
              <w:bottom w:val="single" w:sz="4" w:space="0" w:color="auto"/>
              <w:right w:val="single" w:sz="4" w:space="0" w:color="auto"/>
            </w:tcBorders>
            <w:shd w:val="clear" w:color="auto" w:fill="auto"/>
            <w:noWrap/>
            <w:vAlign w:val="center"/>
            <w:hideMark/>
          </w:tcPr>
          <w:p w14:paraId="0BF852CA"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center"/>
            <w:hideMark/>
          </w:tcPr>
          <w:p w14:paraId="508CD0DF"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1B2372C2" w14:textId="77777777" w:rsidTr="004B49C8">
        <w:trPr>
          <w:trHeight w:val="55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BC9512A"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9136</w:t>
            </w:r>
          </w:p>
        </w:tc>
        <w:tc>
          <w:tcPr>
            <w:tcW w:w="1984" w:type="dxa"/>
            <w:tcBorders>
              <w:top w:val="nil"/>
              <w:left w:val="nil"/>
              <w:bottom w:val="single" w:sz="4" w:space="0" w:color="auto"/>
              <w:right w:val="single" w:sz="4" w:space="0" w:color="auto"/>
            </w:tcBorders>
            <w:shd w:val="clear" w:color="auto" w:fill="auto"/>
            <w:vAlign w:val="center"/>
            <w:hideMark/>
          </w:tcPr>
          <w:p w14:paraId="353B7FD1" w14:textId="77777777" w:rsidR="00C27261" w:rsidRPr="00650D66" w:rsidRDefault="00C27261" w:rsidP="00FE694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pentru participații în diferite organizații internaționale</w:t>
            </w:r>
          </w:p>
        </w:tc>
        <w:tc>
          <w:tcPr>
            <w:tcW w:w="1159" w:type="dxa"/>
            <w:tcBorders>
              <w:top w:val="nil"/>
              <w:left w:val="nil"/>
              <w:bottom w:val="single" w:sz="4" w:space="0" w:color="auto"/>
              <w:right w:val="single" w:sz="4" w:space="0" w:color="auto"/>
            </w:tcBorders>
            <w:shd w:val="clear" w:color="auto" w:fill="auto"/>
            <w:noWrap/>
            <w:vAlign w:val="center"/>
            <w:hideMark/>
          </w:tcPr>
          <w:p w14:paraId="46A33A4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157,41</w:t>
            </w:r>
          </w:p>
        </w:tc>
        <w:tc>
          <w:tcPr>
            <w:tcW w:w="913" w:type="dxa"/>
            <w:tcBorders>
              <w:top w:val="nil"/>
              <w:left w:val="nil"/>
              <w:bottom w:val="single" w:sz="4" w:space="0" w:color="auto"/>
              <w:right w:val="single" w:sz="4" w:space="0" w:color="auto"/>
            </w:tcBorders>
            <w:shd w:val="clear" w:color="auto" w:fill="auto"/>
            <w:noWrap/>
            <w:vAlign w:val="center"/>
            <w:hideMark/>
          </w:tcPr>
          <w:p w14:paraId="7F00CA2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C592C9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center"/>
            <w:hideMark/>
          </w:tcPr>
          <w:p w14:paraId="64115E1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154,56</w:t>
            </w:r>
          </w:p>
        </w:tc>
        <w:tc>
          <w:tcPr>
            <w:tcW w:w="914" w:type="dxa"/>
            <w:tcBorders>
              <w:top w:val="nil"/>
              <w:left w:val="nil"/>
              <w:bottom w:val="single" w:sz="4" w:space="0" w:color="auto"/>
              <w:right w:val="single" w:sz="4" w:space="0" w:color="auto"/>
            </w:tcBorders>
            <w:shd w:val="clear" w:color="auto" w:fill="auto"/>
            <w:noWrap/>
            <w:vAlign w:val="center"/>
            <w:hideMark/>
          </w:tcPr>
          <w:p w14:paraId="0952CCF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8E770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1C780F3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85,25</w:t>
            </w:r>
          </w:p>
        </w:tc>
        <w:tc>
          <w:tcPr>
            <w:tcW w:w="914" w:type="dxa"/>
            <w:tcBorders>
              <w:top w:val="nil"/>
              <w:left w:val="nil"/>
              <w:bottom w:val="single" w:sz="4" w:space="0" w:color="auto"/>
              <w:right w:val="single" w:sz="4" w:space="0" w:color="auto"/>
            </w:tcBorders>
            <w:shd w:val="clear" w:color="auto" w:fill="auto"/>
            <w:noWrap/>
            <w:vAlign w:val="center"/>
            <w:hideMark/>
          </w:tcPr>
          <w:p w14:paraId="44ECB77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48479EE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14:paraId="7EA71C9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152,36</w:t>
            </w:r>
          </w:p>
        </w:tc>
        <w:tc>
          <w:tcPr>
            <w:tcW w:w="983" w:type="dxa"/>
            <w:tcBorders>
              <w:top w:val="nil"/>
              <w:left w:val="nil"/>
              <w:bottom w:val="single" w:sz="4" w:space="0" w:color="auto"/>
              <w:right w:val="single" w:sz="4" w:space="0" w:color="auto"/>
            </w:tcBorders>
            <w:shd w:val="clear" w:color="auto" w:fill="auto"/>
            <w:noWrap/>
            <w:vAlign w:val="center"/>
            <w:hideMark/>
          </w:tcPr>
          <w:p w14:paraId="6C00BA8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5" w:type="dxa"/>
            <w:tcBorders>
              <w:top w:val="nil"/>
              <w:left w:val="nil"/>
              <w:bottom w:val="single" w:sz="4" w:space="0" w:color="auto"/>
              <w:right w:val="single" w:sz="4" w:space="0" w:color="auto"/>
            </w:tcBorders>
            <w:shd w:val="clear" w:color="auto" w:fill="auto"/>
            <w:noWrap/>
            <w:vAlign w:val="center"/>
            <w:hideMark/>
          </w:tcPr>
          <w:p w14:paraId="73018A1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center"/>
            <w:hideMark/>
          </w:tcPr>
          <w:p w14:paraId="1D1A75BC"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1DA567C3" w14:textId="77777777" w:rsidTr="004B49C8">
        <w:trPr>
          <w:trHeight w:val="207"/>
        </w:trPr>
        <w:tc>
          <w:tcPr>
            <w:tcW w:w="710" w:type="dxa"/>
            <w:tcBorders>
              <w:top w:val="nil"/>
              <w:left w:val="single" w:sz="4" w:space="0" w:color="auto"/>
              <w:bottom w:val="single" w:sz="4" w:space="0" w:color="auto"/>
              <w:right w:val="single" w:sz="4" w:space="0" w:color="auto"/>
            </w:tcBorders>
            <w:shd w:val="clear" w:color="000000" w:fill="F2F2F2"/>
            <w:noWrap/>
            <w:vAlign w:val="center"/>
            <w:hideMark/>
          </w:tcPr>
          <w:p w14:paraId="39F63E90"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9150</w:t>
            </w:r>
          </w:p>
        </w:tc>
        <w:tc>
          <w:tcPr>
            <w:tcW w:w="1984" w:type="dxa"/>
            <w:tcBorders>
              <w:top w:val="nil"/>
              <w:left w:val="nil"/>
              <w:bottom w:val="single" w:sz="4" w:space="0" w:color="auto"/>
              <w:right w:val="single" w:sz="4" w:space="0" w:color="auto"/>
            </w:tcBorders>
            <w:shd w:val="clear" w:color="000000" w:fill="F2F2F2"/>
            <w:vAlign w:val="center"/>
            <w:hideMark/>
          </w:tcPr>
          <w:p w14:paraId="36CAFC18"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cu personalul</w:t>
            </w:r>
          </w:p>
        </w:tc>
        <w:tc>
          <w:tcPr>
            <w:tcW w:w="1159" w:type="dxa"/>
            <w:tcBorders>
              <w:top w:val="nil"/>
              <w:left w:val="nil"/>
              <w:bottom w:val="single" w:sz="4" w:space="0" w:color="auto"/>
              <w:right w:val="single" w:sz="4" w:space="0" w:color="auto"/>
            </w:tcBorders>
            <w:shd w:val="clear" w:color="000000" w:fill="F2F2F2"/>
            <w:noWrap/>
            <w:vAlign w:val="center"/>
            <w:hideMark/>
          </w:tcPr>
          <w:p w14:paraId="24360022" w14:textId="77777777" w:rsidR="00C27261" w:rsidRPr="00650D66" w:rsidRDefault="004B49C8"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w:t>
            </w:r>
            <w:r w:rsidR="00BC2D88" w:rsidRPr="00650D66">
              <w:rPr>
                <w:rFonts w:ascii="Times New Roman" w:eastAsia="Times New Roman" w:hAnsi="Times New Roman" w:cs="Times New Roman"/>
                <w:b/>
                <w:bCs/>
                <w:color w:val="000000"/>
                <w:sz w:val="18"/>
                <w:szCs w:val="18"/>
                <w:lang w:val="ro-RO"/>
              </w:rPr>
              <w:t>129.845,4</w:t>
            </w:r>
          </w:p>
        </w:tc>
        <w:tc>
          <w:tcPr>
            <w:tcW w:w="913" w:type="dxa"/>
            <w:tcBorders>
              <w:top w:val="nil"/>
              <w:left w:val="nil"/>
              <w:bottom w:val="single" w:sz="4" w:space="0" w:color="auto"/>
              <w:right w:val="single" w:sz="4" w:space="0" w:color="auto"/>
            </w:tcBorders>
            <w:shd w:val="clear" w:color="000000" w:fill="F2F2F2"/>
            <w:noWrap/>
            <w:vAlign w:val="center"/>
            <w:hideMark/>
          </w:tcPr>
          <w:p w14:paraId="46AFE2E8"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64A0ADDA"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981" w:type="dxa"/>
            <w:tcBorders>
              <w:top w:val="nil"/>
              <w:left w:val="nil"/>
              <w:bottom w:val="single" w:sz="4" w:space="0" w:color="auto"/>
              <w:right w:val="single" w:sz="4" w:space="0" w:color="auto"/>
            </w:tcBorders>
            <w:shd w:val="clear" w:color="000000" w:fill="F2F2F2"/>
            <w:noWrap/>
            <w:vAlign w:val="center"/>
            <w:hideMark/>
          </w:tcPr>
          <w:p w14:paraId="033A80A8" w14:textId="77777777" w:rsidR="00C27261" w:rsidRPr="00650D66" w:rsidRDefault="004B49C8"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121.884,2</w:t>
            </w:r>
          </w:p>
        </w:tc>
        <w:tc>
          <w:tcPr>
            <w:tcW w:w="914" w:type="dxa"/>
            <w:tcBorders>
              <w:top w:val="nil"/>
              <w:left w:val="nil"/>
              <w:bottom w:val="single" w:sz="4" w:space="0" w:color="auto"/>
              <w:right w:val="single" w:sz="4" w:space="0" w:color="auto"/>
            </w:tcBorders>
            <w:shd w:val="clear" w:color="000000" w:fill="F2F2F2"/>
            <w:noWrap/>
            <w:vAlign w:val="center"/>
            <w:hideMark/>
          </w:tcPr>
          <w:p w14:paraId="7666553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4EDF206E"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60EBEE75" w14:textId="77777777" w:rsidR="00C27261" w:rsidRPr="00650D66" w:rsidRDefault="00BC2D88"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127.749,6</w:t>
            </w:r>
            <w:r w:rsidR="00C27261" w:rsidRPr="00650D66">
              <w:rPr>
                <w:rFonts w:ascii="Times New Roman" w:eastAsia="Times New Roman" w:hAnsi="Times New Roman" w:cs="Times New Roman"/>
                <w:b/>
                <w:bCs/>
                <w:color w:val="000000"/>
                <w:sz w:val="18"/>
                <w:szCs w:val="18"/>
                <w:lang w:val="ro-RO"/>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5627D7D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518F5A8C"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1025" w:type="dxa"/>
            <w:tcBorders>
              <w:top w:val="nil"/>
              <w:left w:val="nil"/>
              <w:bottom w:val="single" w:sz="4" w:space="0" w:color="auto"/>
              <w:right w:val="single" w:sz="4" w:space="0" w:color="auto"/>
            </w:tcBorders>
            <w:shd w:val="clear" w:color="000000" w:fill="F2F2F2"/>
            <w:noWrap/>
            <w:vAlign w:val="center"/>
            <w:hideMark/>
          </w:tcPr>
          <w:p w14:paraId="03917CBD" w14:textId="77777777" w:rsidR="00C27261" w:rsidRPr="00650D66" w:rsidRDefault="00BC2D88"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173.559,4</w:t>
            </w:r>
          </w:p>
        </w:tc>
        <w:tc>
          <w:tcPr>
            <w:tcW w:w="983" w:type="dxa"/>
            <w:tcBorders>
              <w:top w:val="nil"/>
              <w:left w:val="nil"/>
              <w:bottom w:val="single" w:sz="4" w:space="0" w:color="auto"/>
              <w:right w:val="single" w:sz="4" w:space="0" w:color="auto"/>
            </w:tcBorders>
            <w:shd w:val="clear" w:color="000000" w:fill="F2F2F2"/>
            <w:noWrap/>
            <w:vAlign w:val="center"/>
            <w:hideMark/>
          </w:tcPr>
          <w:p w14:paraId="7F6B03E5"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478172F5"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center"/>
            <w:hideMark/>
          </w:tcPr>
          <w:p w14:paraId="4C240A21"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w:t>
            </w:r>
          </w:p>
        </w:tc>
      </w:tr>
      <w:tr w:rsidR="00B95F09" w:rsidRPr="00650D66" w14:paraId="46AE14EB"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D8A5A29"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9151</w:t>
            </w:r>
          </w:p>
        </w:tc>
        <w:tc>
          <w:tcPr>
            <w:tcW w:w="1984" w:type="dxa"/>
            <w:tcBorders>
              <w:top w:val="nil"/>
              <w:left w:val="nil"/>
              <w:bottom w:val="single" w:sz="4" w:space="0" w:color="auto"/>
              <w:right w:val="single" w:sz="4" w:space="0" w:color="auto"/>
            </w:tcBorders>
            <w:shd w:val="clear" w:color="auto" w:fill="auto"/>
            <w:vAlign w:val="bottom"/>
            <w:hideMark/>
          </w:tcPr>
          <w:p w14:paraId="6FB1CB2E" w14:textId="77777777" w:rsidR="00C27261" w:rsidRPr="00650D66" w:rsidRDefault="00C27261" w:rsidP="00FE694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retribuirea personalului scriptic</w:t>
            </w:r>
          </w:p>
        </w:tc>
        <w:tc>
          <w:tcPr>
            <w:tcW w:w="1159" w:type="dxa"/>
            <w:tcBorders>
              <w:top w:val="nil"/>
              <w:left w:val="nil"/>
              <w:bottom w:val="single" w:sz="4" w:space="0" w:color="auto"/>
              <w:right w:val="single" w:sz="4" w:space="0" w:color="auto"/>
            </w:tcBorders>
            <w:shd w:val="clear" w:color="auto" w:fill="auto"/>
            <w:noWrap/>
            <w:vAlign w:val="bottom"/>
            <w:hideMark/>
          </w:tcPr>
          <w:p w14:paraId="12CCA05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111.783,65</w:t>
            </w:r>
          </w:p>
        </w:tc>
        <w:tc>
          <w:tcPr>
            <w:tcW w:w="913" w:type="dxa"/>
            <w:tcBorders>
              <w:top w:val="nil"/>
              <w:left w:val="nil"/>
              <w:bottom w:val="single" w:sz="4" w:space="0" w:color="auto"/>
              <w:right w:val="single" w:sz="4" w:space="0" w:color="auto"/>
            </w:tcBorders>
            <w:shd w:val="clear" w:color="auto" w:fill="auto"/>
            <w:noWrap/>
            <w:vAlign w:val="bottom"/>
            <w:hideMark/>
          </w:tcPr>
          <w:p w14:paraId="4F2F1FF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86%</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DEA06B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76109F53" w14:textId="77777777" w:rsidR="00C27261" w:rsidRPr="00650D66" w:rsidRDefault="004B49C8"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106.151,8</w:t>
            </w:r>
          </w:p>
        </w:tc>
        <w:tc>
          <w:tcPr>
            <w:tcW w:w="914" w:type="dxa"/>
            <w:tcBorders>
              <w:top w:val="nil"/>
              <w:left w:val="nil"/>
              <w:bottom w:val="single" w:sz="4" w:space="0" w:color="auto"/>
              <w:right w:val="single" w:sz="4" w:space="0" w:color="auto"/>
            </w:tcBorders>
            <w:shd w:val="clear" w:color="auto" w:fill="auto"/>
            <w:noWrap/>
            <w:vAlign w:val="bottom"/>
            <w:hideMark/>
          </w:tcPr>
          <w:p w14:paraId="76BD353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AFD87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1C1165A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111.039,22</w:t>
            </w:r>
          </w:p>
        </w:tc>
        <w:tc>
          <w:tcPr>
            <w:tcW w:w="914" w:type="dxa"/>
            <w:tcBorders>
              <w:top w:val="nil"/>
              <w:left w:val="nil"/>
              <w:bottom w:val="single" w:sz="4" w:space="0" w:color="auto"/>
              <w:right w:val="single" w:sz="4" w:space="0" w:color="auto"/>
            </w:tcBorders>
            <w:shd w:val="clear" w:color="auto" w:fill="auto"/>
            <w:noWrap/>
            <w:vAlign w:val="bottom"/>
            <w:hideMark/>
          </w:tcPr>
          <w:p w14:paraId="6276095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87%</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65504B1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545E2D1D" w14:textId="77777777" w:rsidR="00C27261" w:rsidRPr="00650D66" w:rsidRDefault="00240B54"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151.210,9</w:t>
            </w:r>
          </w:p>
        </w:tc>
        <w:tc>
          <w:tcPr>
            <w:tcW w:w="983" w:type="dxa"/>
            <w:tcBorders>
              <w:top w:val="nil"/>
              <w:left w:val="nil"/>
              <w:bottom w:val="single" w:sz="4" w:space="0" w:color="auto"/>
              <w:right w:val="single" w:sz="4" w:space="0" w:color="auto"/>
            </w:tcBorders>
            <w:shd w:val="clear" w:color="auto" w:fill="auto"/>
            <w:noWrap/>
            <w:vAlign w:val="bottom"/>
            <w:hideMark/>
          </w:tcPr>
          <w:p w14:paraId="3BF5975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87%</w:t>
            </w:r>
          </w:p>
        </w:tc>
        <w:tc>
          <w:tcPr>
            <w:tcW w:w="855" w:type="dxa"/>
            <w:tcBorders>
              <w:top w:val="nil"/>
              <w:left w:val="nil"/>
              <w:bottom w:val="single" w:sz="4" w:space="0" w:color="auto"/>
              <w:right w:val="single" w:sz="4" w:space="0" w:color="auto"/>
            </w:tcBorders>
            <w:shd w:val="clear" w:color="auto" w:fill="auto"/>
            <w:noWrap/>
            <w:vAlign w:val="center"/>
            <w:hideMark/>
          </w:tcPr>
          <w:p w14:paraId="57BC9ED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7A2709C0"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288B5EC6" w14:textId="77777777" w:rsidTr="004B49C8">
        <w:trPr>
          <w:trHeight w:val="8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F65531D"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9152</w:t>
            </w:r>
          </w:p>
        </w:tc>
        <w:tc>
          <w:tcPr>
            <w:tcW w:w="1984" w:type="dxa"/>
            <w:tcBorders>
              <w:top w:val="nil"/>
              <w:left w:val="nil"/>
              <w:bottom w:val="single" w:sz="4" w:space="0" w:color="auto"/>
              <w:right w:val="single" w:sz="4" w:space="0" w:color="auto"/>
            </w:tcBorders>
            <w:shd w:val="clear" w:color="auto" w:fill="auto"/>
            <w:vAlign w:val="bottom"/>
            <w:hideMark/>
          </w:tcPr>
          <w:p w14:paraId="0D324DEA" w14:textId="77777777" w:rsidR="00C27261" w:rsidRPr="00650D66" w:rsidRDefault="00C27261" w:rsidP="00FE694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premiile </w:t>
            </w:r>
            <w:r w:rsidR="004A3DCD" w:rsidRPr="00650D66">
              <w:rPr>
                <w:rFonts w:ascii="Times New Roman" w:eastAsia="Times New Roman" w:hAnsi="Times New Roman" w:cs="Times New Roman"/>
                <w:color w:val="000000"/>
                <w:sz w:val="18"/>
                <w:szCs w:val="18"/>
                <w:lang w:val="ro-RO"/>
              </w:rPr>
              <w:t>și</w:t>
            </w:r>
            <w:r w:rsidRPr="00650D66">
              <w:rPr>
                <w:rFonts w:ascii="Times New Roman" w:eastAsia="Times New Roman" w:hAnsi="Times New Roman" w:cs="Times New Roman"/>
                <w:color w:val="000000"/>
                <w:sz w:val="18"/>
                <w:szCs w:val="18"/>
                <w:lang w:val="ro-RO"/>
              </w:rPr>
              <w:t xml:space="preserve"> alte drepturi acordate personalului BNM</w:t>
            </w:r>
          </w:p>
        </w:tc>
        <w:tc>
          <w:tcPr>
            <w:tcW w:w="1159" w:type="dxa"/>
            <w:tcBorders>
              <w:top w:val="nil"/>
              <w:left w:val="nil"/>
              <w:bottom w:val="single" w:sz="4" w:space="0" w:color="auto"/>
              <w:right w:val="single" w:sz="4" w:space="0" w:color="auto"/>
            </w:tcBorders>
            <w:shd w:val="clear" w:color="auto" w:fill="auto"/>
            <w:noWrap/>
            <w:vAlign w:val="bottom"/>
            <w:hideMark/>
          </w:tcPr>
          <w:p w14:paraId="5DE3BD5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8.598,02</w:t>
            </w:r>
          </w:p>
        </w:tc>
        <w:tc>
          <w:tcPr>
            <w:tcW w:w="913" w:type="dxa"/>
            <w:tcBorders>
              <w:top w:val="nil"/>
              <w:left w:val="nil"/>
              <w:bottom w:val="single" w:sz="4" w:space="0" w:color="auto"/>
              <w:right w:val="single" w:sz="4" w:space="0" w:color="auto"/>
            </w:tcBorders>
            <w:shd w:val="clear" w:color="auto" w:fill="auto"/>
            <w:noWrap/>
            <w:vAlign w:val="bottom"/>
            <w:hideMark/>
          </w:tcPr>
          <w:p w14:paraId="04E34FF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1F800B7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0E442E9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9.222,49</w:t>
            </w:r>
          </w:p>
        </w:tc>
        <w:tc>
          <w:tcPr>
            <w:tcW w:w="914" w:type="dxa"/>
            <w:tcBorders>
              <w:top w:val="nil"/>
              <w:left w:val="nil"/>
              <w:bottom w:val="single" w:sz="4" w:space="0" w:color="auto"/>
              <w:right w:val="single" w:sz="4" w:space="0" w:color="auto"/>
            </w:tcBorders>
            <w:shd w:val="clear" w:color="auto" w:fill="auto"/>
            <w:noWrap/>
            <w:vAlign w:val="bottom"/>
            <w:hideMark/>
          </w:tcPr>
          <w:p w14:paraId="68BD363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DD4EAF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2C47C90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9.344,70</w:t>
            </w:r>
          </w:p>
        </w:tc>
        <w:tc>
          <w:tcPr>
            <w:tcW w:w="914" w:type="dxa"/>
            <w:tcBorders>
              <w:top w:val="nil"/>
              <w:left w:val="nil"/>
              <w:bottom w:val="single" w:sz="4" w:space="0" w:color="auto"/>
              <w:right w:val="single" w:sz="4" w:space="0" w:color="auto"/>
            </w:tcBorders>
            <w:shd w:val="clear" w:color="auto" w:fill="auto"/>
            <w:noWrap/>
            <w:vAlign w:val="bottom"/>
            <w:hideMark/>
          </w:tcPr>
          <w:p w14:paraId="58F8A2B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5587C3D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546FE14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12.871,85</w:t>
            </w:r>
          </w:p>
        </w:tc>
        <w:tc>
          <w:tcPr>
            <w:tcW w:w="983" w:type="dxa"/>
            <w:tcBorders>
              <w:top w:val="nil"/>
              <w:left w:val="nil"/>
              <w:bottom w:val="single" w:sz="4" w:space="0" w:color="auto"/>
              <w:right w:val="single" w:sz="4" w:space="0" w:color="auto"/>
            </w:tcBorders>
            <w:shd w:val="clear" w:color="auto" w:fill="auto"/>
            <w:noWrap/>
            <w:vAlign w:val="bottom"/>
            <w:hideMark/>
          </w:tcPr>
          <w:p w14:paraId="632204A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855" w:type="dxa"/>
            <w:tcBorders>
              <w:top w:val="nil"/>
              <w:left w:val="nil"/>
              <w:bottom w:val="single" w:sz="4" w:space="0" w:color="auto"/>
              <w:right w:val="single" w:sz="4" w:space="0" w:color="auto"/>
            </w:tcBorders>
            <w:shd w:val="clear" w:color="auto" w:fill="auto"/>
            <w:noWrap/>
            <w:vAlign w:val="center"/>
            <w:hideMark/>
          </w:tcPr>
          <w:p w14:paraId="2B1A87A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33D25ECB"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6F99A1CD"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5BFA148"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9154</w:t>
            </w:r>
          </w:p>
        </w:tc>
        <w:tc>
          <w:tcPr>
            <w:tcW w:w="1984" w:type="dxa"/>
            <w:tcBorders>
              <w:top w:val="nil"/>
              <w:left w:val="nil"/>
              <w:bottom w:val="single" w:sz="4" w:space="0" w:color="auto"/>
              <w:right w:val="single" w:sz="4" w:space="0" w:color="auto"/>
            </w:tcBorders>
            <w:shd w:val="clear" w:color="auto" w:fill="auto"/>
            <w:vAlign w:val="bottom"/>
            <w:hideMark/>
          </w:tcPr>
          <w:p w14:paraId="239B0859" w14:textId="77777777" w:rsidR="00C27261" w:rsidRPr="00650D66" w:rsidRDefault="00C27261" w:rsidP="00FE694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retribuirea personalul nescriptic</w:t>
            </w:r>
          </w:p>
        </w:tc>
        <w:tc>
          <w:tcPr>
            <w:tcW w:w="1159" w:type="dxa"/>
            <w:tcBorders>
              <w:top w:val="nil"/>
              <w:left w:val="nil"/>
              <w:bottom w:val="single" w:sz="4" w:space="0" w:color="auto"/>
              <w:right w:val="single" w:sz="4" w:space="0" w:color="auto"/>
            </w:tcBorders>
            <w:shd w:val="clear" w:color="auto" w:fill="auto"/>
            <w:noWrap/>
            <w:vAlign w:val="bottom"/>
            <w:hideMark/>
          </w:tcPr>
          <w:p w14:paraId="0D9BF2D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3.603,53</w:t>
            </w:r>
          </w:p>
        </w:tc>
        <w:tc>
          <w:tcPr>
            <w:tcW w:w="913" w:type="dxa"/>
            <w:tcBorders>
              <w:top w:val="nil"/>
              <w:left w:val="nil"/>
              <w:bottom w:val="single" w:sz="4" w:space="0" w:color="auto"/>
              <w:right w:val="single" w:sz="4" w:space="0" w:color="auto"/>
            </w:tcBorders>
            <w:shd w:val="clear" w:color="auto" w:fill="auto"/>
            <w:noWrap/>
            <w:vAlign w:val="bottom"/>
            <w:hideMark/>
          </w:tcPr>
          <w:p w14:paraId="32C0A21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231605D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1EEC0F7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3.994,22</w:t>
            </w:r>
          </w:p>
        </w:tc>
        <w:tc>
          <w:tcPr>
            <w:tcW w:w="914" w:type="dxa"/>
            <w:tcBorders>
              <w:top w:val="nil"/>
              <w:left w:val="nil"/>
              <w:bottom w:val="single" w:sz="4" w:space="0" w:color="auto"/>
              <w:right w:val="single" w:sz="4" w:space="0" w:color="auto"/>
            </w:tcBorders>
            <w:shd w:val="clear" w:color="auto" w:fill="auto"/>
            <w:noWrap/>
            <w:vAlign w:val="bottom"/>
            <w:hideMark/>
          </w:tcPr>
          <w:p w14:paraId="611AC8D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B987E5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043357A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4.073,56</w:t>
            </w:r>
          </w:p>
        </w:tc>
        <w:tc>
          <w:tcPr>
            <w:tcW w:w="914" w:type="dxa"/>
            <w:tcBorders>
              <w:top w:val="nil"/>
              <w:left w:val="nil"/>
              <w:bottom w:val="single" w:sz="4" w:space="0" w:color="auto"/>
              <w:right w:val="single" w:sz="4" w:space="0" w:color="auto"/>
            </w:tcBorders>
            <w:shd w:val="clear" w:color="auto" w:fill="auto"/>
            <w:noWrap/>
            <w:vAlign w:val="bottom"/>
            <w:hideMark/>
          </w:tcPr>
          <w:p w14:paraId="40B5594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083010C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37007D6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4.480,10</w:t>
            </w:r>
          </w:p>
        </w:tc>
        <w:tc>
          <w:tcPr>
            <w:tcW w:w="983" w:type="dxa"/>
            <w:tcBorders>
              <w:top w:val="nil"/>
              <w:left w:val="nil"/>
              <w:bottom w:val="single" w:sz="4" w:space="0" w:color="auto"/>
              <w:right w:val="single" w:sz="4" w:space="0" w:color="auto"/>
            </w:tcBorders>
            <w:shd w:val="clear" w:color="auto" w:fill="auto"/>
            <w:noWrap/>
            <w:vAlign w:val="bottom"/>
            <w:hideMark/>
          </w:tcPr>
          <w:p w14:paraId="28D7D3D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5" w:type="dxa"/>
            <w:tcBorders>
              <w:top w:val="nil"/>
              <w:left w:val="nil"/>
              <w:bottom w:val="single" w:sz="4" w:space="0" w:color="auto"/>
              <w:right w:val="single" w:sz="4" w:space="0" w:color="auto"/>
            </w:tcBorders>
            <w:shd w:val="clear" w:color="auto" w:fill="auto"/>
            <w:noWrap/>
            <w:vAlign w:val="center"/>
            <w:hideMark/>
          </w:tcPr>
          <w:p w14:paraId="7AE625B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6A418BB5"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55BB47F4" w14:textId="77777777" w:rsidTr="004A3DCD">
        <w:trPr>
          <w:trHeight w:val="47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E129C2"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9155</w:t>
            </w:r>
          </w:p>
        </w:tc>
        <w:tc>
          <w:tcPr>
            <w:tcW w:w="1984" w:type="dxa"/>
            <w:tcBorders>
              <w:top w:val="nil"/>
              <w:left w:val="nil"/>
              <w:bottom w:val="single" w:sz="4" w:space="0" w:color="auto"/>
              <w:right w:val="single" w:sz="4" w:space="0" w:color="auto"/>
            </w:tcBorders>
            <w:shd w:val="clear" w:color="auto" w:fill="auto"/>
            <w:vAlign w:val="bottom"/>
            <w:hideMark/>
          </w:tcPr>
          <w:p w14:paraId="200BF416" w14:textId="77777777" w:rsidR="00C27261" w:rsidRPr="00650D66" w:rsidRDefault="00C27261" w:rsidP="00FE694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privind plățile de stimulare</w:t>
            </w:r>
          </w:p>
        </w:tc>
        <w:tc>
          <w:tcPr>
            <w:tcW w:w="1159" w:type="dxa"/>
            <w:tcBorders>
              <w:top w:val="nil"/>
              <w:left w:val="nil"/>
              <w:bottom w:val="single" w:sz="4" w:space="0" w:color="auto"/>
              <w:right w:val="single" w:sz="4" w:space="0" w:color="auto"/>
            </w:tcBorders>
            <w:shd w:val="clear" w:color="auto" w:fill="auto"/>
            <w:noWrap/>
            <w:vAlign w:val="bottom"/>
            <w:hideMark/>
          </w:tcPr>
          <w:p w14:paraId="059FA62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616,69</w:t>
            </w:r>
          </w:p>
        </w:tc>
        <w:tc>
          <w:tcPr>
            <w:tcW w:w="913" w:type="dxa"/>
            <w:tcBorders>
              <w:top w:val="nil"/>
              <w:left w:val="nil"/>
              <w:bottom w:val="single" w:sz="4" w:space="0" w:color="auto"/>
              <w:right w:val="single" w:sz="4" w:space="0" w:color="auto"/>
            </w:tcBorders>
            <w:shd w:val="clear" w:color="auto" w:fill="auto"/>
            <w:noWrap/>
            <w:vAlign w:val="bottom"/>
            <w:hideMark/>
          </w:tcPr>
          <w:p w14:paraId="58B67F9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6C4A622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7CA4743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1.196,80</w:t>
            </w:r>
          </w:p>
        </w:tc>
        <w:tc>
          <w:tcPr>
            <w:tcW w:w="914" w:type="dxa"/>
            <w:tcBorders>
              <w:top w:val="nil"/>
              <w:left w:val="nil"/>
              <w:bottom w:val="single" w:sz="4" w:space="0" w:color="auto"/>
              <w:right w:val="single" w:sz="4" w:space="0" w:color="auto"/>
            </w:tcBorders>
            <w:shd w:val="clear" w:color="auto" w:fill="auto"/>
            <w:noWrap/>
            <w:vAlign w:val="bottom"/>
            <w:hideMark/>
          </w:tcPr>
          <w:p w14:paraId="4C0C54F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23D3C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4981646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2.161,10</w:t>
            </w:r>
          </w:p>
        </w:tc>
        <w:tc>
          <w:tcPr>
            <w:tcW w:w="914" w:type="dxa"/>
            <w:tcBorders>
              <w:top w:val="nil"/>
              <w:left w:val="nil"/>
              <w:bottom w:val="single" w:sz="4" w:space="0" w:color="auto"/>
              <w:right w:val="single" w:sz="4" w:space="0" w:color="auto"/>
            </w:tcBorders>
            <w:shd w:val="clear" w:color="auto" w:fill="auto"/>
            <w:noWrap/>
            <w:vAlign w:val="bottom"/>
            <w:hideMark/>
          </w:tcPr>
          <w:p w14:paraId="03F5596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767273D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1FD1FEC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1.219,05</w:t>
            </w:r>
          </w:p>
        </w:tc>
        <w:tc>
          <w:tcPr>
            <w:tcW w:w="983" w:type="dxa"/>
            <w:tcBorders>
              <w:top w:val="nil"/>
              <w:left w:val="nil"/>
              <w:bottom w:val="single" w:sz="4" w:space="0" w:color="auto"/>
              <w:right w:val="single" w:sz="4" w:space="0" w:color="auto"/>
            </w:tcBorders>
            <w:shd w:val="clear" w:color="auto" w:fill="auto"/>
            <w:noWrap/>
            <w:vAlign w:val="bottom"/>
            <w:hideMark/>
          </w:tcPr>
          <w:p w14:paraId="5627064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14:paraId="3227EB2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4074A3C3"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7C0AB2E9" w14:textId="77777777" w:rsidTr="00774937">
        <w:trPr>
          <w:trHeight w:val="112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C44CDC"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9156</w:t>
            </w:r>
          </w:p>
        </w:tc>
        <w:tc>
          <w:tcPr>
            <w:tcW w:w="1984" w:type="dxa"/>
            <w:tcBorders>
              <w:top w:val="nil"/>
              <w:left w:val="nil"/>
              <w:bottom w:val="single" w:sz="4" w:space="0" w:color="auto"/>
              <w:right w:val="single" w:sz="4" w:space="0" w:color="auto"/>
            </w:tcBorders>
            <w:shd w:val="clear" w:color="auto" w:fill="auto"/>
            <w:vAlign w:val="bottom"/>
            <w:hideMark/>
          </w:tcPr>
          <w:p w14:paraId="61C55901" w14:textId="77777777" w:rsidR="00C27261" w:rsidRPr="00650D66" w:rsidRDefault="00C27261" w:rsidP="00FE694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indemnizațiile pentru incapacitatea temporară de muncă achitate din contul angajatorului</w:t>
            </w:r>
          </w:p>
        </w:tc>
        <w:tc>
          <w:tcPr>
            <w:tcW w:w="1159" w:type="dxa"/>
            <w:tcBorders>
              <w:top w:val="nil"/>
              <w:left w:val="nil"/>
              <w:bottom w:val="single" w:sz="4" w:space="0" w:color="auto"/>
              <w:right w:val="single" w:sz="4" w:space="0" w:color="auto"/>
            </w:tcBorders>
            <w:shd w:val="clear" w:color="auto" w:fill="auto"/>
            <w:noWrap/>
            <w:vAlign w:val="bottom"/>
            <w:hideMark/>
          </w:tcPr>
          <w:p w14:paraId="6AF4675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388,00</w:t>
            </w:r>
          </w:p>
        </w:tc>
        <w:tc>
          <w:tcPr>
            <w:tcW w:w="913" w:type="dxa"/>
            <w:tcBorders>
              <w:top w:val="nil"/>
              <w:left w:val="nil"/>
              <w:bottom w:val="single" w:sz="4" w:space="0" w:color="auto"/>
              <w:right w:val="single" w:sz="4" w:space="0" w:color="auto"/>
            </w:tcBorders>
            <w:shd w:val="clear" w:color="auto" w:fill="auto"/>
            <w:noWrap/>
            <w:vAlign w:val="bottom"/>
            <w:hideMark/>
          </w:tcPr>
          <w:p w14:paraId="3D2D1E4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06EEF03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178356B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470,07</w:t>
            </w:r>
          </w:p>
        </w:tc>
        <w:tc>
          <w:tcPr>
            <w:tcW w:w="914" w:type="dxa"/>
            <w:tcBorders>
              <w:top w:val="nil"/>
              <w:left w:val="nil"/>
              <w:bottom w:val="single" w:sz="4" w:space="0" w:color="auto"/>
              <w:right w:val="single" w:sz="4" w:space="0" w:color="auto"/>
            </w:tcBorders>
            <w:shd w:val="clear" w:color="auto" w:fill="auto"/>
            <w:noWrap/>
            <w:vAlign w:val="bottom"/>
            <w:hideMark/>
          </w:tcPr>
          <w:p w14:paraId="24A1617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E24458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308B3FB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476,45</w:t>
            </w:r>
          </w:p>
        </w:tc>
        <w:tc>
          <w:tcPr>
            <w:tcW w:w="914" w:type="dxa"/>
            <w:tcBorders>
              <w:top w:val="nil"/>
              <w:left w:val="nil"/>
              <w:bottom w:val="single" w:sz="4" w:space="0" w:color="auto"/>
              <w:right w:val="single" w:sz="4" w:space="0" w:color="auto"/>
            </w:tcBorders>
            <w:shd w:val="clear" w:color="auto" w:fill="auto"/>
            <w:noWrap/>
            <w:vAlign w:val="bottom"/>
            <w:hideMark/>
          </w:tcPr>
          <w:p w14:paraId="6917AE0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4C7D753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04061A1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637,80</w:t>
            </w:r>
          </w:p>
        </w:tc>
        <w:tc>
          <w:tcPr>
            <w:tcW w:w="983" w:type="dxa"/>
            <w:tcBorders>
              <w:top w:val="nil"/>
              <w:left w:val="nil"/>
              <w:bottom w:val="single" w:sz="4" w:space="0" w:color="auto"/>
              <w:right w:val="single" w:sz="4" w:space="0" w:color="auto"/>
            </w:tcBorders>
            <w:shd w:val="clear" w:color="auto" w:fill="auto"/>
            <w:noWrap/>
            <w:vAlign w:val="bottom"/>
            <w:hideMark/>
          </w:tcPr>
          <w:p w14:paraId="7924BCA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11661EA6"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15B280FA"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1D258B26"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17E8869"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lastRenderedPageBreak/>
              <w:t>9157</w:t>
            </w:r>
          </w:p>
        </w:tc>
        <w:tc>
          <w:tcPr>
            <w:tcW w:w="1984" w:type="dxa"/>
            <w:tcBorders>
              <w:top w:val="nil"/>
              <w:left w:val="nil"/>
              <w:bottom w:val="single" w:sz="4" w:space="0" w:color="auto"/>
              <w:right w:val="single" w:sz="4" w:space="0" w:color="auto"/>
            </w:tcBorders>
            <w:shd w:val="clear" w:color="auto" w:fill="auto"/>
            <w:vAlign w:val="bottom"/>
            <w:hideMark/>
          </w:tcPr>
          <w:p w14:paraId="2E43F00C" w14:textId="77777777" w:rsidR="00C27261" w:rsidRPr="00650D66" w:rsidRDefault="00C27261" w:rsidP="00C60F8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delegarea personalului BNM</w:t>
            </w:r>
          </w:p>
        </w:tc>
        <w:tc>
          <w:tcPr>
            <w:tcW w:w="1159" w:type="dxa"/>
            <w:tcBorders>
              <w:top w:val="nil"/>
              <w:left w:val="nil"/>
              <w:bottom w:val="single" w:sz="4" w:space="0" w:color="auto"/>
              <w:right w:val="single" w:sz="4" w:space="0" w:color="auto"/>
            </w:tcBorders>
            <w:shd w:val="clear" w:color="auto" w:fill="auto"/>
            <w:noWrap/>
            <w:vAlign w:val="bottom"/>
            <w:hideMark/>
          </w:tcPr>
          <w:p w14:paraId="7F5CD64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1.871,59</w:t>
            </w:r>
          </w:p>
        </w:tc>
        <w:tc>
          <w:tcPr>
            <w:tcW w:w="913" w:type="dxa"/>
            <w:tcBorders>
              <w:top w:val="nil"/>
              <w:left w:val="nil"/>
              <w:bottom w:val="single" w:sz="4" w:space="0" w:color="auto"/>
              <w:right w:val="single" w:sz="4" w:space="0" w:color="auto"/>
            </w:tcBorders>
            <w:shd w:val="clear" w:color="auto" w:fill="auto"/>
            <w:noWrap/>
            <w:vAlign w:val="bottom"/>
            <w:hideMark/>
          </w:tcPr>
          <w:p w14:paraId="2795141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1D2FCBE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4DAD72A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111,77</w:t>
            </w:r>
          </w:p>
        </w:tc>
        <w:tc>
          <w:tcPr>
            <w:tcW w:w="914" w:type="dxa"/>
            <w:tcBorders>
              <w:top w:val="nil"/>
              <w:left w:val="nil"/>
              <w:bottom w:val="single" w:sz="4" w:space="0" w:color="auto"/>
              <w:right w:val="single" w:sz="4" w:space="0" w:color="auto"/>
            </w:tcBorders>
            <w:shd w:val="clear" w:color="auto" w:fill="auto"/>
            <w:noWrap/>
            <w:vAlign w:val="bottom"/>
            <w:hideMark/>
          </w:tcPr>
          <w:p w14:paraId="1214F49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F8495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7821FAB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50,39</w:t>
            </w:r>
          </w:p>
        </w:tc>
        <w:tc>
          <w:tcPr>
            <w:tcW w:w="914" w:type="dxa"/>
            <w:tcBorders>
              <w:top w:val="nil"/>
              <w:left w:val="nil"/>
              <w:bottom w:val="single" w:sz="4" w:space="0" w:color="auto"/>
              <w:right w:val="single" w:sz="4" w:space="0" w:color="auto"/>
            </w:tcBorders>
            <w:shd w:val="clear" w:color="auto" w:fill="auto"/>
            <w:noWrap/>
            <w:vAlign w:val="bottom"/>
            <w:hideMark/>
          </w:tcPr>
          <w:p w14:paraId="4A9D6C6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1455289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22036CB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1.515,30</w:t>
            </w:r>
          </w:p>
        </w:tc>
        <w:tc>
          <w:tcPr>
            <w:tcW w:w="983" w:type="dxa"/>
            <w:tcBorders>
              <w:top w:val="nil"/>
              <w:left w:val="nil"/>
              <w:bottom w:val="single" w:sz="4" w:space="0" w:color="auto"/>
              <w:right w:val="single" w:sz="4" w:space="0" w:color="auto"/>
            </w:tcBorders>
            <w:shd w:val="clear" w:color="auto" w:fill="auto"/>
            <w:noWrap/>
            <w:vAlign w:val="bottom"/>
            <w:hideMark/>
          </w:tcPr>
          <w:p w14:paraId="786EA15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14:paraId="47305FE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25DCA7FE"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692B7B1F" w14:textId="77777777" w:rsidTr="004B49C8">
        <w:trPr>
          <w:trHeight w:val="8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457FC68"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9158</w:t>
            </w:r>
          </w:p>
        </w:tc>
        <w:tc>
          <w:tcPr>
            <w:tcW w:w="1984" w:type="dxa"/>
            <w:tcBorders>
              <w:top w:val="nil"/>
              <w:left w:val="nil"/>
              <w:bottom w:val="single" w:sz="4" w:space="0" w:color="auto"/>
              <w:right w:val="single" w:sz="4" w:space="0" w:color="auto"/>
            </w:tcBorders>
            <w:shd w:val="clear" w:color="auto" w:fill="auto"/>
            <w:vAlign w:val="bottom"/>
            <w:hideMark/>
          </w:tcPr>
          <w:p w14:paraId="7E7B062F" w14:textId="77777777" w:rsidR="00C27261" w:rsidRPr="00650D66" w:rsidRDefault="00C27261" w:rsidP="00C60F8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pregătirea </w:t>
            </w:r>
            <w:r w:rsidR="004E4E19" w:rsidRPr="00650D66">
              <w:rPr>
                <w:rFonts w:ascii="Times New Roman" w:eastAsia="Times New Roman" w:hAnsi="Times New Roman" w:cs="Times New Roman"/>
                <w:color w:val="000000"/>
                <w:sz w:val="18"/>
                <w:szCs w:val="18"/>
                <w:lang w:val="ro-RO"/>
              </w:rPr>
              <w:t>și</w:t>
            </w:r>
            <w:r w:rsidRPr="00650D66">
              <w:rPr>
                <w:rFonts w:ascii="Times New Roman" w:eastAsia="Times New Roman" w:hAnsi="Times New Roman" w:cs="Times New Roman"/>
                <w:color w:val="000000"/>
                <w:sz w:val="18"/>
                <w:szCs w:val="18"/>
                <w:lang w:val="ro-RO"/>
              </w:rPr>
              <w:t xml:space="preserve"> </w:t>
            </w:r>
            <w:r w:rsidR="004E4E19" w:rsidRPr="00650D66">
              <w:rPr>
                <w:rFonts w:ascii="Times New Roman" w:eastAsia="Times New Roman" w:hAnsi="Times New Roman" w:cs="Times New Roman"/>
                <w:color w:val="000000"/>
                <w:sz w:val="18"/>
                <w:szCs w:val="18"/>
                <w:lang w:val="ro-RO"/>
              </w:rPr>
              <w:t>perfecționarea</w:t>
            </w:r>
            <w:r w:rsidRPr="00650D66">
              <w:rPr>
                <w:rFonts w:ascii="Times New Roman" w:eastAsia="Times New Roman" w:hAnsi="Times New Roman" w:cs="Times New Roman"/>
                <w:color w:val="000000"/>
                <w:sz w:val="18"/>
                <w:szCs w:val="18"/>
                <w:lang w:val="ro-RO"/>
              </w:rPr>
              <w:t xml:space="preserve"> personalului</w:t>
            </w:r>
          </w:p>
        </w:tc>
        <w:tc>
          <w:tcPr>
            <w:tcW w:w="1159" w:type="dxa"/>
            <w:tcBorders>
              <w:top w:val="nil"/>
              <w:left w:val="nil"/>
              <w:bottom w:val="single" w:sz="4" w:space="0" w:color="auto"/>
              <w:right w:val="single" w:sz="4" w:space="0" w:color="auto"/>
            </w:tcBorders>
            <w:shd w:val="clear" w:color="auto" w:fill="auto"/>
            <w:noWrap/>
            <w:vAlign w:val="bottom"/>
            <w:hideMark/>
          </w:tcPr>
          <w:p w14:paraId="50A9223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2.983,89</w:t>
            </w:r>
          </w:p>
        </w:tc>
        <w:tc>
          <w:tcPr>
            <w:tcW w:w="913" w:type="dxa"/>
            <w:tcBorders>
              <w:top w:val="nil"/>
              <w:left w:val="nil"/>
              <w:bottom w:val="single" w:sz="4" w:space="0" w:color="auto"/>
              <w:right w:val="single" w:sz="4" w:space="0" w:color="auto"/>
            </w:tcBorders>
            <w:shd w:val="clear" w:color="auto" w:fill="auto"/>
            <w:noWrap/>
            <w:vAlign w:val="bottom"/>
            <w:hideMark/>
          </w:tcPr>
          <w:p w14:paraId="0391D26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0C406A2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1E35BD6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737,11</w:t>
            </w:r>
          </w:p>
        </w:tc>
        <w:tc>
          <w:tcPr>
            <w:tcW w:w="914" w:type="dxa"/>
            <w:tcBorders>
              <w:top w:val="nil"/>
              <w:left w:val="nil"/>
              <w:bottom w:val="single" w:sz="4" w:space="0" w:color="auto"/>
              <w:right w:val="single" w:sz="4" w:space="0" w:color="auto"/>
            </w:tcBorders>
            <w:shd w:val="clear" w:color="auto" w:fill="auto"/>
            <w:noWrap/>
            <w:vAlign w:val="bottom"/>
            <w:hideMark/>
          </w:tcPr>
          <w:p w14:paraId="0EB0D53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0F077E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1435638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604,16</w:t>
            </w:r>
          </w:p>
        </w:tc>
        <w:tc>
          <w:tcPr>
            <w:tcW w:w="914" w:type="dxa"/>
            <w:tcBorders>
              <w:top w:val="nil"/>
              <w:left w:val="nil"/>
              <w:bottom w:val="single" w:sz="4" w:space="0" w:color="auto"/>
              <w:right w:val="single" w:sz="4" w:space="0" w:color="auto"/>
            </w:tcBorders>
            <w:shd w:val="clear" w:color="auto" w:fill="auto"/>
            <w:noWrap/>
            <w:vAlign w:val="bottom"/>
            <w:hideMark/>
          </w:tcPr>
          <w:p w14:paraId="5F377D1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6EC5E54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38F957B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1.624,41</w:t>
            </w:r>
          </w:p>
        </w:tc>
        <w:tc>
          <w:tcPr>
            <w:tcW w:w="983" w:type="dxa"/>
            <w:tcBorders>
              <w:top w:val="nil"/>
              <w:left w:val="nil"/>
              <w:bottom w:val="single" w:sz="4" w:space="0" w:color="auto"/>
              <w:right w:val="single" w:sz="4" w:space="0" w:color="auto"/>
            </w:tcBorders>
            <w:shd w:val="clear" w:color="auto" w:fill="auto"/>
            <w:noWrap/>
            <w:vAlign w:val="bottom"/>
            <w:hideMark/>
          </w:tcPr>
          <w:p w14:paraId="50A6E49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14:paraId="2D9D52C6"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077D3373"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075662AE" w14:textId="77777777" w:rsidTr="003601C5">
        <w:trPr>
          <w:trHeight w:val="672"/>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441F44E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9160</w:t>
            </w:r>
          </w:p>
        </w:tc>
        <w:tc>
          <w:tcPr>
            <w:tcW w:w="1984" w:type="dxa"/>
            <w:tcBorders>
              <w:top w:val="nil"/>
              <w:left w:val="nil"/>
              <w:bottom w:val="single" w:sz="4" w:space="0" w:color="auto"/>
              <w:right w:val="single" w:sz="4" w:space="0" w:color="auto"/>
            </w:tcBorders>
            <w:shd w:val="clear" w:color="000000" w:fill="F2F2F2"/>
            <w:vAlign w:val="center"/>
            <w:hideMark/>
          </w:tcPr>
          <w:p w14:paraId="7EA245CC"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asigurările obligatorii și facultative</w:t>
            </w:r>
          </w:p>
        </w:tc>
        <w:tc>
          <w:tcPr>
            <w:tcW w:w="1159" w:type="dxa"/>
            <w:tcBorders>
              <w:top w:val="nil"/>
              <w:left w:val="nil"/>
              <w:bottom w:val="single" w:sz="4" w:space="0" w:color="auto"/>
              <w:right w:val="single" w:sz="4" w:space="0" w:color="auto"/>
            </w:tcBorders>
            <w:shd w:val="clear" w:color="000000" w:fill="F2F2F2"/>
            <w:noWrap/>
            <w:vAlign w:val="center"/>
            <w:hideMark/>
          </w:tcPr>
          <w:p w14:paraId="325CB00D"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34.287,40 </w:t>
            </w:r>
          </w:p>
        </w:tc>
        <w:tc>
          <w:tcPr>
            <w:tcW w:w="913" w:type="dxa"/>
            <w:tcBorders>
              <w:top w:val="nil"/>
              <w:left w:val="nil"/>
              <w:bottom w:val="single" w:sz="4" w:space="0" w:color="auto"/>
              <w:right w:val="single" w:sz="4" w:space="0" w:color="auto"/>
            </w:tcBorders>
            <w:shd w:val="clear" w:color="000000" w:fill="F2F2F2"/>
            <w:noWrap/>
            <w:vAlign w:val="center"/>
            <w:hideMark/>
          </w:tcPr>
          <w:p w14:paraId="28DAAFD3"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689807F8"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81" w:type="dxa"/>
            <w:tcBorders>
              <w:top w:val="nil"/>
              <w:left w:val="nil"/>
              <w:bottom w:val="single" w:sz="4" w:space="0" w:color="auto"/>
              <w:right w:val="single" w:sz="4" w:space="0" w:color="auto"/>
            </w:tcBorders>
            <w:shd w:val="clear" w:color="000000" w:fill="F2F2F2"/>
            <w:noWrap/>
            <w:vAlign w:val="center"/>
            <w:hideMark/>
          </w:tcPr>
          <w:p w14:paraId="2B769886"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33.430,79 </w:t>
            </w:r>
          </w:p>
        </w:tc>
        <w:tc>
          <w:tcPr>
            <w:tcW w:w="914" w:type="dxa"/>
            <w:tcBorders>
              <w:top w:val="nil"/>
              <w:left w:val="nil"/>
              <w:bottom w:val="single" w:sz="4" w:space="0" w:color="auto"/>
              <w:right w:val="single" w:sz="4" w:space="0" w:color="auto"/>
            </w:tcBorders>
            <w:shd w:val="clear" w:color="000000" w:fill="F2F2F2"/>
            <w:noWrap/>
            <w:vAlign w:val="center"/>
            <w:hideMark/>
          </w:tcPr>
          <w:p w14:paraId="7FC627F0"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6FF72B87"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784DD84B"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36.842,04 </w:t>
            </w:r>
          </w:p>
        </w:tc>
        <w:tc>
          <w:tcPr>
            <w:tcW w:w="914" w:type="dxa"/>
            <w:tcBorders>
              <w:top w:val="nil"/>
              <w:left w:val="nil"/>
              <w:bottom w:val="single" w:sz="4" w:space="0" w:color="auto"/>
              <w:right w:val="single" w:sz="4" w:space="0" w:color="auto"/>
            </w:tcBorders>
            <w:shd w:val="clear" w:color="000000" w:fill="F2F2F2"/>
            <w:noWrap/>
            <w:vAlign w:val="center"/>
            <w:hideMark/>
          </w:tcPr>
          <w:p w14:paraId="5D6FB7FF"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21F28A2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25" w:type="dxa"/>
            <w:tcBorders>
              <w:top w:val="nil"/>
              <w:left w:val="nil"/>
              <w:bottom w:val="single" w:sz="4" w:space="0" w:color="auto"/>
              <w:right w:val="single" w:sz="4" w:space="0" w:color="auto"/>
            </w:tcBorders>
            <w:shd w:val="clear" w:color="000000" w:fill="F2F2F2"/>
            <w:noWrap/>
            <w:vAlign w:val="center"/>
            <w:hideMark/>
          </w:tcPr>
          <w:p w14:paraId="70A9DB51"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49.631,04 </w:t>
            </w:r>
          </w:p>
        </w:tc>
        <w:tc>
          <w:tcPr>
            <w:tcW w:w="983" w:type="dxa"/>
            <w:tcBorders>
              <w:top w:val="nil"/>
              <w:left w:val="nil"/>
              <w:bottom w:val="single" w:sz="4" w:space="0" w:color="auto"/>
              <w:right w:val="single" w:sz="4" w:space="0" w:color="auto"/>
            </w:tcBorders>
            <w:shd w:val="clear" w:color="000000" w:fill="F2F2F2"/>
            <w:noWrap/>
            <w:vAlign w:val="center"/>
            <w:hideMark/>
          </w:tcPr>
          <w:p w14:paraId="3F4FAFA2"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6F11A168"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center"/>
            <w:hideMark/>
          </w:tcPr>
          <w:p w14:paraId="1269FE88"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&gt;15%</w:t>
            </w:r>
          </w:p>
        </w:tc>
      </w:tr>
      <w:tr w:rsidR="00B95F09" w:rsidRPr="00650D66" w14:paraId="47C21B53" w14:textId="77777777" w:rsidTr="00BE5E87">
        <w:trPr>
          <w:trHeight w:val="44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8145454" w14:textId="77777777" w:rsidR="00C27261" w:rsidRPr="00650D66" w:rsidRDefault="00C27261" w:rsidP="001522E0">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9161</w:t>
            </w:r>
          </w:p>
        </w:tc>
        <w:tc>
          <w:tcPr>
            <w:tcW w:w="1984" w:type="dxa"/>
            <w:tcBorders>
              <w:top w:val="nil"/>
              <w:left w:val="nil"/>
              <w:bottom w:val="single" w:sz="4" w:space="0" w:color="auto"/>
              <w:right w:val="single" w:sz="4" w:space="0" w:color="auto"/>
            </w:tcBorders>
            <w:shd w:val="clear" w:color="auto" w:fill="auto"/>
            <w:vAlign w:val="center"/>
            <w:hideMark/>
          </w:tcPr>
          <w:p w14:paraId="5EF3C6F2" w14:textId="77777777" w:rsidR="00C27261" w:rsidRPr="00650D66" w:rsidRDefault="00E22D79"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Contribuțiile</w:t>
            </w:r>
            <w:r w:rsidR="00C27261" w:rsidRPr="00650D66">
              <w:rPr>
                <w:rFonts w:ascii="Times New Roman" w:eastAsia="Times New Roman" w:hAnsi="Times New Roman" w:cs="Times New Roman"/>
                <w:color w:val="000000"/>
                <w:sz w:val="18"/>
                <w:szCs w:val="18"/>
                <w:lang w:val="ro-RO"/>
              </w:rPr>
              <w:t xml:space="preserve"> asigurărilor sociale </w:t>
            </w:r>
          </w:p>
        </w:tc>
        <w:tc>
          <w:tcPr>
            <w:tcW w:w="1159" w:type="dxa"/>
            <w:tcBorders>
              <w:top w:val="nil"/>
              <w:left w:val="nil"/>
              <w:bottom w:val="single" w:sz="4" w:space="0" w:color="auto"/>
              <w:right w:val="single" w:sz="4" w:space="0" w:color="auto"/>
            </w:tcBorders>
            <w:shd w:val="clear" w:color="auto" w:fill="auto"/>
            <w:noWrap/>
            <w:vAlign w:val="center"/>
            <w:hideMark/>
          </w:tcPr>
          <w:p w14:paraId="4924271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28.633,25</w:t>
            </w:r>
          </w:p>
        </w:tc>
        <w:tc>
          <w:tcPr>
            <w:tcW w:w="913" w:type="dxa"/>
            <w:tcBorders>
              <w:top w:val="nil"/>
              <w:left w:val="nil"/>
              <w:bottom w:val="single" w:sz="4" w:space="0" w:color="auto"/>
              <w:right w:val="single" w:sz="4" w:space="0" w:color="auto"/>
            </w:tcBorders>
            <w:shd w:val="clear" w:color="auto" w:fill="auto"/>
            <w:noWrap/>
            <w:vAlign w:val="center"/>
            <w:hideMark/>
          </w:tcPr>
          <w:p w14:paraId="0AFCED9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84%</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24333E8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center"/>
            <w:hideMark/>
          </w:tcPr>
          <w:p w14:paraId="5CF1986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28.448,21</w:t>
            </w:r>
          </w:p>
        </w:tc>
        <w:tc>
          <w:tcPr>
            <w:tcW w:w="914" w:type="dxa"/>
            <w:tcBorders>
              <w:top w:val="nil"/>
              <w:left w:val="nil"/>
              <w:bottom w:val="single" w:sz="4" w:space="0" w:color="auto"/>
              <w:right w:val="single" w:sz="4" w:space="0" w:color="auto"/>
            </w:tcBorders>
            <w:shd w:val="clear" w:color="auto" w:fill="auto"/>
            <w:noWrap/>
            <w:vAlign w:val="center"/>
            <w:hideMark/>
          </w:tcPr>
          <w:p w14:paraId="3B6F9FF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457F78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7DBFF67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36.733,31</w:t>
            </w:r>
          </w:p>
        </w:tc>
        <w:tc>
          <w:tcPr>
            <w:tcW w:w="914" w:type="dxa"/>
            <w:tcBorders>
              <w:top w:val="nil"/>
              <w:left w:val="nil"/>
              <w:bottom w:val="single" w:sz="4" w:space="0" w:color="auto"/>
              <w:right w:val="single" w:sz="4" w:space="0" w:color="auto"/>
            </w:tcBorders>
            <w:shd w:val="clear" w:color="auto" w:fill="auto"/>
            <w:noWrap/>
            <w:vAlign w:val="center"/>
            <w:hideMark/>
          </w:tcPr>
          <w:p w14:paraId="485F402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092DA51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center"/>
            <w:hideMark/>
          </w:tcPr>
          <w:p w14:paraId="3723134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49.529,31</w:t>
            </w:r>
          </w:p>
        </w:tc>
        <w:tc>
          <w:tcPr>
            <w:tcW w:w="983" w:type="dxa"/>
            <w:tcBorders>
              <w:top w:val="nil"/>
              <w:left w:val="nil"/>
              <w:bottom w:val="single" w:sz="4" w:space="0" w:color="auto"/>
              <w:right w:val="single" w:sz="4" w:space="0" w:color="auto"/>
            </w:tcBorders>
            <w:shd w:val="clear" w:color="auto" w:fill="auto"/>
            <w:noWrap/>
            <w:vAlign w:val="center"/>
            <w:hideMark/>
          </w:tcPr>
          <w:p w14:paraId="57A8A12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5" w:type="dxa"/>
            <w:tcBorders>
              <w:top w:val="nil"/>
              <w:left w:val="nil"/>
              <w:bottom w:val="single" w:sz="4" w:space="0" w:color="auto"/>
              <w:right w:val="single" w:sz="4" w:space="0" w:color="auto"/>
            </w:tcBorders>
            <w:shd w:val="clear" w:color="auto" w:fill="auto"/>
            <w:noWrap/>
            <w:vAlign w:val="center"/>
            <w:hideMark/>
          </w:tcPr>
          <w:p w14:paraId="7B3A4A3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center"/>
            <w:hideMark/>
          </w:tcPr>
          <w:p w14:paraId="063F5C3C"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0663ED95" w14:textId="77777777" w:rsidTr="00BE5E87">
        <w:trPr>
          <w:trHeight w:val="5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9F1B76"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9162</w:t>
            </w:r>
          </w:p>
        </w:tc>
        <w:tc>
          <w:tcPr>
            <w:tcW w:w="1984" w:type="dxa"/>
            <w:tcBorders>
              <w:top w:val="nil"/>
              <w:left w:val="nil"/>
              <w:bottom w:val="single" w:sz="4" w:space="0" w:color="auto"/>
              <w:right w:val="single" w:sz="4" w:space="0" w:color="auto"/>
            </w:tcBorders>
            <w:shd w:val="clear" w:color="auto" w:fill="auto"/>
            <w:vAlign w:val="center"/>
            <w:hideMark/>
          </w:tcPr>
          <w:p w14:paraId="7EED75AD"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Primele de asigurare obligatorie de </w:t>
            </w:r>
            <w:r w:rsidR="00E22D79" w:rsidRPr="00650D66">
              <w:rPr>
                <w:rFonts w:ascii="Times New Roman" w:eastAsia="Times New Roman" w:hAnsi="Times New Roman" w:cs="Times New Roman"/>
                <w:color w:val="000000"/>
                <w:sz w:val="18"/>
                <w:szCs w:val="18"/>
                <w:lang w:val="ro-RO"/>
              </w:rPr>
              <w:t>asistență</w:t>
            </w:r>
            <w:r w:rsidRPr="00650D66">
              <w:rPr>
                <w:rFonts w:ascii="Times New Roman" w:eastAsia="Times New Roman" w:hAnsi="Times New Roman" w:cs="Times New Roman"/>
                <w:color w:val="000000"/>
                <w:sz w:val="18"/>
                <w:szCs w:val="18"/>
                <w:lang w:val="ro-RO"/>
              </w:rPr>
              <w:t xml:space="preserve"> medicală </w:t>
            </w:r>
          </w:p>
        </w:tc>
        <w:tc>
          <w:tcPr>
            <w:tcW w:w="1159" w:type="dxa"/>
            <w:tcBorders>
              <w:top w:val="nil"/>
              <w:left w:val="nil"/>
              <w:bottom w:val="single" w:sz="4" w:space="0" w:color="auto"/>
              <w:right w:val="single" w:sz="4" w:space="0" w:color="auto"/>
            </w:tcBorders>
            <w:shd w:val="clear" w:color="auto" w:fill="auto"/>
            <w:noWrap/>
            <w:vAlign w:val="center"/>
            <w:hideMark/>
          </w:tcPr>
          <w:p w14:paraId="76C858C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5.597,62</w:t>
            </w:r>
          </w:p>
        </w:tc>
        <w:tc>
          <w:tcPr>
            <w:tcW w:w="913" w:type="dxa"/>
            <w:tcBorders>
              <w:top w:val="nil"/>
              <w:left w:val="nil"/>
              <w:bottom w:val="single" w:sz="4" w:space="0" w:color="auto"/>
              <w:right w:val="single" w:sz="4" w:space="0" w:color="auto"/>
            </w:tcBorders>
            <w:shd w:val="clear" w:color="auto" w:fill="auto"/>
            <w:noWrap/>
            <w:vAlign w:val="center"/>
            <w:hideMark/>
          </w:tcPr>
          <w:p w14:paraId="7F025F3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190AF51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center"/>
            <w:hideMark/>
          </w:tcPr>
          <w:p w14:paraId="5468DA1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4.916,17</w:t>
            </w:r>
          </w:p>
        </w:tc>
        <w:tc>
          <w:tcPr>
            <w:tcW w:w="914" w:type="dxa"/>
            <w:tcBorders>
              <w:top w:val="nil"/>
              <w:left w:val="nil"/>
              <w:bottom w:val="single" w:sz="4" w:space="0" w:color="auto"/>
              <w:right w:val="single" w:sz="4" w:space="0" w:color="auto"/>
            </w:tcBorders>
            <w:shd w:val="clear" w:color="auto" w:fill="auto"/>
            <w:noWrap/>
            <w:vAlign w:val="center"/>
            <w:hideMark/>
          </w:tcPr>
          <w:p w14:paraId="55840F7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52BB1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6EDF962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8,55</w:t>
            </w:r>
          </w:p>
        </w:tc>
        <w:tc>
          <w:tcPr>
            <w:tcW w:w="914" w:type="dxa"/>
            <w:tcBorders>
              <w:top w:val="nil"/>
              <w:left w:val="nil"/>
              <w:bottom w:val="single" w:sz="4" w:space="0" w:color="auto"/>
              <w:right w:val="single" w:sz="4" w:space="0" w:color="auto"/>
            </w:tcBorders>
            <w:shd w:val="clear" w:color="auto" w:fill="auto"/>
            <w:noWrap/>
            <w:vAlign w:val="center"/>
            <w:hideMark/>
          </w:tcPr>
          <w:p w14:paraId="128F3BB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1BF3B41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14:paraId="6F5024C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p>
        </w:tc>
        <w:tc>
          <w:tcPr>
            <w:tcW w:w="983" w:type="dxa"/>
            <w:tcBorders>
              <w:top w:val="nil"/>
              <w:left w:val="nil"/>
              <w:bottom w:val="single" w:sz="4" w:space="0" w:color="auto"/>
              <w:right w:val="single" w:sz="4" w:space="0" w:color="auto"/>
            </w:tcBorders>
            <w:shd w:val="clear" w:color="auto" w:fill="auto"/>
            <w:noWrap/>
            <w:vAlign w:val="center"/>
            <w:hideMark/>
          </w:tcPr>
          <w:p w14:paraId="709ED08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17B207A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center"/>
            <w:hideMark/>
          </w:tcPr>
          <w:p w14:paraId="23DD932D"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2597CAF5" w14:textId="77777777" w:rsidTr="003601C5">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29E2480"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9163</w:t>
            </w:r>
          </w:p>
        </w:tc>
        <w:tc>
          <w:tcPr>
            <w:tcW w:w="1984" w:type="dxa"/>
            <w:tcBorders>
              <w:top w:val="nil"/>
              <w:left w:val="nil"/>
              <w:bottom w:val="single" w:sz="4" w:space="0" w:color="auto"/>
              <w:right w:val="single" w:sz="4" w:space="0" w:color="auto"/>
            </w:tcBorders>
            <w:shd w:val="clear" w:color="auto" w:fill="auto"/>
            <w:vAlign w:val="center"/>
            <w:hideMark/>
          </w:tcPr>
          <w:p w14:paraId="47EB2541"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asigurarea personalului BNM</w:t>
            </w:r>
          </w:p>
        </w:tc>
        <w:tc>
          <w:tcPr>
            <w:tcW w:w="1159" w:type="dxa"/>
            <w:tcBorders>
              <w:top w:val="nil"/>
              <w:left w:val="nil"/>
              <w:bottom w:val="single" w:sz="4" w:space="0" w:color="auto"/>
              <w:right w:val="single" w:sz="4" w:space="0" w:color="auto"/>
            </w:tcBorders>
            <w:shd w:val="clear" w:color="auto" w:fill="auto"/>
            <w:noWrap/>
            <w:vAlign w:val="center"/>
            <w:hideMark/>
          </w:tcPr>
          <w:p w14:paraId="230117E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3,09</w:t>
            </w:r>
          </w:p>
        </w:tc>
        <w:tc>
          <w:tcPr>
            <w:tcW w:w="913" w:type="dxa"/>
            <w:tcBorders>
              <w:top w:val="nil"/>
              <w:left w:val="nil"/>
              <w:bottom w:val="single" w:sz="4" w:space="0" w:color="auto"/>
              <w:right w:val="single" w:sz="4" w:space="0" w:color="auto"/>
            </w:tcBorders>
            <w:shd w:val="clear" w:color="auto" w:fill="auto"/>
            <w:noWrap/>
            <w:vAlign w:val="center"/>
            <w:hideMark/>
          </w:tcPr>
          <w:p w14:paraId="7BFE412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6417096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center"/>
            <w:hideMark/>
          </w:tcPr>
          <w:p w14:paraId="62D18FB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2,62</w:t>
            </w:r>
          </w:p>
        </w:tc>
        <w:tc>
          <w:tcPr>
            <w:tcW w:w="914" w:type="dxa"/>
            <w:tcBorders>
              <w:top w:val="nil"/>
              <w:left w:val="nil"/>
              <w:bottom w:val="single" w:sz="4" w:space="0" w:color="auto"/>
              <w:right w:val="single" w:sz="4" w:space="0" w:color="auto"/>
            </w:tcBorders>
            <w:shd w:val="clear" w:color="auto" w:fill="auto"/>
            <w:noWrap/>
            <w:vAlign w:val="center"/>
            <w:hideMark/>
          </w:tcPr>
          <w:p w14:paraId="1C830F4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EE390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500E0B9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5,18</w:t>
            </w:r>
          </w:p>
        </w:tc>
        <w:tc>
          <w:tcPr>
            <w:tcW w:w="914" w:type="dxa"/>
            <w:tcBorders>
              <w:top w:val="nil"/>
              <w:left w:val="nil"/>
              <w:bottom w:val="single" w:sz="4" w:space="0" w:color="auto"/>
              <w:right w:val="single" w:sz="4" w:space="0" w:color="auto"/>
            </w:tcBorders>
            <w:shd w:val="clear" w:color="auto" w:fill="auto"/>
            <w:noWrap/>
            <w:vAlign w:val="center"/>
            <w:hideMark/>
          </w:tcPr>
          <w:p w14:paraId="45DFA87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304E22A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14:paraId="40939F6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3,68</w:t>
            </w:r>
          </w:p>
        </w:tc>
        <w:tc>
          <w:tcPr>
            <w:tcW w:w="983" w:type="dxa"/>
            <w:tcBorders>
              <w:top w:val="nil"/>
              <w:left w:val="nil"/>
              <w:bottom w:val="single" w:sz="4" w:space="0" w:color="auto"/>
              <w:right w:val="single" w:sz="4" w:space="0" w:color="auto"/>
            </w:tcBorders>
            <w:shd w:val="clear" w:color="auto" w:fill="auto"/>
            <w:noWrap/>
            <w:vAlign w:val="center"/>
            <w:hideMark/>
          </w:tcPr>
          <w:p w14:paraId="7A572A9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7D0A3D4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center"/>
            <w:hideMark/>
          </w:tcPr>
          <w:p w14:paraId="0CDD6C7E"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6EA478C9" w14:textId="77777777" w:rsidTr="003601C5">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B51E0C9"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9164</w:t>
            </w:r>
          </w:p>
        </w:tc>
        <w:tc>
          <w:tcPr>
            <w:tcW w:w="1984" w:type="dxa"/>
            <w:tcBorders>
              <w:top w:val="nil"/>
              <w:left w:val="nil"/>
              <w:bottom w:val="single" w:sz="4" w:space="0" w:color="auto"/>
              <w:right w:val="single" w:sz="4" w:space="0" w:color="auto"/>
            </w:tcBorders>
            <w:shd w:val="clear" w:color="auto" w:fill="auto"/>
            <w:vAlign w:val="center"/>
            <w:hideMark/>
          </w:tcPr>
          <w:p w14:paraId="1F29594F"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asigurarea patrimoniului BNM </w:t>
            </w:r>
          </w:p>
        </w:tc>
        <w:tc>
          <w:tcPr>
            <w:tcW w:w="1159" w:type="dxa"/>
            <w:tcBorders>
              <w:top w:val="nil"/>
              <w:left w:val="nil"/>
              <w:bottom w:val="single" w:sz="4" w:space="0" w:color="auto"/>
              <w:right w:val="single" w:sz="4" w:space="0" w:color="auto"/>
            </w:tcBorders>
            <w:shd w:val="clear" w:color="auto" w:fill="auto"/>
            <w:noWrap/>
            <w:vAlign w:val="center"/>
            <w:hideMark/>
          </w:tcPr>
          <w:p w14:paraId="105400D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53,44</w:t>
            </w:r>
          </w:p>
        </w:tc>
        <w:tc>
          <w:tcPr>
            <w:tcW w:w="913" w:type="dxa"/>
            <w:tcBorders>
              <w:top w:val="nil"/>
              <w:left w:val="nil"/>
              <w:bottom w:val="single" w:sz="4" w:space="0" w:color="auto"/>
              <w:right w:val="single" w:sz="4" w:space="0" w:color="auto"/>
            </w:tcBorders>
            <w:shd w:val="clear" w:color="auto" w:fill="auto"/>
            <w:noWrap/>
            <w:vAlign w:val="center"/>
            <w:hideMark/>
          </w:tcPr>
          <w:p w14:paraId="01B038F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6085B91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center"/>
            <w:hideMark/>
          </w:tcPr>
          <w:p w14:paraId="051B6A8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63,79</w:t>
            </w:r>
          </w:p>
        </w:tc>
        <w:tc>
          <w:tcPr>
            <w:tcW w:w="914" w:type="dxa"/>
            <w:tcBorders>
              <w:top w:val="nil"/>
              <w:left w:val="nil"/>
              <w:bottom w:val="single" w:sz="4" w:space="0" w:color="auto"/>
              <w:right w:val="single" w:sz="4" w:space="0" w:color="auto"/>
            </w:tcBorders>
            <w:shd w:val="clear" w:color="auto" w:fill="auto"/>
            <w:noWrap/>
            <w:vAlign w:val="center"/>
            <w:hideMark/>
          </w:tcPr>
          <w:p w14:paraId="07D2711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F4A6EF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558F656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95,00</w:t>
            </w:r>
          </w:p>
        </w:tc>
        <w:tc>
          <w:tcPr>
            <w:tcW w:w="914" w:type="dxa"/>
            <w:tcBorders>
              <w:top w:val="nil"/>
              <w:left w:val="nil"/>
              <w:bottom w:val="single" w:sz="4" w:space="0" w:color="auto"/>
              <w:right w:val="single" w:sz="4" w:space="0" w:color="auto"/>
            </w:tcBorders>
            <w:shd w:val="clear" w:color="auto" w:fill="auto"/>
            <w:noWrap/>
            <w:vAlign w:val="center"/>
            <w:hideMark/>
          </w:tcPr>
          <w:p w14:paraId="7932D7D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2E8E693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center"/>
            <w:hideMark/>
          </w:tcPr>
          <w:p w14:paraId="2867E37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98,05</w:t>
            </w:r>
          </w:p>
        </w:tc>
        <w:tc>
          <w:tcPr>
            <w:tcW w:w="983" w:type="dxa"/>
            <w:tcBorders>
              <w:top w:val="nil"/>
              <w:left w:val="nil"/>
              <w:bottom w:val="single" w:sz="4" w:space="0" w:color="auto"/>
              <w:right w:val="single" w:sz="4" w:space="0" w:color="auto"/>
            </w:tcBorders>
            <w:shd w:val="clear" w:color="auto" w:fill="auto"/>
            <w:noWrap/>
            <w:vAlign w:val="center"/>
            <w:hideMark/>
          </w:tcPr>
          <w:p w14:paraId="348DF65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4530449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center"/>
            <w:hideMark/>
          </w:tcPr>
          <w:p w14:paraId="67C43EA7"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6681F44A" w14:textId="77777777" w:rsidTr="003601C5">
        <w:trPr>
          <w:trHeight w:val="169"/>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36BABB58"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9210</w:t>
            </w:r>
          </w:p>
        </w:tc>
        <w:tc>
          <w:tcPr>
            <w:tcW w:w="1984" w:type="dxa"/>
            <w:tcBorders>
              <w:top w:val="nil"/>
              <w:left w:val="nil"/>
              <w:bottom w:val="single" w:sz="4" w:space="0" w:color="auto"/>
              <w:right w:val="single" w:sz="4" w:space="0" w:color="auto"/>
            </w:tcBorders>
            <w:shd w:val="clear" w:color="000000" w:fill="F2F2F2"/>
            <w:vAlign w:val="center"/>
            <w:hideMark/>
          </w:tcPr>
          <w:p w14:paraId="34B1F06B"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generale</w:t>
            </w:r>
          </w:p>
        </w:tc>
        <w:tc>
          <w:tcPr>
            <w:tcW w:w="1159" w:type="dxa"/>
            <w:tcBorders>
              <w:top w:val="nil"/>
              <w:left w:val="nil"/>
              <w:bottom w:val="single" w:sz="4" w:space="0" w:color="auto"/>
              <w:right w:val="single" w:sz="4" w:space="0" w:color="auto"/>
            </w:tcBorders>
            <w:shd w:val="clear" w:color="000000" w:fill="F2F2F2"/>
            <w:noWrap/>
            <w:vAlign w:val="center"/>
            <w:hideMark/>
          </w:tcPr>
          <w:p w14:paraId="2960FD5B" w14:textId="77777777" w:rsidR="00C27261" w:rsidRPr="00650D66" w:rsidRDefault="003601C5"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13.278,5</w:t>
            </w:r>
            <w:r w:rsidR="00C27261" w:rsidRPr="00650D66">
              <w:rPr>
                <w:rFonts w:ascii="Times New Roman" w:eastAsia="Times New Roman" w:hAnsi="Times New Roman" w:cs="Times New Roman"/>
                <w:b/>
                <w:bCs/>
                <w:color w:val="000000"/>
                <w:sz w:val="18"/>
                <w:szCs w:val="18"/>
                <w:lang w:val="ro-RO"/>
              </w:rPr>
              <w:t xml:space="preserve"> </w:t>
            </w:r>
          </w:p>
        </w:tc>
        <w:tc>
          <w:tcPr>
            <w:tcW w:w="913" w:type="dxa"/>
            <w:tcBorders>
              <w:top w:val="nil"/>
              <w:left w:val="nil"/>
              <w:bottom w:val="single" w:sz="4" w:space="0" w:color="auto"/>
              <w:right w:val="single" w:sz="4" w:space="0" w:color="auto"/>
            </w:tcBorders>
            <w:shd w:val="clear" w:color="000000" w:fill="F2F2F2"/>
            <w:noWrap/>
            <w:vAlign w:val="center"/>
            <w:hideMark/>
          </w:tcPr>
          <w:p w14:paraId="08E466A7"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3D42B8EF"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981" w:type="dxa"/>
            <w:tcBorders>
              <w:top w:val="nil"/>
              <w:left w:val="nil"/>
              <w:bottom w:val="single" w:sz="4" w:space="0" w:color="auto"/>
              <w:right w:val="single" w:sz="4" w:space="0" w:color="auto"/>
            </w:tcBorders>
            <w:shd w:val="clear" w:color="000000" w:fill="F2F2F2"/>
            <w:noWrap/>
            <w:vAlign w:val="center"/>
            <w:hideMark/>
          </w:tcPr>
          <w:p w14:paraId="43BD7F5E" w14:textId="77777777" w:rsidR="00C27261" w:rsidRPr="00650D66" w:rsidRDefault="003601C5"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14.047,7</w:t>
            </w:r>
            <w:r w:rsidR="00C27261" w:rsidRPr="00650D66">
              <w:rPr>
                <w:rFonts w:ascii="Times New Roman" w:eastAsia="Times New Roman" w:hAnsi="Times New Roman" w:cs="Times New Roman"/>
                <w:b/>
                <w:bCs/>
                <w:color w:val="000000"/>
                <w:sz w:val="18"/>
                <w:szCs w:val="18"/>
                <w:lang w:val="ro-RO"/>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57CC0B1E"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49D37329"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4FF5D000" w14:textId="77777777" w:rsidR="00C27261" w:rsidRPr="00650D66" w:rsidRDefault="003601C5"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13.979,3</w:t>
            </w:r>
          </w:p>
        </w:tc>
        <w:tc>
          <w:tcPr>
            <w:tcW w:w="914" w:type="dxa"/>
            <w:tcBorders>
              <w:top w:val="nil"/>
              <w:left w:val="nil"/>
              <w:bottom w:val="single" w:sz="4" w:space="0" w:color="auto"/>
              <w:right w:val="single" w:sz="4" w:space="0" w:color="auto"/>
            </w:tcBorders>
            <w:shd w:val="clear" w:color="000000" w:fill="F2F2F2"/>
            <w:noWrap/>
            <w:vAlign w:val="center"/>
            <w:hideMark/>
          </w:tcPr>
          <w:p w14:paraId="24395D4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47BB448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1025" w:type="dxa"/>
            <w:tcBorders>
              <w:top w:val="nil"/>
              <w:left w:val="nil"/>
              <w:bottom w:val="single" w:sz="4" w:space="0" w:color="auto"/>
              <w:right w:val="single" w:sz="4" w:space="0" w:color="auto"/>
            </w:tcBorders>
            <w:shd w:val="clear" w:color="000000" w:fill="F2F2F2"/>
            <w:noWrap/>
            <w:vAlign w:val="center"/>
            <w:hideMark/>
          </w:tcPr>
          <w:p w14:paraId="763FE40C" w14:textId="77777777" w:rsidR="00C27261" w:rsidRPr="00650D66" w:rsidRDefault="003601C5"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15.401,9</w:t>
            </w:r>
            <w:r w:rsidR="00C27261" w:rsidRPr="00650D66">
              <w:rPr>
                <w:rFonts w:ascii="Times New Roman" w:eastAsia="Times New Roman" w:hAnsi="Times New Roman" w:cs="Times New Roman"/>
                <w:b/>
                <w:bCs/>
                <w:color w:val="000000"/>
                <w:sz w:val="18"/>
                <w:szCs w:val="18"/>
                <w:lang w:val="ro-RO"/>
              </w:rPr>
              <w:t xml:space="preserve"> </w:t>
            </w:r>
          </w:p>
        </w:tc>
        <w:tc>
          <w:tcPr>
            <w:tcW w:w="983" w:type="dxa"/>
            <w:tcBorders>
              <w:top w:val="nil"/>
              <w:left w:val="nil"/>
              <w:bottom w:val="single" w:sz="4" w:space="0" w:color="auto"/>
              <w:right w:val="single" w:sz="4" w:space="0" w:color="auto"/>
            </w:tcBorders>
            <w:shd w:val="clear" w:color="000000" w:fill="F2F2F2"/>
            <w:noWrap/>
            <w:vAlign w:val="center"/>
            <w:hideMark/>
          </w:tcPr>
          <w:p w14:paraId="0C1CA2BD"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419BE23C"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823" w:type="dxa"/>
            <w:tcBorders>
              <w:top w:val="nil"/>
              <w:left w:val="nil"/>
              <w:bottom w:val="single" w:sz="4" w:space="0" w:color="auto"/>
              <w:right w:val="single" w:sz="4" w:space="0" w:color="auto"/>
            </w:tcBorders>
            <w:shd w:val="clear" w:color="000000" w:fill="F2F2F2"/>
            <w:noWrap/>
            <w:vAlign w:val="center"/>
            <w:hideMark/>
          </w:tcPr>
          <w:p w14:paraId="1442ECC5"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&gt;2%</w:t>
            </w:r>
          </w:p>
        </w:tc>
      </w:tr>
      <w:tr w:rsidR="00B95F09" w:rsidRPr="00650D66" w14:paraId="2F33D579" w14:textId="77777777" w:rsidTr="004B49C8">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285B9F7"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9213</w:t>
            </w:r>
          </w:p>
        </w:tc>
        <w:tc>
          <w:tcPr>
            <w:tcW w:w="1984" w:type="dxa"/>
            <w:tcBorders>
              <w:top w:val="nil"/>
              <w:left w:val="nil"/>
              <w:bottom w:val="single" w:sz="4" w:space="0" w:color="auto"/>
              <w:right w:val="single" w:sz="4" w:space="0" w:color="auto"/>
            </w:tcBorders>
            <w:shd w:val="clear" w:color="auto" w:fill="auto"/>
            <w:vAlign w:val="bottom"/>
            <w:hideMark/>
          </w:tcPr>
          <w:p w14:paraId="7F3BEE9A"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de reprezentanță</w:t>
            </w:r>
          </w:p>
        </w:tc>
        <w:tc>
          <w:tcPr>
            <w:tcW w:w="1159" w:type="dxa"/>
            <w:tcBorders>
              <w:top w:val="nil"/>
              <w:left w:val="nil"/>
              <w:bottom w:val="single" w:sz="4" w:space="0" w:color="auto"/>
              <w:right w:val="single" w:sz="4" w:space="0" w:color="auto"/>
            </w:tcBorders>
            <w:shd w:val="clear" w:color="auto" w:fill="auto"/>
            <w:noWrap/>
            <w:vAlign w:val="bottom"/>
            <w:hideMark/>
          </w:tcPr>
          <w:p w14:paraId="393D7AC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790,02</w:t>
            </w:r>
          </w:p>
        </w:tc>
        <w:tc>
          <w:tcPr>
            <w:tcW w:w="913" w:type="dxa"/>
            <w:tcBorders>
              <w:top w:val="nil"/>
              <w:left w:val="nil"/>
              <w:bottom w:val="single" w:sz="4" w:space="0" w:color="auto"/>
              <w:right w:val="single" w:sz="4" w:space="0" w:color="auto"/>
            </w:tcBorders>
            <w:shd w:val="clear" w:color="auto" w:fill="auto"/>
            <w:noWrap/>
            <w:vAlign w:val="bottom"/>
            <w:hideMark/>
          </w:tcPr>
          <w:p w14:paraId="069C602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382106DE"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6611388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100,74</w:t>
            </w:r>
          </w:p>
        </w:tc>
        <w:tc>
          <w:tcPr>
            <w:tcW w:w="914" w:type="dxa"/>
            <w:tcBorders>
              <w:top w:val="nil"/>
              <w:left w:val="nil"/>
              <w:bottom w:val="single" w:sz="4" w:space="0" w:color="auto"/>
              <w:right w:val="single" w:sz="4" w:space="0" w:color="auto"/>
            </w:tcBorders>
            <w:shd w:val="clear" w:color="auto" w:fill="auto"/>
            <w:noWrap/>
            <w:vAlign w:val="bottom"/>
            <w:hideMark/>
          </w:tcPr>
          <w:p w14:paraId="3DB38B7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BFADD1A"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52010C1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308,86</w:t>
            </w:r>
          </w:p>
        </w:tc>
        <w:tc>
          <w:tcPr>
            <w:tcW w:w="914" w:type="dxa"/>
            <w:tcBorders>
              <w:top w:val="nil"/>
              <w:left w:val="nil"/>
              <w:bottom w:val="single" w:sz="4" w:space="0" w:color="auto"/>
              <w:right w:val="single" w:sz="4" w:space="0" w:color="auto"/>
            </w:tcBorders>
            <w:shd w:val="clear" w:color="auto" w:fill="auto"/>
            <w:noWrap/>
            <w:vAlign w:val="bottom"/>
            <w:hideMark/>
          </w:tcPr>
          <w:p w14:paraId="0D3A439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0F400B9E"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270A675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498,71</w:t>
            </w:r>
          </w:p>
        </w:tc>
        <w:tc>
          <w:tcPr>
            <w:tcW w:w="983" w:type="dxa"/>
            <w:tcBorders>
              <w:top w:val="nil"/>
              <w:left w:val="nil"/>
              <w:bottom w:val="single" w:sz="4" w:space="0" w:color="auto"/>
              <w:right w:val="single" w:sz="4" w:space="0" w:color="auto"/>
            </w:tcBorders>
            <w:shd w:val="clear" w:color="auto" w:fill="auto"/>
            <w:noWrap/>
            <w:vAlign w:val="bottom"/>
            <w:hideMark/>
          </w:tcPr>
          <w:p w14:paraId="552C591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5" w:type="dxa"/>
            <w:tcBorders>
              <w:top w:val="nil"/>
              <w:left w:val="nil"/>
              <w:bottom w:val="single" w:sz="4" w:space="0" w:color="auto"/>
              <w:right w:val="single" w:sz="4" w:space="0" w:color="auto"/>
            </w:tcBorders>
            <w:shd w:val="clear" w:color="auto" w:fill="auto"/>
            <w:noWrap/>
            <w:vAlign w:val="center"/>
            <w:hideMark/>
          </w:tcPr>
          <w:p w14:paraId="216390D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03B76F41"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72DCF66F" w14:textId="77777777" w:rsidTr="00E22D79">
        <w:trPr>
          <w:trHeight w:val="513"/>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2915A05"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9214</w:t>
            </w:r>
          </w:p>
        </w:tc>
        <w:tc>
          <w:tcPr>
            <w:tcW w:w="1984" w:type="dxa"/>
            <w:tcBorders>
              <w:top w:val="nil"/>
              <w:left w:val="nil"/>
              <w:bottom w:val="single" w:sz="4" w:space="0" w:color="auto"/>
              <w:right w:val="single" w:sz="4" w:space="0" w:color="auto"/>
            </w:tcBorders>
            <w:shd w:val="clear" w:color="auto" w:fill="auto"/>
            <w:vAlign w:val="bottom"/>
            <w:hideMark/>
          </w:tcPr>
          <w:p w14:paraId="4D377491"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w:t>
            </w:r>
            <w:r w:rsidR="00E22D79" w:rsidRPr="00650D66">
              <w:rPr>
                <w:rFonts w:ascii="Times New Roman" w:eastAsia="Times New Roman" w:hAnsi="Times New Roman" w:cs="Times New Roman"/>
                <w:color w:val="000000"/>
                <w:sz w:val="18"/>
                <w:szCs w:val="18"/>
                <w:lang w:val="ro-RO"/>
              </w:rPr>
              <w:t>poștale</w:t>
            </w:r>
            <w:r w:rsidRPr="00650D66">
              <w:rPr>
                <w:rFonts w:ascii="Times New Roman" w:eastAsia="Times New Roman" w:hAnsi="Times New Roman" w:cs="Times New Roman"/>
                <w:color w:val="000000"/>
                <w:sz w:val="18"/>
                <w:szCs w:val="18"/>
                <w:lang w:val="ro-RO"/>
              </w:rPr>
              <w:t xml:space="preserve">, telegrafice </w:t>
            </w:r>
            <w:proofErr w:type="spellStart"/>
            <w:r w:rsidRPr="00650D66">
              <w:rPr>
                <w:rFonts w:ascii="Times New Roman" w:eastAsia="Times New Roman" w:hAnsi="Times New Roman" w:cs="Times New Roman"/>
                <w:color w:val="000000"/>
                <w:sz w:val="18"/>
                <w:szCs w:val="18"/>
                <w:lang w:val="ro-RO"/>
              </w:rPr>
              <w:t>şi</w:t>
            </w:r>
            <w:proofErr w:type="spellEnd"/>
            <w:r w:rsidRPr="00650D66">
              <w:rPr>
                <w:rFonts w:ascii="Times New Roman" w:eastAsia="Times New Roman" w:hAnsi="Times New Roman" w:cs="Times New Roman"/>
                <w:color w:val="000000"/>
                <w:sz w:val="18"/>
                <w:szCs w:val="18"/>
                <w:lang w:val="ro-RO"/>
              </w:rPr>
              <w:t xml:space="preserve"> alte tipuri de </w:t>
            </w:r>
            <w:r w:rsidR="00E7055F" w:rsidRPr="00650D66">
              <w:rPr>
                <w:rFonts w:ascii="Times New Roman" w:eastAsia="Times New Roman" w:hAnsi="Times New Roman" w:cs="Times New Roman"/>
                <w:color w:val="000000"/>
                <w:sz w:val="18"/>
                <w:szCs w:val="18"/>
                <w:lang w:val="ro-RO"/>
              </w:rPr>
              <w:t>telecomunicații</w:t>
            </w:r>
          </w:p>
        </w:tc>
        <w:tc>
          <w:tcPr>
            <w:tcW w:w="1159" w:type="dxa"/>
            <w:tcBorders>
              <w:top w:val="nil"/>
              <w:left w:val="nil"/>
              <w:bottom w:val="single" w:sz="4" w:space="0" w:color="auto"/>
              <w:right w:val="single" w:sz="4" w:space="0" w:color="auto"/>
            </w:tcBorders>
            <w:shd w:val="clear" w:color="auto" w:fill="auto"/>
            <w:noWrap/>
            <w:vAlign w:val="bottom"/>
            <w:hideMark/>
          </w:tcPr>
          <w:p w14:paraId="637FB72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539,20</w:t>
            </w:r>
          </w:p>
        </w:tc>
        <w:tc>
          <w:tcPr>
            <w:tcW w:w="913" w:type="dxa"/>
            <w:tcBorders>
              <w:top w:val="nil"/>
              <w:left w:val="nil"/>
              <w:bottom w:val="single" w:sz="4" w:space="0" w:color="auto"/>
              <w:right w:val="single" w:sz="4" w:space="0" w:color="auto"/>
            </w:tcBorders>
            <w:shd w:val="clear" w:color="auto" w:fill="auto"/>
            <w:noWrap/>
            <w:vAlign w:val="bottom"/>
            <w:hideMark/>
          </w:tcPr>
          <w:p w14:paraId="35A2B3F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3DDE6E7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1941528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434,03</w:t>
            </w:r>
          </w:p>
        </w:tc>
        <w:tc>
          <w:tcPr>
            <w:tcW w:w="914" w:type="dxa"/>
            <w:tcBorders>
              <w:top w:val="nil"/>
              <w:left w:val="nil"/>
              <w:bottom w:val="single" w:sz="4" w:space="0" w:color="auto"/>
              <w:right w:val="single" w:sz="4" w:space="0" w:color="auto"/>
            </w:tcBorders>
            <w:shd w:val="clear" w:color="auto" w:fill="auto"/>
            <w:noWrap/>
            <w:vAlign w:val="bottom"/>
            <w:hideMark/>
          </w:tcPr>
          <w:p w14:paraId="7A07E9D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CA202E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0E55CA5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395,82</w:t>
            </w:r>
          </w:p>
        </w:tc>
        <w:tc>
          <w:tcPr>
            <w:tcW w:w="914" w:type="dxa"/>
            <w:tcBorders>
              <w:top w:val="nil"/>
              <w:left w:val="nil"/>
              <w:bottom w:val="single" w:sz="4" w:space="0" w:color="auto"/>
              <w:right w:val="single" w:sz="4" w:space="0" w:color="auto"/>
            </w:tcBorders>
            <w:shd w:val="clear" w:color="auto" w:fill="auto"/>
            <w:noWrap/>
            <w:vAlign w:val="bottom"/>
            <w:hideMark/>
          </w:tcPr>
          <w:p w14:paraId="0C40E39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3069071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48416C9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461,39</w:t>
            </w:r>
          </w:p>
        </w:tc>
        <w:tc>
          <w:tcPr>
            <w:tcW w:w="983" w:type="dxa"/>
            <w:tcBorders>
              <w:top w:val="nil"/>
              <w:left w:val="nil"/>
              <w:bottom w:val="single" w:sz="4" w:space="0" w:color="auto"/>
              <w:right w:val="single" w:sz="4" w:space="0" w:color="auto"/>
            </w:tcBorders>
            <w:shd w:val="clear" w:color="auto" w:fill="auto"/>
            <w:noWrap/>
            <w:vAlign w:val="bottom"/>
            <w:hideMark/>
          </w:tcPr>
          <w:p w14:paraId="10EF02D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5" w:type="dxa"/>
            <w:tcBorders>
              <w:top w:val="nil"/>
              <w:left w:val="nil"/>
              <w:bottom w:val="single" w:sz="4" w:space="0" w:color="auto"/>
              <w:right w:val="single" w:sz="4" w:space="0" w:color="auto"/>
            </w:tcBorders>
            <w:shd w:val="clear" w:color="auto" w:fill="auto"/>
            <w:noWrap/>
            <w:vAlign w:val="center"/>
            <w:hideMark/>
          </w:tcPr>
          <w:p w14:paraId="3C4DD2B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1099AF0B"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0BCCF817"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1E6FE6E"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9215</w:t>
            </w:r>
          </w:p>
        </w:tc>
        <w:tc>
          <w:tcPr>
            <w:tcW w:w="1984" w:type="dxa"/>
            <w:tcBorders>
              <w:top w:val="nil"/>
              <w:left w:val="nil"/>
              <w:bottom w:val="single" w:sz="4" w:space="0" w:color="auto"/>
              <w:right w:val="single" w:sz="4" w:space="0" w:color="auto"/>
            </w:tcBorders>
            <w:shd w:val="clear" w:color="auto" w:fill="auto"/>
            <w:vAlign w:val="bottom"/>
            <w:hideMark/>
          </w:tcPr>
          <w:p w14:paraId="35BB9069"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pentru lucrările tipografice și publicitate</w:t>
            </w:r>
          </w:p>
        </w:tc>
        <w:tc>
          <w:tcPr>
            <w:tcW w:w="1159" w:type="dxa"/>
            <w:tcBorders>
              <w:top w:val="nil"/>
              <w:left w:val="nil"/>
              <w:bottom w:val="single" w:sz="4" w:space="0" w:color="auto"/>
              <w:right w:val="single" w:sz="4" w:space="0" w:color="auto"/>
            </w:tcBorders>
            <w:shd w:val="clear" w:color="auto" w:fill="auto"/>
            <w:noWrap/>
            <w:vAlign w:val="bottom"/>
            <w:hideMark/>
          </w:tcPr>
          <w:p w14:paraId="779FECC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183,56</w:t>
            </w:r>
          </w:p>
        </w:tc>
        <w:tc>
          <w:tcPr>
            <w:tcW w:w="913" w:type="dxa"/>
            <w:tcBorders>
              <w:top w:val="nil"/>
              <w:left w:val="nil"/>
              <w:bottom w:val="single" w:sz="4" w:space="0" w:color="auto"/>
              <w:right w:val="single" w:sz="4" w:space="0" w:color="auto"/>
            </w:tcBorders>
            <w:shd w:val="clear" w:color="auto" w:fill="auto"/>
            <w:noWrap/>
            <w:vAlign w:val="bottom"/>
            <w:hideMark/>
          </w:tcPr>
          <w:p w14:paraId="4D4C5A7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0536CFD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22D0FBD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167,68</w:t>
            </w:r>
          </w:p>
        </w:tc>
        <w:tc>
          <w:tcPr>
            <w:tcW w:w="914" w:type="dxa"/>
            <w:tcBorders>
              <w:top w:val="nil"/>
              <w:left w:val="nil"/>
              <w:bottom w:val="single" w:sz="4" w:space="0" w:color="auto"/>
              <w:right w:val="single" w:sz="4" w:space="0" w:color="auto"/>
            </w:tcBorders>
            <w:shd w:val="clear" w:color="auto" w:fill="auto"/>
            <w:noWrap/>
            <w:vAlign w:val="bottom"/>
            <w:hideMark/>
          </w:tcPr>
          <w:p w14:paraId="465A6DE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63707FE"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583A634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207,46</w:t>
            </w:r>
          </w:p>
        </w:tc>
        <w:tc>
          <w:tcPr>
            <w:tcW w:w="914" w:type="dxa"/>
            <w:tcBorders>
              <w:top w:val="nil"/>
              <w:left w:val="nil"/>
              <w:bottom w:val="single" w:sz="4" w:space="0" w:color="auto"/>
              <w:right w:val="single" w:sz="4" w:space="0" w:color="auto"/>
            </w:tcBorders>
            <w:shd w:val="clear" w:color="auto" w:fill="auto"/>
            <w:noWrap/>
            <w:vAlign w:val="bottom"/>
            <w:hideMark/>
          </w:tcPr>
          <w:p w14:paraId="52FF89F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305D77A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0CC49CE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226,80</w:t>
            </w:r>
          </w:p>
        </w:tc>
        <w:tc>
          <w:tcPr>
            <w:tcW w:w="983" w:type="dxa"/>
            <w:tcBorders>
              <w:top w:val="nil"/>
              <w:left w:val="nil"/>
              <w:bottom w:val="single" w:sz="4" w:space="0" w:color="auto"/>
              <w:right w:val="single" w:sz="4" w:space="0" w:color="auto"/>
            </w:tcBorders>
            <w:shd w:val="clear" w:color="auto" w:fill="auto"/>
            <w:noWrap/>
            <w:vAlign w:val="bottom"/>
            <w:hideMark/>
          </w:tcPr>
          <w:p w14:paraId="6DC45C8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14:paraId="211F791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4F766351"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482964D3"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1563FC7"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9216</w:t>
            </w:r>
          </w:p>
        </w:tc>
        <w:tc>
          <w:tcPr>
            <w:tcW w:w="1984" w:type="dxa"/>
            <w:tcBorders>
              <w:top w:val="nil"/>
              <w:left w:val="nil"/>
              <w:bottom w:val="single" w:sz="4" w:space="0" w:color="auto"/>
              <w:right w:val="single" w:sz="4" w:space="0" w:color="auto"/>
            </w:tcBorders>
            <w:shd w:val="clear" w:color="auto" w:fill="auto"/>
            <w:vAlign w:val="bottom"/>
            <w:hideMark/>
          </w:tcPr>
          <w:p w14:paraId="74D9A2AF"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pentru măsurile de </w:t>
            </w:r>
            <w:r w:rsidR="00E22D79" w:rsidRPr="00650D66">
              <w:rPr>
                <w:rFonts w:ascii="Times New Roman" w:eastAsia="Times New Roman" w:hAnsi="Times New Roman" w:cs="Times New Roman"/>
                <w:color w:val="000000"/>
                <w:sz w:val="18"/>
                <w:szCs w:val="18"/>
                <w:lang w:val="ro-RO"/>
              </w:rPr>
              <w:t>protecție</w:t>
            </w:r>
            <w:r w:rsidRPr="00650D66">
              <w:rPr>
                <w:rFonts w:ascii="Times New Roman" w:eastAsia="Times New Roman" w:hAnsi="Times New Roman" w:cs="Times New Roman"/>
                <w:color w:val="000000"/>
                <w:sz w:val="18"/>
                <w:szCs w:val="18"/>
                <w:lang w:val="ro-RO"/>
              </w:rPr>
              <w:t xml:space="preserve"> civilă</w:t>
            </w:r>
          </w:p>
        </w:tc>
        <w:tc>
          <w:tcPr>
            <w:tcW w:w="1159" w:type="dxa"/>
            <w:tcBorders>
              <w:top w:val="nil"/>
              <w:left w:val="nil"/>
              <w:bottom w:val="single" w:sz="4" w:space="0" w:color="auto"/>
              <w:right w:val="single" w:sz="4" w:space="0" w:color="auto"/>
            </w:tcBorders>
            <w:shd w:val="clear" w:color="auto" w:fill="auto"/>
            <w:noWrap/>
            <w:vAlign w:val="bottom"/>
            <w:hideMark/>
          </w:tcPr>
          <w:p w14:paraId="5C431B4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p>
        </w:tc>
        <w:tc>
          <w:tcPr>
            <w:tcW w:w="913" w:type="dxa"/>
            <w:tcBorders>
              <w:top w:val="nil"/>
              <w:left w:val="nil"/>
              <w:bottom w:val="single" w:sz="4" w:space="0" w:color="auto"/>
              <w:right w:val="single" w:sz="4" w:space="0" w:color="auto"/>
            </w:tcBorders>
            <w:shd w:val="clear" w:color="auto" w:fill="auto"/>
            <w:noWrap/>
            <w:vAlign w:val="bottom"/>
            <w:hideMark/>
          </w:tcPr>
          <w:p w14:paraId="1579FE1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04163C1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640AD4A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2,66</w:t>
            </w:r>
          </w:p>
        </w:tc>
        <w:tc>
          <w:tcPr>
            <w:tcW w:w="914" w:type="dxa"/>
            <w:tcBorders>
              <w:top w:val="nil"/>
              <w:left w:val="nil"/>
              <w:bottom w:val="single" w:sz="4" w:space="0" w:color="auto"/>
              <w:right w:val="single" w:sz="4" w:space="0" w:color="auto"/>
            </w:tcBorders>
            <w:shd w:val="clear" w:color="auto" w:fill="auto"/>
            <w:noWrap/>
            <w:vAlign w:val="bottom"/>
            <w:hideMark/>
          </w:tcPr>
          <w:p w14:paraId="0E8CF64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0D0623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6555F90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0,77</w:t>
            </w:r>
          </w:p>
        </w:tc>
        <w:tc>
          <w:tcPr>
            <w:tcW w:w="914" w:type="dxa"/>
            <w:tcBorders>
              <w:top w:val="nil"/>
              <w:left w:val="nil"/>
              <w:bottom w:val="single" w:sz="4" w:space="0" w:color="auto"/>
              <w:right w:val="single" w:sz="4" w:space="0" w:color="auto"/>
            </w:tcBorders>
            <w:shd w:val="clear" w:color="auto" w:fill="auto"/>
            <w:noWrap/>
            <w:vAlign w:val="bottom"/>
            <w:hideMark/>
          </w:tcPr>
          <w:p w14:paraId="2E3F823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55728D4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26A2EA2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0,03</w:t>
            </w:r>
          </w:p>
        </w:tc>
        <w:tc>
          <w:tcPr>
            <w:tcW w:w="983" w:type="dxa"/>
            <w:tcBorders>
              <w:top w:val="nil"/>
              <w:left w:val="nil"/>
              <w:bottom w:val="single" w:sz="4" w:space="0" w:color="auto"/>
              <w:right w:val="single" w:sz="4" w:space="0" w:color="auto"/>
            </w:tcBorders>
            <w:shd w:val="clear" w:color="auto" w:fill="auto"/>
            <w:noWrap/>
            <w:vAlign w:val="bottom"/>
            <w:hideMark/>
          </w:tcPr>
          <w:p w14:paraId="52FEDD8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168620D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32A6E845"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0160E465" w14:textId="77777777" w:rsidTr="00E22D79">
        <w:trPr>
          <w:trHeight w:val="35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70DD09C"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9217</w:t>
            </w:r>
          </w:p>
        </w:tc>
        <w:tc>
          <w:tcPr>
            <w:tcW w:w="1984" w:type="dxa"/>
            <w:tcBorders>
              <w:top w:val="nil"/>
              <w:left w:val="nil"/>
              <w:bottom w:val="single" w:sz="4" w:space="0" w:color="auto"/>
              <w:right w:val="single" w:sz="4" w:space="0" w:color="auto"/>
            </w:tcBorders>
            <w:shd w:val="clear" w:color="auto" w:fill="auto"/>
            <w:vAlign w:val="bottom"/>
            <w:hideMark/>
          </w:tcPr>
          <w:p w14:paraId="6808E855"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w:t>
            </w:r>
            <w:r w:rsidR="00E22D79" w:rsidRPr="00650D66">
              <w:rPr>
                <w:rFonts w:ascii="Times New Roman" w:eastAsia="Times New Roman" w:hAnsi="Times New Roman" w:cs="Times New Roman"/>
                <w:color w:val="000000"/>
                <w:sz w:val="18"/>
                <w:szCs w:val="18"/>
                <w:lang w:val="ro-RO"/>
              </w:rPr>
              <w:t>protecția</w:t>
            </w:r>
            <w:r w:rsidRPr="00650D66">
              <w:rPr>
                <w:rFonts w:ascii="Times New Roman" w:eastAsia="Times New Roman" w:hAnsi="Times New Roman" w:cs="Times New Roman"/>
                <w:color w:val="000000"/>
                <w:sz w:val="18"/>
                <w:szCs w:val="18"/>
                <w:lang w:val="ro-RO"/>
              </w:rPr>
              <w:t xml:space="preserve"> muncii</w:t>
            </w:r>
          </w:p>
        </w:tc>
        <w:tc>
          <w:tcPr>
            <w:tcW w:w="1159" w:type="dxa"/>
            <w:tcBorders>
              <w:top w:val="nil"/>
              <w:left w:val="nil"/>
              <w:bottom w:val="single" w:sz="4" w:space="0" w:color="auto"/>
              <w:right w:val="single" w:sz="4" w:space="0" w:color="auto"/>
            </w:tcBorders>
            <w:shd w:val="clear" w:color="auto" w:fill="auto"/>
            <w:noWrap/>
            <w:vAlign w:val="bottom"/>
            <w:hideMark/>
          </w:tcPr>
          <w:p w14:paraId="38C5E1D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27,50</w:t>
            </w:r>
          </w:p>
        </w:tc>
        <w:tc>
          <w:tcPr>
            <w:tcW w:w="913" w:type="dxa"/>
            <w:tcBorders>
              <w:top w:val="nil"/>
              <w:left w:val="nil"/>
              <w:bottom w:val="single" w:sz="4" w:space="0" w:color="auto"/>
              <w:right w:val="single" w:sz="4" w:space="0" w:color="auto"/>
            </w:tcBorders>
            <w:shd w:val="clear" w:color="auto" w:fill="auto"/>
            <w:noWrap/>
            <w:vAlign w:val="bottom"/>
            <w:hideMark/>
          </w:tcPr>
          <w:p w14:paraId="1A76C51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973A2C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44377DB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22,91</w:t>
            </w:r>
          </w:p>
        </w:tc>
        <w:tc>
          <w:tcPr>
            <w:tcW w:w="914" w:type="dxa"/>
            <w:tcBorders>
              <w:top w:val="nil"/>
              <w:left w:val="nil"/>
              <w:bottom w:val="single" w:sz="4" w:space="0" w:color="auto"/>
              <w:right w:val="single" w:sz="4" w:space="0" w:color="auto"/>
            </w:tcBorders>
            <w:shd w:val="clear" w:color="auto" w:fill="auto"/>
            <w:noWrap/>
            <w:vAlign w:val="bottom"/>
            <w:hideMark/>
          </w:tcPr>
          <w:p w14:paraId="1FDE806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F13F6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031ACEB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29,87</w:t>
            </w:r>
          </w:p>
        </w:tc>
        <w:tc>
          <w:tcPr>
            <w:tcW w:w="914" w:type="dxa"/>
            <w:tcBorders>
              <w:top w:val="nil"/>
              <w:left w:val="nil"/>
              <w:bottom w:val="single" w:sz="4" w:space="0" w:color="auto"/>
              <w:right w:val="single" w:sz="4" w:space="0" w:color="auto"/>
            </w:tcBorders>
            <w:shd w:val="clear" w:color="auto" w:fill="auto"/>
            <w:noWrap/>
            <w:vAlign w:val="bottom"/>
            <w:hideMark/>
          </w:tcPr>
          <w:p w14:paraId="3678994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4B9CC9A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58F0F77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29,10</w:t>
            </w:r>
          </w:p>
        </w:tc>
        <w:tc>
          <w:tcPr>
            <w:tcW w:w="983" w:type="dxa"/>
            <w:tcBorders>
              <w:top w:val="nil"/>
              <w:left w:val="nil"/>
              <w:bottom w:val="single" w:sz="4" w:space="0" w:color="auto"/>
              <w:right w:val="single" w:sz="4" w:space="0" w:color="auto"/>
            </w:tcBorders>
            <w:shd w:val="clear" w:color="auto" w:fill="auto"/>
            <w:noWrap/>
            <w:vAlign w:val="bottom"/>
            <w:hideMark/>
          </w:tcPr>
          <w:p w14:paraId="2F535ED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2C6AFFB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1FE077CE"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4940EE40"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D269FE6"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9218</w:t>
            </w:r>
          </w:p>
        </w:tc>
        <w:tc>
          <w:tcPr>
            <w:tcW w:w="1984" w:type="dxa"/>
            <w:tcBorders>
              <w:top w:val="nil"/>
              <w:left w:val="nil"/>
              <w:bottom w:val="single" w:sz="4" w:space="0" w:color="auto"/>
              <w:right w:val="single" w:sz="4" w:space="0" w:color="auto"/>
            </w:tcBorders>
            <w:shd w:val="clear" w:color="auto" w:fill="auto"/>
            <w:vAlign w:val="bottom"/>
            <w:hideMark/>
          </w:tcPr>
          <w:p w14:paraId="4DD13703"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deservirea sistemelor </w:t>
            </w:r>
            <w:r w:rsidR="00E22D79" w:rsidRPr="00650D66">
              <w:rPr>
                <w:rFonts w:ascii="Times New Roman" w:eastAsia="Times New Roman" w:hAnsi="Times New Roman" w:cs="Times New Roman"/>
                <w:color w:val="000000"/>
                <w:sz w:val="18"/>
                <w:szCs w:val="18"/>
                <w:lang w:val="ro-RO"/>
              </w:rPr>
              <w:t>informaționale</w:t>
            </w:r>
          </w:p>
        </w:tc>
        <w:tc>
          <w:tcPr>
            <w:tcW w:w="1159" w:type="dxa"/>
            <w:tcBorders>
              <w:top w:val="nil"/>
              <w:left w:val="nil"/>
              <w:bottom w:val="single" w:sz="4" w:space="0" w:color="auto"/>
              <w:right w:val="single" w:sz="4" w:space="0" w:color="auto"/>
            </w:tcBorders>
            <w:shd w:val="clear" w:color="auto" w:fill="auto"/>
            <w:noWrap/>
            <w:vAlign w:val="bottom"/>
            <w:hideMark/>
          </w:tcPr>
          <w:p w14:paraId="6E38483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11.738,21</w:t>
            </w:r>
          </w:p>
        </w:tc>
        <w:tc>
          <w:tcPr>
            <w:tcW w:w="913" w:type="dxa"/>
            <w:tcBorders>
              <w:top w:val="nil"/>
              <w:left w:val="nil"/>
              <w:bottom w:val="single" w:sz="4" w:space="0" w:color="auto"/>
              <w:right w:val="single" w:sz="4" w:space="0" w:color="auto"/>
            </w:tcBorders>
            <w:shd w:val="clear" w:color="auto" w:fill="auto"/>
            <w:noWrap/>
            <w:vAlign w:val="bottom"/>
            <w:hideMark/>
          </w:tcPr>
          <w:p w14:paraId="0037C69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88%</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76CB647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73D993C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13.319,66</w:t>
            </w:r>
          </w:p>
        </w:tc>
        <w:tc>
          <w:tcPr>
            <w:tcW w:w="914" w:type="dxa"/>
            <w:tcBorders>
              <w:top w:val="nil"/>
              <w:left w:val="nil"/>
              <w:bottom w:val="single" w:sz="4" w:space="0" w:color="auto"/>
              <w:right w:val="single" w:sz="4" w:space="0" w:color="auto"/>
            </w:tcBorders>
            <w:shd w:val="clear" w:color="auto" w:fill="auto"/>
            <w:noWrap/>
            <w:vAlign w:val="bottom"/>
            <w:hideMark/>
          </w:tcPr>
          <w:p w14:paraId="7D0809A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866E79E"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5ED068C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13.036,48</w:t>
            </w:r>
          </w:p>
        </w:tc>
        <w:tc>
          <w:tcPr>
            <w:tcW w:w="914" w:type="dxa"/>
            <w:tcBorders>
              <w:top w:val="nil"/>
              <w:left w:val="nil"/>
              <w:bottom w:val="single" w:sz="4" w:space="0" w:color="auto"/>
              <w:right w:val="single" w:sz="4" w:space="0" w:color="auto"/>
            </w:tcBorders>
            <w:shd w:val="clear" w:color="auto" w:fill="auto"/>
            <w:noWrap/>
            <w:vAlign w:val="bottom"/>
            <w:hideMark/>
          </w:tcPr>
          <w:p w14:paraId="7C51302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51B0298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6E36A55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14.185,82</w:t>
            </w:r>
          </w:p>
        </w:tc>
        <w:tc>
          <w:tcPr>
            <w:tcW w:w="983" w:type="dxa"/>
            <w:tcBorders>
              <w:top w:val="nil"/>
              <w:left w:val="nil"/>
              <w:bottom w:val="single" w:sz="4" w:space="0" w:color="auto"/>
              <w:right w:val="single" w:sz="4" w:space="0" w:color="auto"/>
            </w:tcBorders>
            <w:shd w:val="clear" w:color="auto" w:fill="auto"/>
            <w:noWrap/>
            <w:vAlign w:val="bottom"/>
            <w:hideMark/>
          </w:tcPr>
          <w:p w14:paraId="4170FCE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w:t>
            </w:r>
          </w:p>
        </w:tc>
        <w:tc>
          <w:tcPr>
            <w:tcW w:w="855" w:type="dxa"/>
            <w:tcBorders>
              <w:top w:val="nil"/>
              <w:left w:val="nil"/>
              <w:bottom w:val="single" w:sz="4" w:space="0" w:color="auto"/>
              <w:right w:val="single" w:sz="4" w:space="0" w:color="auto"/>
            </w:tcBorders>
            <w:shd w:val="clear" w:color="auto" w:fill="auto"/>
            <w:noWrap/>
            <w:vAlign w:val="center"/>
            <w:hideMark/>
          </w:tcPr>
          <w:p w14:paraId="26A1FF4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2FCC3CB0"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3242EC0B" w14:textId="77777777" w:rsidTr="00767B94">
        <w:trPr>
          <w:trHeight w:val="231"/>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5B00DD92"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9230</w:t>
            </w:r>
          </w:p>
        </w:tc>
        <w:tc>
          <w:tcPr>
            <w:tcW w:w="1984" w:type="dxa"/>
            <w:tcBorders>
              <w:top w:val="nil"/>
              <w:left w:val="nil"/>
              <w:bottom w:val="single" w:sz="4" w:space="0" w:color="auto"/>
              <w:right w:val="single" w:sz="4" w:space="0" w:color="auto"/>
            </w:tcBorders>
            <w:shd w:val="clear" w:color="000000" w:fill="F2F2F2"/>
            <w:vAlign w:val="bottom"/>
            <w:hideMark/>
          </w:tcPr>
          <w:p w14:paraId="4B411F74"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Alte cheltuieli generale</w:t>
            </w:r>
          </w:p>
        </w:tc>
        <w:tc>
          <w:tcPr>
            <w:tcW w:w="1159" w:type="dxa"/>
            <w:tcBorders>
              <w:top w:val="nil"/>
              <w:left w:val="nil"/>
              <w:bottom w:val="single" w:sz="4" w:space="0" w:color="auto"/>
              <w:right w:val="single" w:sz="4" w:space="0" w:color="auto"/>
            </w:tcBorders>
            <w:shd w:val="clear" w:color="000000" w:fill="F2F2F2"/>
            <w:noWrap/>
            <w:vAlign w:val="bottom"/>
            <w:hideMark/>
          </w:tcPr>
          <w:p w14:paraId="1C6070D2"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1.688,03 </w:t>
            </w:r>
          </w:p>
        </w:tc>
        <w:tc>
          <w:tcPr>
            <w:tcW w:w="913" w:type="dxa"/>
            <w:tcBorders>
              <w:top w:val="nil"/>
              <w:left w:val="nil"/>
              <w:bottom w:val="single" w:sz="4" w:space="0" w:color="auto"/>
              <w:right w:val="single" w:sz="4" w:space="0" w:color="auto"/>
            </w:tcBorders>
            <w:shd w:val="clear" w:color="000000" w:fill="F2F2F2"/>
            <w:noWrap/>
            <w:vAlign w:val="bottom"/>
            <w:hideMark/>
          </w:tcPr>
          <w:p w14:paraId="3AD4ED4C"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bottom"/>
            <w:hideMark/>
          </w:tcPr>
          <w:p w14:paraId="15A0619E"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86%</w:t>
            </w:r>
          </w:p>
        </w:tc>
        <w:tc>
          <w:tcPr>
            <w:tcW w:w="981" w:type="dxa"/>
            <w:tcBorders>
              <w:top w:val="nil"/>
              <w:left w:val="nil"/>
              <w:bottom w:val="single" w:sz="4" w:space="0" w:color="auto"/>
              <w:right w:val="single" w:sz="4" w:space="0" w:color="auto"/>
            </w:tcBorders>
            <w:shd w:val="clear" w:color="000000" w:fill="F2F2F2"/>
            <w:noWrap/>
            <w:vAlign w:val="bottom"/>
            <w:hideMark/>
          </w:tcPr>
          <w:p w14:paraId="44CD982E"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2.013,26 </w:t>
            </w:r>
          </w:p>
        </w:tc>
        <w:tc>
          <w:tcPr>
            <w:tcW w:w="914" w:type="dxa"/>
            <w:tcBorders>
              <w:top w:val="nil"/>
              <w:left w:val="nil"/>
              <w:bottom w:val="single" w:sz="4" w:space="0" w:color="auto"/>
              <w:right w:val="single" w:sz="4" w:space="0" w:color="auto"/>
            </w:tcBorders>
            <w:shd w:val="clear" w:color="000000" w:fill="F2F2F2"/>
            <w:noWrap/>
            <w:vAlign w:val="bottom"/>
            <w:hideMark/>
          </w:tcPr>
          <w:p w14:paraId="1E53F5E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bottom"/>
            <w:hideMark/>
          </w:tcPr>
          <w:p w14:paraId="160C7210"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81%</w:t>
            </w:r>
          </w:p>
        </w:tc>
        <w:tc>
          <w:tcPr>
            <w:tcW w:w="1035" w:type="dxa"/>
            <w:gridSpan w:val="2"/>
            <w:tcBorders>
              <w:top w:val="nil"/>
              <w:left w:val="nil"/>
              <w:bottom w:val="single" w:sz="4" w:space="0" w:color="auto"/>
              <w:right w:val="single" w:sz="4" w:space="0" w:color="auto"/>
            </w:tcBorders>
            <w:shd w:val="clear" w:color="000000" w:fill="F2F2F2"/>
            <w:noWrap/>
            <w:vAlign w:val="bottom"/>
            <w:hideMark/>
          </w:tcPr>
          <w:p w14:paraId="76808190"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2.011,32 </w:t>
            </w:r>
          </w:p>
        </w:tc>
        <w:tc>
          <w:tcPr>
            <w:tcW w:w="914" w:type="dxa"/>
            <w:tcBorders>
              <w:top w:val="nil"/>
              <w:left w:val="nil"/>
              <w:bottom w:val="single" w:sz="4" w:space="0" w:color="auto"/>
              <w:right w:val="single" w:sz="4" w:space="0" w:color="auto"/>
            </w:tcBorders>
            <w:shd w:val="clear" w:color="000000" w:fill="F2F2F2"/>
            <w:noWrap/>
            <w:vAlign w:val="bottom"/>
            <w:hideMark/>
          </w:tcPr>
          <w:p w14:paraId="3AF76288"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bottom"/>
            <w:hideMark/>
          </w:tcPr>
          <w:p w14:paraId="3F8BC09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87%</w:t>
            </w:r>
          </w:p>
        </w:tc>
        <w:tc>
          <w:tcPr>
            <w:tcW w:w="1025" w:type="dxa"/>
            <w:tcBorders>
              <w:top w:val="nil"/>
              <w:left w:val="nil"/>
              <w:bottom w:val="single" w:sz="4" w:space="0" w:color="auto"/>
              <w:right w:val="single" w:sz="4" w:space="0" w:color="auto"/>
            </w:tcBorders>
            <w:shd w:val="clear" w:color="000000" w:fill="F2F2F2"/>
            <w:noWrap/>
            <w:vAlign w:val="bottom"/>
            <w:hideMark/>
          </w:tcPr>
          <w:p w14:paraId="6F674740"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2.627,56 </w:t>
            </w:r>
          </w:p>
        </w:tc>
        <w:tc>
          <w:tcPr>
            <w:tcW w:w="983" w:type="dxa"/>
            <w:tcBorders>
              <w:top w:val="nil"/>
              <w:left w:val="nil"/>
              <w:bottom w:val="single" w:sz="4" w:space="0" w:color="auto"/>
              <w:right w:val="single" w:sz="4" w:space="0" w:color="auto"/>
            </w:tcBorders>
            <w:shd w:val="clear" w:color="000000" w:fill="F2F2F2"/>
            <w:noWrap/>
            <w:vAlign w:val="bottom"/>
            <w:hideMark/>
          </w:tcPr>
          <w:p w14:paraId="68255483"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bottom"/>
            <w:hideMark/>
          </w:tcPr>
          <w:p w14:paraId="7B2825F0"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85%</w:t>
            </w:r>
          </w:p>
        </w:tc>
        <w:tc>
          <w:tcPr>
            <w:tcW w:w="823" w:type="dxa"/>
            <w:tcBorders>
              <w:top w:val="nil"/>
              <w:left w:val="nil"/>
              <w:bottom w:val="single" w:sz="4" w:space="0" w:color="auto"/>
              <w:right w:val="single" w:sz="4" w:space="0" w:color="auto"/>
            </w:tcBorders>
            <w:shd w:val="clear" w:color="000000" w:fill="F2F2F2"/>
            <w:noWrap/>
            <w:vAlign w:val="bottom"/>
            <w:hideMark/>
          </w:tcPr>
          <w:p w14:paraId="4E446E29"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&gt;10%</w:t>
            </w:r>
          </w:p>
        </w:tc>
      </w:tr>
      <w:tr w:rsidR="00B95F09" w:rsidRPr="00650D66" w14:paraId="21B27C57"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C6630F8"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9231</w:t>
            </w:r>
          </w:p>
        </w:tc>
        <w:tc>
          <w:tcPr>
            <w:tcW w:w="1984" w:type="dxa"/>
            <w:tcBorders>
              <w:top w:val="nil"/>
              <w:left w:val="nil"/>
              <w:bottom w:val="single" w:sz="4" w:space="0" w:color="auto"/>
              <w:right w:val="single" w:sz="4" w:space="0" w:color="auto"/>
            </w:tcBorders>
            <w:shd w:val="clear" w:color="auto" w:fill="auto"/>
            <w:vAlign w:val="bottom"/>
            <w:hideMark/>
          </w:tcPr>
          <w:p w14:paraId="0771852C"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cu rechizite de birou </w:t>
            </w:r>
          </w:p>
        </w:tc>
        <w:tc>
          <w:tcPr>
            <w:tcW w:w="1159" w:type="dxa"/>
            <w:tcBorders>
              <w:top w:val="nil"/>
              <w:left w:val="nil"/>
              <w:bottom w:val="single" w:sz="4" w:space="0" w:color="auto"/>
              <w:right w:val="single" w:sz="4" w:space="0" w:color="auto"/>
            </w:tcBorders>
            <w:shd w:val="clear" w:color="auto" w:fill="auto"/>
            <w:noWrap/>
            <w:vAlign w:val="bottom"/>
            <w:hideMark/>
          </w:tcPr>
          <w:p w14:paraId="290E8BC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92,68</w:t>
            </w:r>
          </w:p>
        </w:tc>
        <w:tc>
          <w:tcPr>
            <w:tcW w:w="913" w:type="dxa"/>
            <w:tcBorders>
              <w:top w:val="nil"/>
              <w:left w:val="nil"/>
              <w:bottom w:val="single" w:sz="4" w:space="0" w:color="auto"/>
              <w:right w:val="single" w:sz="4" w:space="0" w:color="auto"/>
            </w:tcBorders>
            <w:shd w:val="clear" w:color="auto" w:fill="auto"/>
            <w:noWrap/>
            <w:vAlign w:val="bottom"/>
            <w:hideMark/>
          </w:tcPr>
          <w:p w14:paraId="2E14296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68445E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2B7A9CB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126,19</w:t>
            </w:r>
          </w:p>
        </w:tc>
        <w:tc>
          <w:tcPr>
            <w:tcW w:w="914" w:type="dxa"/>
            <w:tcBorders>
              <w:top w:val="nil"/>
              <w:left w:val="nil"/>
              <w:bottom w:val="single" w:sz="4" w:space="0" w:color="auto"/>
              <w:right w:val="single" w:sz="4" w:space="0" w:color="auto"/>
            </w:tcBorders>
            <w:shd w:val="clear" w:color="auto" w:fill="auto"/>
            <w:noWrap/>
            <w:vAlign w:val="bottom"/>
            <w:hideMark/>
          </w:tcPr>
          <w:p w14:paraId="19D9E9C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7E92E1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279ACD5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30,53</w:t>
            </w:r>
          </w:p>
        </w:tc>
        <w:tc>
          <w:tcPr>
            <w:tcW w:w="914" w:type="dxa"/>
            <w:tcBorders>
              <w:top w:val="nil"/>
              <w:left w:val="nil"/>
              <w:bottom w:val="single" w:sz="4" w:space="0" w:color="auto"/>
              <w:right w:val="single" w:sz="4" w:space="0" w:color="auto"/>
            </w:tcBorders>
            <w:shd w:val="clear" w:color="auto" w:fill="auto"/>
            <w:noWrap/>
            <w:vAlign w:val="bottom"/>
            <w:hideMark/>
          </w:tcPr>
          <w:p w14:paraId="78C3CB3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0A588DB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0241AC4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78,01</w:t>
            </w:r>
          </w:p>
        </w:tc>
        <w:tc>
          <w:tcPr>
            <w:tcW w:w="983" w:type="dxa"/>
            <w:tcBorders>
              <w:top w:val="nil"/>
              <w:left w:val="nil"/>
              <w:bottom w:val="single" w:sz="4" w:space="0" w:color="auto"/>
              <w:right w:val="single" w:sz="4" w:space="0" w:color="auto"/>
            </w:tcBorders>
            <w:shd w:val="clear" w:color="auto" w:fill="auto"/>
            <w:noWrap/>
            <w:vAlign w:val="bottom"/>
            <w:hideMark/>
          </w:tcPr>
          <w:p w14:paraId="2C7AF0D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w:t>
            </w:r>
          </w:p>
        </w:tc>
        <w:tc>
          <w:tcPr>
            <w:tcW w:w="855" w:type="dxa"/>
            <w:tcBorders>
              <w:top w:val="nil"/>
              <w:left w:val="nil"/>
              <w:bottom w:val="single" w:sz="4" w:space="0" w:color="auto"/>
              <w:right w:val="single" w:sz="4" w:space="0" w:color="auto"/>
            </w:tcBorders>
            <w:shd w:val="clear" w:color="auto" w:fill="auto"/>
            <w:noWrap/>
            <w:vAlign w:val="center"/>
            <w:hideMark/>
          </w:tcPr>
          <w:p w14:paraId="03773CA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105ED8DE"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4FA8EEDB" w14:textId="77777777" w:rsidTr="004B49C8">
        <w:trPr>
          <w:trHeight w:val="5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758D837"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9232</w:t>
            </w:r>
          </w:p>
        </w:tc>
        <w:tc>
          <w:tcPr>
            <w:tcW w:w="1984" w:type="dxa"/>
            <w:tcBorders>
              <w:top w:val="nil"/>
              <w:left w:val="nil"/>
              <w:bottom w:val="single" w:sz="4" w:space="0" w:color="auto"/>
              <w:right w:val="single" w:sz="4" w:space="0" w:color="auto"/>
            </w:tcBorders>
            <w:shd w:val="clear" w:color="auto" w:fill="auto"/>
            <w:vAlign w:val="bottom"/>
            <w:hideMark/>
          </w:tcPr>
          <w:p w14:paraId="066BA22E"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cu </w:t>
            </w:r>
            <w:r w:rsidR="005A284E" w:rsidRPr="00650D66">
              <w:rPr>
                <w:rFonts w:ascii="Times New Roman" w:eastAsia="Times New Roman" w:hAnsi="Times New Roman" w:cs="Times New Roman"/>
                <w:color w:val="000000"/>
                <w:sz w:val="18"/>
                <w:szCs w:val="18"/>
                <w:lang w:val="ro-RO"/>
              </w:rPr>
              <w:t>cărți</w:t>
            </w:r>
            <w:r w:rsidRPr="00650D66">
              <w:rPr>
                <w:rFonts w:ascii="Times New Roman" w:eastAsia="Times New Roman" w:hAnsi="Times New Roman" w:cs="Times New Roman"/>
                <w:color w:val="000000"/>
                <w:sz w:val="18"/>
                <w:szCs w:val="18"/>
                <w:lang w:val="ro-RO"/>
              </w:rPr>
              <w:t xml:space="preserve">, reviste, </w:t>
            </w:r>
            <w:r w:rsidR="005A284E" w:rsidRPr="00650D66">
              <w:rPr>
                <w:rFonts w:ascii="Times New Roman" w:eastAsia="Times New Roman" w:hAnsi="Times New Roman" w:cs="Times New Roman"/>
                <w:color w:val="000000"/>
                <w:sz w:val="18"/>
                <w:szCs w:val="18"/>
                <w:lang w:val="ro-RO"/>
              </w:rPr>
              <w:t>publicații</w:t>
            </w:r>
            <w:r w:rsidRPr="00650D66">
              <w:rPr>
                <w:rFonts w:ascii="Times New Roman" w:eastAsia="Times New Roman" w:hAnsi="Times New Roman" w:cs="Times New Roman"/>
                <w:color w:val="000000"/>
                <w:sz w:val="18"/>
                <w:szCs w:val="18"/>
                <w:lang w:val="ro-RO"/>
              </w:rPr>
              <w:t xml:space="preserve"> </w:t>
            </w:r>
            <w:r w:rsidR="005A284E" w:rsidRPr="00650D66">
              <w:rPr>
                <w:rFonts w:ascii="Times New Roman" w:eastAsia="Times New Roman" w:hAnsi="Times New Roman" w:cs="Times New Roman"/>
                <w:color w:val="000000"/>
                <w:sz w:val="18"/>
                <w:szCs w:val="18"/>
                <w:lang w:val="ro-RO"/>
              </w:rPr>
              <w:t>și</w:t>
            </w:r>
            <w:r w:rsidRPr="00650D66">
              <w:rPr>
                <w:rFonts w:ascii="Times New Roman" w:eastAsia="Times New Roman" w:hAnsi="Times New Roman" w:cs="Times New Roman"/>
                <w:color w:val="000000"/>
                <w:sz w:val="18"/>
                <w:szCs w:val="18"/>
                <w:lang w:val="ro-RO"/>
              </w:rPr>
              <w:t xml:space="preserve"> abonamente</w:t>
            </w:r>
          </w:p>
        </w:tc>
        <w:tc>
          <w:tcPr>
            <w:tcW w:w="1159" w:type="dxa"/>
            <w:tcBorders>
              <w:top w:val="nil"/>
              <w:left w:val="nil"/>
              <w:bottom w:val="single" w:sz="4" w:space="0" w:color="auto"/>
              <w:right w:val="single" w:sz="4" w:space="0" w:color="auto"/>
            </w:tcBorders>
            <w:shd w:val="clear" w:color="auto" w:fill="auto"/>
            <w:noWrap/>
            <w:vAlign w:val="bottom"/>
            <w:hideMark/>
          </w:tcPr>
          <w:p w14:paraId="6A397D4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113,54</w:t>
            </w:r>
          </w:p>
        </w:tc>
        <w:tc>
          <w:tcPr>
            <w:tcW w:w="913" w:type="dxa"/>
            <w:tcBorders>
              <w:top w:val="nil"/>
              <w:left w:val="nil"/>
              <w:bottom w:val="single" w:sz="4" w:space="0" w:color="auto"/>
              <w:right w:val="single" w:sz="4" w:space="0" w:color="auto"/>
            </w:tcBorders>
            <w:shd w:val="clear" w:color="auto" w:fill="auto"/>
            <w:noWrap/>
            <w:vAlign w:val="bottom"/>
            <w:hideMark/>
          </w:tcPr>
          <w:p w14:paraId="3A87D9F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08C1DC62"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1030548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89,74</w:t>
            </w:r>
          </w:p>
        </w:tc>
        <w:tc>
          <w:tcPr>
            <w:tcW w:w="914" w:type="dxa"/>
            <w:tcBorders>
              <w:top w:val="nil"/>
              <w:left w:val="nil"/>
              <w:bottom w:val="single" w:sz="4" w:space="0" w:color="auto"/>
              <w:right w:val="single" w:sz="4" w:space="0" w:color="auto"/>
            </w:tcBorders>
            <w:shd w:val="clear" w:color="auto" w:fill="auto"/>
            <w:noWrap/>
            <w:vAlign w:val="bottom"/>
            <w:hideMark/>
          </w:tcPr>
          <w:p w14:paraId="29285A8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C24999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732545C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109,31</w:t>
            </w:r>
          </w:p>
        </w:tc>
        <w:tc>
          <w:tcPr>
            <w:tcW w:w="914" w:type="dxa"/>
            <w:tcBorders>
              <w:top w:val="nil"/>
              <w:left w:val="nil"/>
              <w:bottom w:val="single" w:sz="4" w:space="0" w:color="auto"/>
              <w:right w:val="single" w:sz="4" w:space="0" w:color="auto"/>
            </w:tcBorders>
            <w:shd w:val="clear" w:color="auto" w:fill="auto"/>
            <w:noWrap/>
            <w:vAlign w:val="bottom"/>
            <w:hideMark/>
          </w:tcPr>
          <w:p w14:paraId="77F353F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4CE8EEB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1F19CC8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105,88</w:t>
            </w:r>
          </w:p>
        </w:tc>
        <w:tc>
          <w:tcPr>
            <w:tcW w:w="983" w:type="dxa"/>
            <w:tcBorders>
              <w:top w:val="nil"/>
              <w:left w:val="nil"/>
              <w:bottom w:val="single" w:sz="4" w:space="0" w:color="auto"/>
              <w:right w:val="single" w:sz="4" w:space="0" w:color="auto"/>
            </w:tcBorders>
            <w:shd w:val="clear" w:color="auto" w:fill="auto"/>
            <w:noWrap/>
            <w:vAlign w:val="bottom"/>
            <w:hideMark/>
          </w:tcPr>
          <w:p w14:paraId="3BC9054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5" w:type="dxa"/>
            <w:tcBorders>
              <w:top w:val="nil"/>
              <w:left w:val="nil"/>
              <w:bottom w:val="single" w:sz="4" w:space="0" w:color="auto"/>
              <w:right w:val="single" w:sz="4" w:space="0" w:color="auto"/>
            </w:tcBorders>
            <w:shd w:val="clear" w:color="auto" w:fill="auto"/>
            <w:noWrap/>
            <w:vAlign w:val="center"/>
            <w:hideMark/>
          </w:tcPr>
          <w:p w14:paraId="29DD512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2A7E705A"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42067709" w14:textId="77777777" w:rsidTr="005A284E">
        <w:trPr>
          <w:trHeight w:val="4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EE03050"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lastRenderedPageBreak/>
              <w:t>9233</w:t>
            </w:r>
          </w:p>
        </w:tc>
        <w:tc>
          <w:tcPr>
            <w:tcW w:w="1984" w:type="dxa"/>
            <w:tcBorders>
              <w:top w:val="nil"/>
              <w:left w:val="nil"/>
              <w:bottom w:val="single" w:sz="4" w:space="0" w:color="auto"/>
              <w:right w:val="single" w:sz="4" w:space="0" w:color="auto"/>
            </w:tcBorders>
            <w:shd w:val="clear" w:color="auto" w:fill="auto"/>
            <w:vAlign w:val="bottom"/>
            <w:hideMark/>
          </w:tcPr>
          <w:p w14:paraId="19AA1DFE" w14:textId="77777777" w:rsidR="00C27261" w:rsidRPr="00650D66" w:rsidRDefault="00C27261" w:rsidP="001B02D9">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materiale consumabile</w:t>
            </w:r>
          </w:p>
        </w:tc>
        <w:tc>
          <w:tcPr>
            <w:tcW w:w="1159" w:type="dxa"/>
            <w:tcBorders>
              <w:top w:val="nil"/>
              <w:left w:val="nil"/>
              <w:bottom w:val="single" w:sz="4" w:space="0" w:color="auto"/>
              <w:right w:val="single" w:sz="4" w:space="0" w:color="auto"/>
            </w:tcBorders>
            <w:shd w:val="clear" w:color="auto" w:fill="auto"/>
            <w:noWrap/>
            <w:vAlign w:val="bottom"/>
            <w:hideMark/>
          </w:tcPr>
          <w:p w14:paraId="2E4D643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379,13</w:t>
            </w:r>
          </w:p>
        </w:tc>
        <w:tc>
          <w:tcPr>
            <w:tcW w:w="913" w:type="dxa"/>
            <w:tcBorders>
              <w:top w:val="nil"/>
              <w:left w:val="nil"/>
              <w:bottom w:val="single" w:sz="4" w:space="0" w:color="auto"/>
              <w:right w:val="single" w:sz="4" w:space="0" w:color="auto"/>
            </w:tcBorders>
            <w:shd w:val="clear" w:color="auto" w:fill="auto"/>
            <w:noWrap/>
            <w:vAlign w:val="bottom"/>
            <w:hideMark/>
          </w:tcPr>
          <w:p w14:paraId="6A09EAF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1987076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6C33CAD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403,42</w:t>
            </w:r>
          </w:p>
        </w:tc>
        <w:tc>
          <w:tcPr>
            <w:tcW w:w="914" w:type="dxa"/>
            <w:tcBorders>
              <w:top w:val="nil"/>
              <w:left w:val="nil"/>
              <w:bottom w:val="single" w:sz="4" w:space="0" w:color="auto"/>
              <w:right w:val="single" w:sz="4" w:space="0" w:color="auto"/>
            </w:tcBorders>
            <w:shd w:val="clear" w:color="auto" w:fill="auto"/>
            <w:noWrap/>
            <w:vAlign w:val="bottom"/>
            <w:hideMark/>
          </w:tcPr>
          <w:p w14:paraId="19F889F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D0D07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5BDA775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334,28</w:t>
            </w:r>
          </w:p>
        </w:tc>
        <w:tc>
          <w:tcPr>
            <w:tcW w:w="914" w:type="dxa"/>
            <w:tcBorders>
              <w:top w:val="nil"/>
              <w:left w:val="nil"/>
              <w:bottom w:val="single" w:sz="4" w:space="0" w:color="auto"/>
              <w:right w:val="single" w:sz="4" w:space="0" w:color="auto"/>
            </w:tcBorders>
            <w:shd w:val="clear" w:color="auto" w:fill="auto"/>
            <w:noWrap/>
            <w:vAlign w:val="bottom"/>
            <w:hideMark/>
          </w:tcPr>
          <w:p w14:paraId="6721263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7DC4BFA2"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7FF8A30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506,09</w:t>
            </w:r>
          </w:p>
        </w:tc>
        <w:tc>
          <w:tcPr>
            <w:tcW w:w="983" w:type="dxa"/>
            <w:tcBorders>
              <w:top w:val="nil"/>
              <w:left w:val="nil"/>
              <w:bottom w:val="single" w:sz="4" w:space="0" w:color="auto"/>
              <w:right w:val="single" w:sz="4" w:space="0" w:color="auto"/>
            </w:tcBorders>
            <w:shd w:val="clear" w:color="auto" w:fill="auto"/>
            <w:noWrap/>
            <w:vAlign w:val="bottom"/>
            <w:hideMark/>
          </w:tcPr>
          <w:p w14:paraId="009278F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855" w:type="dxa"/>
            <w:tcBorders>
              <w:top w:val="nil"/>
              <w:left w:val="nil"/>
              <w:bottom w:val="single" w:sz="4" w:space="0" w:color="auto"/>
              <w:right w:val="single" w:sz="4" w:space="0" w:color="auto"/>
            </w:tcBorders>
            <w:shd w:val="clear" w:color="auto" w:fill="auto"/>
            <w:noWrap/>
            <w:vAlign w:val="center"/>
            <w:hideMark/>
          </w:tcPr>
          <w:p w14:paraId="0E38661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24B15494"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2B2A85F5" w14:textId="77777777" w:rsidTr="004B49C8">
        <w:trPr>
          <w:trHeight w:val="6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D117E7C"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9234</w:t>
            </w:r>
          </w:p>
        </w:tc>
        <w:tc>
          <w:tcPr>
            <w:tcW w:w="1984" w:type="dxa"/>
            <w:tcBorders>
              <w:top w:val="nil"/>
              <w:left w:val="nil"/>
              <w:bottom w:val="single" w:sz="4" w:space="0" w:color="auto"/>
              <w:right w:val="single" w:sz="4" w:space="0" w:color="auto"/>
            </w:tcBorders>
            <w:shd w:val="clear" w:color="auto" w:fill="auto"/>
            <w:vAlign w:val="bottom"/>
            <w:hideMark/>
          </w:tcPr>
          <w:p w14:paraId="732E0D8C" w14:textId="77777777" w:rsidR="00C27261" w:rsidRPr="00650D66" w:rsidRDefault="00C27261" w:rsidP="00AD0FA3">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cu echipamentul de </w:t>
            </w:r>
            <w:r w:rsidR="00E7055F" w:rsidRPr="00650D66">
              <w:rPr>
                <w:rFonts w:ascii="Times New Roman" w:eastAsia="Times New Roman" w:hAnsi="Times New Roman" w:cs="Times New Roman"/>
                <w:color w:val="000000"/>
                <w:sz w:val="18"/>
                <w:szCs w:val="18"/>
                <w:lang w:val="ro-RO"/>
              </w:rPr>
              <w:t>protecție</w:t>
            </w:r>
          </w:p>
        </w:tc>
        <w:tc>
          <w:tcPr>
            <w:tcW w:w="1159" w:type="dxa"/>
            <w:tcBorders>
              <w:top w:val="nil"/>
              <w:left w:val="nil"/>
              <w:bottom w:val="single" w:sz="4" w:space="0" w:color="auto"/>
              <w:right w:val="single" w:sz="4" w:space="0" w:color="auto"/>
            </w:tcBorders>
            <w:shd w:val="clear" w:color="auto" w:fill="auto"/>
            <w:noWrap/>
            <w:vAlign w:val="bottom"/>
            <w:hideMark/>
          </w:tcPr>
          <w:p w14:paraId="48CA9E0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33,00</w:t>
            </w:r>
          </w:p>
        </w:tc>
        <w:tc>
          <w:tcPr>
            <w:tcW w:w="913" w:type="dxa"/>
            <w:tcBorders>
              <w:top w:val="nil"/>
              <w:left w:val="nil"/>
              <w:bottom w:val="single" w:sz="4" w:space="0" w:color="auto"/>
              <w:right w:val="single" w:sz="4" w:space="0" w:color="auto"/>
            </w:tcBorders>
            <w:shd w:val="clear" w:color="auto" w:fill="auto"/>
            <w:noWrap/>
            <w:vAlign w:val="bottom"/>
            <w:hideMark/>
          </w:tcPr>
          <w:p w14:paraId="201D819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2701017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6CA18E3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3,16</w:t>
            </w:r>
          </w:p>
        </w:tc>
        <w:tc>
          <w:tcPr>
            <w:tcW w:w="914" w:type="dxa"/>
            <w:tcBorders>
              <w:top w:val="nil"/>
              <w:left w:val="nil"/>
              <w:bottom w:val="single" w:sz="4" w:space="0" w:color="auto"/>
              <w:right w:val="single" w:sz="4" w:space="0" w:color="auto"/>
            </w:tcBorders>
            <w:shd w:val="clear" w:color="auto" w:fill="auto"/>
            <w:noWrap/>
            <w:vAlign w:val="bottom"/>
            <w:hideMark/>
          </w:tcPr>
          <w:p w14:paraId="0CD8B97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15068D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34D2F30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9,59</w:t>
            </w:r>
          </w:p>
        </w:tc>
        <w:tc>
          <w:tcPr>
            <w:tcW w:w="914" w:type="dxa"/>
            <w:tcBorders>
              <w:top w:val="nil"/>
              <w:left w:val="nil"/>
              <w:bottom w:val="single" w:sz="4" w:space="0" w:color="auto"/>
              <w:right w:val="single" w:sz="4" w:space="0" w:color="auto"/>
            </w:tcBorders>
            <w:shd w:val="clear" w:color="auto" w:fill="auto"/>
            <w:noWrap/>
            <w:vAlign w:val="bottom"/>
            <w:hideMark/>
          </w:tcPr>
          <w:p w14:paraId="1BC2DF6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1E01A6F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4070550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11,56</w:t>
            </w:r>
          </w:p>
        </w:tc>
        <w:tc>
          <w:tcPr>
            <w:tcW w:w="983" w:type="dxa"/>
            <w:tcBorders>
              <w:top w:val="nil"/>
              <w:left w:val="nil"/>
              <w:bottom w:val="single" w:sz="4" w:space="0" w:color="auto"/>
              <w:right w:val="single" w:sz="4" w:space="0" w:color="auto"/>
            </w:tcBorders>
            <w:shd w:val="clear" w:color="auto" w:fill="auto"/>
            <w:noWrap/>
            <w:vAlign w:val="bottom"/>
            <w:hideMark/>
          </w:tcPr>
          <w:p w14:paraId="307B104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7C2CAE7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592CEA6F"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05A85272" w14:textId="77777777" w:rsidTr="00E22D79">
        <w:trPr>
          <w:trHeight w:val="47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961D57C"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9236</w:t>
            </w:r>
          </w:p>
        </w:tc>
        <w:tc>
          <w:tcPr>
            <w:tcW w:w="1984" w:type="dxa"/>
            <w:tcBorders>
              <w:top w:val="nil"/>
              <w:left w:val="nil"/>
              <w:bottom w:val="single" w:sz="4" w:space="0" w:color="auto"/>
              <w:right w:val="single" w:sz="4" w:space="0" w:color="auto"/>
            </w:tcBorders>
            <w:shd w:val="clear" w:color="auto" w:fill="auto"/>
            <w:vAlign w:val="bottom"/>
            <w:hideMark/>
          </w:tcPr>
          <w:p w14:paraId="5947A27A" w14:textId="77777777" w:rsidR="00C27261" w:rsidRPr="00650D66" w:rsidRDefault="00C27261" w:rsidP="00AD0FA3">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de judecată </w:t>
            </w:r>
            <w:proofErr w:type="spellStart"/>
            <w:r w:rsidRPr="00650D66">
              <w:rPr>
                <w:rFonts w:ascii="Times New Roman" w:eastAsia="Times New Roman" w:hAnsi="Times New Roman" w:cs="Times New Roman"/>
                <w:color w:val="000000"/>
                <w:sz w:val="18"/>
                <w:szCs w:val="18"/>
                <w:lang w:val="ro-RO"/>
              </w:rPr>
              <w:t>şi</w:t>
            </w:r>
            <w:proofErr w:type="spellEnd"/>
            <w:r w:rsidRPr="00650D66">
              <w:rPr>
                <w:rFonts w:ascii="Times New Roman" w:eastAsia="Times New Roman" w:hAnsi="Times New Roman" w:cs="Times New Roman"/>
                <w:color w:val="000000"/>
                <w:sz w:val="18"/>
                <w:szCs w:val="18"/>
                <w:lang w:val="ro-RO"/>
              </w:rPr>
              <w:t xml:space="preserve"> taxele de stat</w:t>
            </w:r>
          </w:p>
        </w:tc>
        <w:tc>
          <w:tcPr>
            <w:tcW w:w="1159" w:type="dxa"/>
            <w:tcBorders>
              <w:top w:val="nil"/>
              <w:left w:val="nil"/>
              <w:bottom w:val="single" w:sz="4" w:space="0" w:color="auto"/>
              <w:right w:val="single" w:sz="4" w:space="0" w:color="auto"/>
            </w:tcBorders>
            <w:shd w:val="clear" w:color="auto" w:fill="auto"/>
            <w:noWrap/>
            <w:vAlign w:val="bottom"/>
            <w:hideMark/>
          </w:tcPr>
          <w:p w14:paraId="2C31178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168,82</w:t>
            </w:r>
          </w:p>
        </w:tc>
        <w:tc>
          <w:tcPr>
            <w:tcW w:w="913" w:type="dxa"/>
            <w:tcBorders>
              <w:top w:val="nil"/>
              <w:left w:val="nil"/>
              <w:bottom w:val="single" w:sz="4" w:space="0" w:color="auto"/>
              <w:right w:val="single" w:sz="4" w:space="0" w:color="auto"/>
            </w:tcBorders>
            <w:shd w:val="clear" w:color="auto" w:fill="auto"/>
            <w:noWrap/>
            <w:vAlign w:val="bottom"/>
            <w:hideMark/>
          </w:tcPr>
          <w:p w14:paraId="725FB35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C70C82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6DBB8A8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687,94</w:t>
            </w:r>
          </w:p>
        </w:tc>
        <w:tc>
          <w:tcPr>
            <w:tcW w:w="914" w:type="dxa"/>
            <w:tcBorders>
              <w:top w:val="nil"/>
              <w:left w:val="nil"/>
              <w:bottom w:val="single" w:sz="4" w:space="0" w:color="auto"/>
              <w:right w:val="single" w:sz="4" w:space="0" w:color="auto"/>
            </w:tcBorders>
            <w:shd w:val="clear" w:color="auto" w:fill="auto"/>
            <w:noWrap/>
            <w:vAlign w:val="bottom"/>
            <w:hideMark/>
          </w:tcPr>
          <w:p w14:paraId="4EBF7C9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1BBBB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79FE50C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835,38</w:t>
            </w:r>
          </w:p>
        </w:tc>
        <w:tc>
          <w:tcPr>
            <w:tcW w:w="914" w:type="dxa"/>
            <w:tcBorders>
              <w:top w:val="nil"/>
              <w:left w:val="nil"/>
              <w:bottom w:val="single" w:sz="4" w:space="0" w:color="auto"/>
              <w:right w:val="single" w:sz="4" w:space="0" w:color="auto"/>
            </w:tcBorders>
            <w:shd w:val="clear" w:color="auto" w:fill="auto"/>
            <w:noWrap/>
            <w:vAlign w:val="bottom"/>
            <w:hideMark/>
          </w:tcPr>
          <w:p w14:paraId="2C6D933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42%</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02B5BCB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1115652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739,15</w:t>
            </w:r>
          </w:p>
        </w:tc>
        <w:tc>
          <w:tcPr>
            <w:tcW w:w="983" w:type="dxa"/>
            <w:tcBorders>
              <w:top w:val="nil"/>
              <w:left w:val="nil"/>
              <w:bottom w:val="single" w:sz="4" w:space="0" w:color="auto"/>
              <w:right w:val="single" w:sz="4" w:space="0" w:color="auto"/>
            </w:tcBorders>
            <w:shd w:val="clear" w:color="auto" w:fill="auto"/>
            <w:noWrap/>
            <w:vAlign w:val="bottom"/>
            <w:hideMark/>
          </w:tcPr>
          <w:p w14:paraId="7CD5D37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28%</w:t>
            </w:r>
          </w:p>
        </w:tc>
        <w:tc>
          <w:tcPr>
            <w:tcW w:w="855" w:type="dxa"/>
            <w:tcBorders>
              <w:top w:val="nil"/>
              <w:left w:val="nil"/>
              <w:bottom w:val="single" w:sz="4" w:space="0" w:color="auto"/>
              <w:right w:val="single" w:sz="4" w:space="0" w:color="auto"/>
            </w:tcBorders>
            <w:shd w:val="clear" w:color="auto" w:fill="auto"/>
            <w:noWrap/>
            <w:vAlign w:val="center"/>
            <w:hideMark/>
          </w:tcPr>
          <w:p w14:paraId="321DA43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3630B54E"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00F97199" w14:textId="77777777" w:rsidTr="00E22D79">
        <w:trPr>
          <w:trHeight w:val="28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56FA27A"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9237</w:t>
            </w:r>
          </w:p>
        </w:tc>
        <w:tc>
          <w:tcPr>
            <w:tcW w:w="1984" w:type="dxa"/>
            <w:tcBorders>
              <w:top w:val="nil"/>
              <w:left w:val="nil"/>
              <w:bottom w:val="single" w:sz="4" w:space="0" w:color="auto"/>
              <w:right w:val="single" w:sz="4" w:space="0" w:color="auto"/>
            </w:tcBorders>
            <w:shd w:val="clear" w:color="auto" w:fill="auto"/>
            <w:vAlign w:val="bottom"/>
            <w:hideMark/>
          </w:tcPr>
          <w:p w14:paraId="46B8EB9A" w14:textId="77777777" w:rsidR="00C27261" w:rsidRPr="00650D66" w:rsidRDefault="00C27261" w:rsidP="00AD0FA3">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generale</w:t>
            </w:r>
          </w:p>
        </w:tc>
        <w:tc>
          <w:tcPr>
            <w:tcW w:w="1159" w:type="dxa"/>
            <w:tcBorders>
              <w:top w:val="nil"/>
              <w:left w:val="nil"/>
              <w:bottom w:val="single" w:sz="4" w:space="0" w:color="auto"/>
              <w:right w:val="single" w:sz="4" w:space="0" w:color="auto"/>
            </w:tcBorders>
            <w:shd w:val="clear" w:color="auto" w:fill="auto"/>
            <w:noWrap/>
            <w:vAlign w:val="bottom"/>
            <w:hideMark/>
          </w:tcPr>
          <w:p w14:paraId="3F333F2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900,86</w:t>
            </w:r>
          </w:p>
        </w:tc>
        <w:tc>
          <w:tcPr>
            <w:tcW w:w="913" w:type="dxa"/>
            <w:tcBorders>
              <w:top w:val="nil"/>
              <w:left w:val="nil"/>
              <w:bottom w:val="single" w:sz="4" w:space="0" w:color="auto"/>
              <w:right w:val="single" w:sz="4" w:space="0" w:color="auto"/>
            </w:tcBorders>
            <w:shd w:val="clear" w:color="auto" w:fill="auto"/>
            <w:noWrap/>
            <w:vAlign w:val="bottom"/>
            <w:hideMark/>
          </w:tcPr>
          <w:p w14:paraId="2C0A643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25B3F39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0394BEA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537,36</w:t>
            </w:r>
          </w:p>
        </w:tc>
        <w:tc>
          <w:tcPr>
            <w:tcW w:w="914" w:type="dxa"/>
            <w:tcBorders>
              <w:top w:val="nil"/>
              <w:left w:val="nil"/>
              <w:bottom w:val="single" w:sz="4" w:space="0" w:color="auto"/>
              <w:right w:val="single" w:sz="4" w:space="0" w:color="auto"/>
            </w:tcBorders>
            <w:shd w:val="clear" w:color="auto" w:fill="auto"/>
            <w:noWrap/>
            <w:vAlign w:val="bottom"/>
            <w:hideMark/>
          </w:tcPr>
          <w:p w14:paraId="7C61C0A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D28161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15E53BC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589,20</w:t>
            </w:r>
          </w:p>
        </w:tc>
        <w:tc>
          <w:tcPr>
            <w:tcW w:w="914" w:type="dxa"/>
            <w:tcBorders>
              <w:top w:val="nil"/>
              <w:left w:val="nil"/>
              <w:bottom w:val="single" w:sz="4" w:space="0" w:color="auto"/>
              <w:right w:val="single" w:sz="4" w:space="0" w:color="auto"/>
            </w:tcBorders>
            <w:shd w:val="clear" w:color="auto" w:fill="auto"/>
            <w:noWrap/>
            <w:vAlign w:val="bottom"/>
            <w:hideMark/>
          </w:tcPr>
          <w:p w14:paraId="163290E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29%</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2CED47A2"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25E1CC4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980,52</w:t>
            </w:r>
          </w:p>
        </w:tc>
        <w:tc>
          <w:tcPr>
            <w:tcW w:w="983" w:type="dxa"/>
            <w:tcBorders>
              <w:top w:val="nil"/>
              <w:left w:val="nil"/>
              <w:bottom w:val="single" w:sz="4" w:space="0" w:color="auto"/>
              <w:right w:val="single" w:sz="4" w:space="0" w:color="auto"/>
            </w:tcBorders>
            <w:shd w:val="clear" w:color="auto" w:fill="auto"/>
            <w:noWrap/>
            <w:vAlign w:val="bottom"/>
            <w:hideMark/>
          </w:tcPr>
          <w:p w14:paraId="62674D2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w:t>
            </w:r>
          </w:p>
        </w:tc>
        <w:tc>
          <w:tcPr>
            <w:tcW w:w="855" w:type="dxa"/>
            <w:tcBorders>
              <w:top w:val="nil"/>
              <w:left w:val="nil"/>
              <w:bottom w:val="single" w:sz="4" w:space="0" w:color="auto"/>
              <w:right w:val="single" w:sz="4" w:space="0" w:color="auto"/>
            </w:tcBorders>
            <w:shd w:val="clear" w:color="auto" w:fill="auto"/>
            <w:noWrap/>
            <w:vAlign w:val="center"/>
            <w:hideMark/>
          </w:tcPr>
          <w:p w14:paraId="3007F7A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3CB4D919"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6692FA9F" w14:textId="77777777" w:rsidTr="00E22D79">
        <w:trPr>
          <w:trHeight w:val="4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87A211"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9238</w:t>
            </w:r>
          </w:p>
        </w:tc>
        <w:tc>
          <w:tcPr>
            <w:tcW w:w="1984" w:type="dxa"/>
            <w:tcBorders>
              <w:top w:val="nil"/>
              <w:left w:val="nil"/>
              <w:bottom w:val="single" w:sz="4" w:space="0" w:color="auto"/>
              <w:right w:val="single" w:sz="4" w:space="0" w:color="auto"/>
            </w:tcBorders>
            <w:shd w:val="clear" w:color="auto" w:fill="auto"/>
            <w:vAlign w:val="bottom"/>
            <w:hideMark/>
          </w:tcPr>
          <w:p w14:paraId="7A615BD0" w14:textId="77777777" w:rsidR="00C27261" w:rsidRPr="00650D66" w:rsidRDefault="00C27261" w:rsidP="00AD0FA3">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dobânzi privind leasingul</w:t>
            </w:r>
          </w:p>
        </w:tc>
        <w:tc>
          <w:tcPr>
            <w:tcW w:w="1159" w:type="dxa"/>
            <w:tcBorders>
              <w:top w:val="nil"/>
              <w:left w:val="nil"/>
              <w:bottom w:val="single" w:sz="4" w:space="0" w:color="auto"/>
              <w:right w:val="single" w:sz="4" w:space="0" w:color="auto"/>
            </w:tcBorders>
            <w:shd w:val="clear" w:color="auto" w:fill="auto"/>
            <w:noWrap/>
            <w:vAlign w:val="bottom"/>
            <w:hideMark/>
          </w:tcPr>
          <w:p w14:paraId="040C26B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p>
        </w:tc>
        <w:tc>
          <w:tcPr>
            <w:tcW w:w="913" w:type="dxa"/>
            <w:tcBorders>
              <w:top w:val="nil"/>
              <w:left w:val="nil"/>
              <w:bottom w:val="single" w:sz="4" w:space="0" w:color="auto"/>
              <w:right w:val="single" w:sz="4" w:space="0" w:color="auto"/>
            </w:tcBorders>
            <w:shd w:val="clear" w:color="auto" w:fill="auto"/>
            <w:noWrap/>
            <w:vAlign w:val="bottom"/>
            <w:hideMark/>
          </w:tcPr>
          <w:p w14:paraId="6134E59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455969F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1241F4F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165,45</w:t>
            </w:r>
          </w:p>
        </w:tc>
        <w:tc>
          <w:tcPr>
            <w:tcW w:w="914" w:type="dxa"/>
            <w:tcBorders>
              <w:top w:val="nil"/>
              <w:left w:val="nil"/>
              <w:bottom w:val="single" w:sz="4" w:space="0" w:color="auto"/>
              <w:right w:val="single" w:sz="4" w:space="0" w:color="auto"/>
            </w:tcBorders>
            <w:shd w:val="clear" w:color="auto" w:fill="auto"/>
            <w:noWrap/>
            <w:vAlign w:val="bottom"/>
            <w:hideMark/>
          </w:tcPr>
          <w:p w14:paraId="075FFE0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A118E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27451EE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103,03</w:t>
            </w:r>
          </w:p>
        </w:tc>
        <w:tc>
          <w:tcPr>
            <w:tcW w:w="914" w:type="dxa"/>
            <w:tcBorders>
              <w:top w:val="nil"/>
              <w:left w:val="nil"/>
              <w:bottom w:val="single" w:sz="4" w:space="0" w:color="auto"/>
              <w:right w:val="single" w:sz="4" w:space="0" w:color="auto"/>
            </w:tcBorders>
            <w:shd w:val="clear" w:color="auto" w:fill="auto"/>
            <w:noWrap/>
            <w:vAlign w:val="bottom"/>
            <w:hideMark/>
          </w:tcPr>
          <w:p w14:paraId="21BF344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3F4434C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36AA3CC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206,35</w:t>
            </w:r>
          </w:p>
        </w:tc>
        <w:tc>
          <w:tcPr>
            <w:tcW w:w="983" w:type="dxa"/>
            <w:tcBorders>
              <w:top w:val="nil"/>
              <w:left w:val="nil"/>
              <w:bottom w:val="single" w:sz="4" w:space="0" w:color="auto"/>
              <w:right w:val="single" w:sz="4" w:space="0" w:color="auto"/>
            </w:tcBorders>
            <w:shd w:val="clear" w:color="auto" w:fill="auto"/>
            <w:noWrap/>
            <w:vAlign w:val="bottom"/>
            <w:hideMark/>
          </w:tcPr>
          <w:p w14:paraId="3BEA100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5" w:type="dxa"/>
            <w:tcBorders>
              <w:top w:val="nil"/>
              <w:left w:val="nil"/>
              <w:bottom w:val="single" w:sz="4" w:space="0" w:color="auto"/>
              <w:right w:val="single" w:sz="4" w:space="0" w:color="auto"/>
            </w:tcBorders>
            <w:shd w:val="clear" w:color="auto" w:fill="auto"/>
            <w:noWrap/>
            <w:vAlign w:val="center"/>
            <w:hideMark/>
          </w:tcPr>
          <w:p w14:paraId="1D76D5A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72EF6F6F"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61C4A398" w14:textId="77777777" w:rsidTr="00121062">
        <w:trPr>
          <w:trHeight w:val="379"/>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2FA584FF"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9250</w:t>
            </w:r>
          </w:p>
        </w:tc>
        <w:tc>
          <w:tcPr>
            <w:tcW w:w="1984" w:type="dxa"/>
            <w:tcBorders>
              <w:top w:val="nil"/>
              <w:left w:val="nil"/>
              <w:bottom w:val="single" w:sz="4" w:space="0" w:color="auto"/>
              <w:right w:val="single" w:sz="4" w:space="0" w:color="auto"/>
            </w:tcBorders>
            <w:shd w:val="clear" w:color="000000" w:fill="F2F2F2"/>
            <w:vAlign w:val="bottom"/>
            <w:hideMark/>
          </w:tcPr>
          <w:p w14:paraId="7BEBFF4D"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de întreținere și reparație</w:t>
            </w:r>
          </w:p>
        </w:tc>
        <w:tc>
          <w:tcPr>
            <w:tcW w:w="1159" w:type="dxa"/>
            <w:tcBorders>
              <w:top w:val="nil"/>
              <w:left w:val="nil"/>
              <w:bottom w:val="single" w:sz="4" w:space="0" w:color="auto"/>
              <w:right w:val="single" w:sz="4" w:space="0" w:color="auto"/>
            </w:tcBorders>
            <w:shd w:val="clear" w:color="000000" w:fill="F2F2F2"/>
            <w:noWrap/>
            <w:vAlign w:val="center"/>
            <w:hideMark/>
          </w:tcPr>
          <w:p w14:paraId="27AE36EB" w14:textId="77777777" w:rsidR="00C27261" w:rsidRPr="00650D66" w:rsidRDefault="00792703"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8.424,4</w:t>
            </w:r>
          </w:p>
        </w:tc>
        <w:tc>
          <w:tcPr>
            <w:tcW w:w="913" w:type="dxa"/>
            <w:tcBorders>
              <w:top w:val="nil"/>
              <w:left w:val="nil"/>
              <w:bottom w:val="single" w:sz="4" w:space="0" w:color="auto"/>
              <w:right w:val="single" w:sz="4" w:space="0" w:color="auto"/>
            </w:tcBorders>
            <w:shd w:val="clear" w:color="000000" w:fill="F2F2F2"/>
            <w:noWrap/>
            <w:vAlign w:val="center"/>
            <w:hideMark/>
          </w:tcPr>
          <w:p w14:paraId="617D9848"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2A47E3DD"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94%</w:t>
            </w:r>
          </w:p>
        </w:tc>
        <w:tc>
          <w:tcPr>
            <w:tcW w:w="981" w:type="dxa"/>
            <w:tcBorders>
              <w:top w:val="nil"/>
              <w:left w:val="nil"/>
              <w:bottom w:val="single" w:sz="4" w:space="0" w:color="auto"/>
              <w:right w:val="single" w:sz="4" w:space="0" w:color="auto"/>
            </w:tcBorders>
            <w:shd w:val="clear" w:color="000000" w:fill="F2F2F2"/>
            <w:noWrap/>
            <w:vAlign w:val="center"/>
            <w:hideMark/>
          </w:tcPr>
          <w:p w14:paraId="22FD69BB" w14:textId="77777777" w:rsidR="00C27261" w:rsidRPr="00650D66" w:rsidRDefault="00792703"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9.172,1</w:t>
            </w:r>
          </w:p>
        </w:tc>
        <w:tc>
          <w:tcPr>
            <w:tcW w:w="914" w:type="dxa"/>
            <w:tcBorders>
              <w:top w:val="nil"/>
              <w:left w:val="nil"/>
              <w:bottom w:val="single" w:sz="4" w:space="0" w:color="auto"/>
              <w:right w:val="single" w:sz="4" w:space="0" w:color="auto"/>
            </w:tcBorders>
            <w:shd w:val="clear" w:color="000000" w:fill="F2F2F2"/>
            <w:noWrap/>
            <w:vAlign w:val="center"/>
            <w:hideMark/>
          </w:tcPr>
          <w:p w14:paraId="6ECDF99B"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6EEDA4DE"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2DDAD8B4" w14:textId="77777777" w:rsidR="00C27261" w:rsidRPr="00650D66" w:rsidRDefault="00792703"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10.499,4</w:t>
            </w:r>
            <w:r w:rsidR="00C27261" w:rsidRPr="00650D66">
              <w:rPr>
                <w:rFonts w:ascii="Times New Roman" w:eastAsia="Times New Roman" w:hAnsi="Times New Roman" w:cs="Times New Roman"/>
                <w:b/>
                <w:bCs/>
                <w:color w:val="000000"/>
                <w:sz w:val="18"/>
                <w:szCs w:val="18"/>
                <w:lang w:val="ro-RO"/>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3FB83533"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18DDCE21"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95%</w:t>
            </w:r>
          </w:p>
        </w:tc>
        <w:tc>
          <w:tcPr>
            <w:tcW w:w="1025" w:type="dxa"/>
            <w:tcBorders>
              <w:top w:val="nil"/>
              <w:left w:val="nil"/>
              <w:bottom w:val="single" w:sz="4" w:space="0" w:color="auto"/>
              <w:right w:val="single" w:sz="4" w:space="0" w:color="auto"/>
            </w:tcBorders>
            <w:shd w:val="clear" w:color="000000" w:fill="F2F2F2"/>
            <w:noWrap/>
            <w:vAlign w:val="center"/>
            <w:hideMark/>
          </w:tcPr>
          <w:p w14:paraId="10399159" w14:textId="77777777" w:rsidR="00C27261" w:rsidRPr="00650D66" w:rsidRDefault="00792703"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18.843,4</w:t>
            </w:r>
            <w:r w:rsidR="00C27261" w:rsidRPr="00650D66">
              <w:rPr>
                <w:rFonts w:ascii="Times New Roman" w:eastAsia="Times New Roman" w:hAnsi="Times New Roman" w:cs="Times New Roman"/>
                <w:b/>
                <w:bCs/>
                <w:color w:val="000000"/>
                <w:sz w:val="18"/>
                <w:szCs w:val="18"/>
                <w:lang w:val="ro-RO"/>
              </w:rPr>
              <w:t xml:space="preserve"> </w:t>
            </w:r>
          </w:p>
        </w:tc>
        <w:tc>
          <w:tcPr>
            <w:tcW w:w="983" w:type="dxa"/>
            <w:tcBorders>
              <w:top w:val="nil"/>
              <w:left w:val="nil"/>
              <w:bottom w:val="single" w:sz="4" w:space="0" w:color="auto"/>
              <w:right w:val="single" w:sz="4" w:space="0" w:color="auto"/>
            </w:tcBorders>
            <w:shd w:val="clear" w:color="000000" w:fill="F2F2F2"/>
            <w:noWrap/>
            <w:vAlign w:val="center"/>
            <w:hideMark/>
          </w:tcPr>
          <w:p w14:paraId="0B89B025"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3C372062"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96%</w:t>
            </w:r>
          </w:p>
        </w:tc>
        <w:tc>
          <w:tcPr>
            <w:tcW w:w="823" w:type="dxa"/>
            <w:tcBorders>
              <w:top w:val="nil"/>
              <w:left w:val="nil"/>
              <w:bottom w:val="single" w:sz="4" w:space="0" w:color="auto"/>
              <w:right w:val="single" w:sz="4" w:space="0" w:color="auto"/>
            </w:tcBorders>
            <w:shd w:val="clear" w:color="000000" w:fill="F2F2F2"/>
            <w:noWrap/>
            <w:vAlign w:val="center"/>
            <w:hideMark/>
          </w:tcPr>
          <w:p w14:paraId="29E21822"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&gt;5%</w:t>
            </w:r>
          </w:p>
        </w:tc>
      </w:tr>
      <w:tr w:rsidR="00B95F09" w:rsidRPr="00650D66" w14:paraId="042DF2ED" w14:textId="77777777" w:rsidTr="00121062">
        <w:trPr>
          <w:trHeight w:val="64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FC4F6DA"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9251</w:t>
            </w:r>
          </w:p>
        </w:tc>
        <w:tc>
          <w:tcPr>
            <w:tcW w:w="1984" w:type="dxa"/>
            <w:tcBorders>
              <w:top w:val="nil"/>
              <w:left w:val="nil"/>
              <w:bottom w:val="single" w:sz="4" w:space="0" w:color="auto"/>
              <w:right w:val="single" w:sz="4" w:space="0" w:color="auto"/>
            </w:tcBorders>
            <w:shd w:val="clear" w:color="auto" w:fill="auto"/>
            <w:vAlign w:val="bottom"/>
            <w:hideMark/>
          </w:tcPr>
          <w:p w14:paraId="523EF3F8" w14:textId="77777777" w:rsidR="00C27261" w:rsidRPr="00650D66" w:rsidRDefault="00C27261" w:rsidP="001A12DF">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de </w:t>
            </w:r>
            <w:r w:rsidR="00792703" w:rsidRPr="00650D66">
              <w:rPr>
                <w:rFonts w:ascii="Times New Roman" w:eastAsia="Times New Roman" w:hAnsi="Times New Roman" w:cs="Times New Roman"/>
                <w:color w:val="000000"/>
                <w:sz w:val="18"/>
                <w:szCs w:val="18"/>
                <w:lang w:val="ro-RO"/>
              </w:rPr>
              <w:t>întreținere</w:t>
            </w:r>
            <w:r w:rsidRPr="00650D66">
              <w:rPr>
                <w:rFonts w:ascii="Times New Roman" w:eastAsia="Times New Roman" w:hAnsi="Times New Roman" w:cs="Times New Roman"/>
                <w:color w:val="000000"/>
                <w:sz w:val="18"/>
                <w:szCs w:val="18"/>
                <w:lang w:val="ro-RO"/>
              </w:rPr>
              <w:t xml:space="preserve"> a transportului auto de serviciu </w:t>
            </w:r>
            <w:proofErr w:type="spellStart"/>
            <w:r w:rsidRPr="00650D66">
              <w:rPr>
                <w:rFonts w:ascii="Times New Roman" w:eastAsia="Times New Roman" w:hAnsi="Times New Roman" w:cs="Times New Roman"/>
                <w:color w:val="000000"/>
                <w:sz w:val="18"/>
                <w:szCs w:val="18"/>
                <w:lang w:val="ro-RO"/>
              </w:rPr>
              <w:t>şi</w:t>
            </w:r>
            <w:proofErr w:type="spellEnd"/>
            <w:r w:rsidRPr="00650D66">
              <w:rPr>
                <w:rFonts w:ascii="Times New Roman" w:eastAsia="Times New Roman" w:hAnsi="Times New Roman" w:cs="Times New Roman"/>
                <w:color w:val="000000"/>
                <w:sz w:val="18"/>
                <w:szCs w:val="18"/>
                <w:lang w:val="ro-RO"/>
              </w:rPr>
              <w:t xml:space="preserve"> specializat</w:t>
            </w:r>
          </w:p>
        </w:tc>
        <w:tc>
          <w:tcPr>
            <w:tcW w:w="1159" w:type="dxa"/>
            <w:tcBorders>
              <w:top w:val="nil"/>
              <w:left w:val="nil"/>
              <w:bottom w:val="single" w:sz="4" w:space="0" w:color="auto"/>
              <w:right w:val="single" w:sz="4" w:space="0" w:color="auto"/>
            </w:tcBorders>
            <w:shd w:val="clear" w:color="auto" w:fill="auto"/>
            <w:noWrap/>
            <w:vAlign w:val="bottom"/>
            <w:hideMark/>
          </w:tcPr>
          <w:p w14:paraId="542244B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302,22</w:t>
            </w:r>
          </w:p>
        </w:tc>
        <w:tc>
          <w:tcPr>
            <w:tcW w:w="913" w:type="dxa"/>
            <w:tcBorders>
              <w:top w:val="nil"/>
              <w:left w:val="nil"/>
              <w:bottom w:val="single" w:sz="4" w:space="0" w:color="auto"/>
              <w:right w:val="single" w:sz="4" w:space="0" w:color="auto"/>
            </w:tcBorders>
            <w:shd w:val="clear" w:color="auto" w:fill="auto"/>
            <w:noWrap/>
            <w:vAlign w:val="bottom"/>
            <w:hideMark/>
          </w:tcPr>
          <w:p w14:paraId="41B2EF3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0890809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2AA2697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330,80</w:t>
            </w:r>
          </w:p>
        </w:tc>
        <w:tc>
          <w:tcPr>
            <w:tcW w:w="914" w:type="dxa"/>
            <w:tcBorders>
              <w:top w:val="nil"/>
              <w:left w:val="nil"/>
              <w:bottom w:val="single" w:sz="4" w:space="0" w:color="auto"/>
              <w:right w:val="single" w:sz="4" w:space="0" w:color="auto"/>
            </w:tcBorders>
            <w:shd w:val="clear" w:color="auto" w:fill="auto"/>
            <w:noWrap/>
            <w:vAlign w:val="bottom"/>
            <w:hideMark/>
          </w:tcPr>
          <w:p w14:paraId="33B3D13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46D270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3A7F3CC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410,53</w:t>
            </w:r>
          </w:p>
        </w:tc>
        <w:tc>
          <w:tcPr>
            <w:tcW w:w="914" w:type="dxa"/>
            <w:tcBorders>
              <w:top w:val="nil"/>
              <w:left w:val="nil"/>
              <w:bottom w:val="single" w:sz="4" w:space="0" w:color="auto"/>
              <w:right w:val="single" w:sz="4" w:space="0" w:color="auto"/>
            </w:tcBorders>
            <w:shd w:val="clear" w:color="auto" w:fill="auto"/>
            <w:noWrap/>
            <w:vAlign w:val="bottom"/>
            <w:hideMark/>
          </w:tcPr>
          <w:p w14:paraId="3E4B036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5ECE0B8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219C87E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462,76</w:t>
            </w:r>
          </w:p>
        </w:tc>
        <w:tc>
          <w:tcPr>
            <w:tcW w:w="983" w:type="dxa"/>
            <w:tcBorders>
              <w:top w:val="nil"/>
              <w:left w:val="nil"/>
              <w:bottom w:val="single" w:sz="4" w:space="0" w:color="auto"/>
              <w:right w:val="single" w:sz="4" w:space="0" w:color="auto"/>
            </w:tcBorders>
            <w:shd w:val="clear" w:color="auto" w:fill="auto"/>
            <w:noWrap/>
            <w:vAlign w:val="bottom"/>
            <w:hideMark/>
          </w:tcPr>
          <w:p w14:paraId="0D17085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55" w:type="dxa"/>
            <w:tcBorders>
              <w:top w:val="nil"/>
              <w:left w:val="nil"/>
              <w:bottom w:val="single" w:sz="4" w:space="0" w:color="auto"/>
              <w:right w:val="single" w:sz="4" w:space="0" w:color="auto"/>
            </w:tcBorders>
            <w:shd w:val="clear" w:color="auto" w:fill="auto"/>
            <w:noWrap/>
            <w:vAlign w:val="center"/>
            <w:hideMark/>
          </w:tcPr>
          <w:p w14:paraId="47A8578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2033F440"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1EB826E5" w14:textId="77777777" w:rsidTr="00121062">
        <w:trPr>
          <w:trHeight w:val="67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CD1FFF"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9252</w:t>
            </w:r>
          </w:p>
        </w:tc>
        <w:tc>
          <w:tcPr>
            <w:tcW w:w="1984" w:type="dxa"/>
            <w:tcBorders>
              <w:top w:val="nil"/>
              <w:left w:val="nil"/>
              <w:bottom w:val="single" w:sz="4" w:space="0" w:color="auto"/>
              <w:right w:val="single" w:sz="4" w:space="0" w:color="auto"/>
            </w:tcBorders>
            <w:shd w:val="clear" w:color="auto" w:fill="auto"/>
            <w:vAlign w:val="bottom"/>
            <w:hideMark/>
          </w:tcPr>
          <w:p w14:paraId="655178CA" w14:textId="77777777" w:rsidR="00C27261" w:rsidRPr="00650D66" w:rsidRDefault="00C27261" w:rsidP="001A12DF">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w:t>
            </w:r>
            <w:r w:rsidR="00792703" w:rsidRPr="00650D66">
              <w:rPr>
                <w:rFonts w:ascii="Times New Roman" w:eastAsia="Times New Roman" w:hAnsi="Times New Roman" w:cs="Times New Roman"/>
                <w:color w:val="000000"/>
                <w:sz w:val="18"/>
                <w:szCs w:val="18"/>
                <w:lang w:val="ro-RO"/>
              </w:rPr>
              <w:t>reparația</w:t>
            </w:r>
            <w:r w:rsidRPr="00650D66">
              <w:rPr>
                <w:rFonts w:ascii="Times New Roman" w:eastAsia="Times New Roman" w:hAnsi="Times New Roman" w:cs="Times New Roman"/>
                <w:color w:val="000000"/>
                <w:sz w:val="18"/>
                <w:szCs w:val="18"/>
                <w:lang w:val="ro-RO"/>
              </w:rPr>
              <w:t xml:space="preserve"> clădirii, utilajului </w:t>
            </w:r>
            <w:proofErr w:type="spellStart"/>
            <w:r w:rsidRPr="00650D66">
              <w:rPr>
                <w:rFonts w:ascii="Times New Roman" w:eastAsia="Times New Roman" w:hAnsi="Times New Roman" w:cs="Times New Roman"/>
                <w:color w:val="000000"/>
                <w:sz w:val="18"/>
                <w:szCs w:val="18"/>
                <w:lang w:val="ro-RO"/>
              </w:rPr>
              <w:t>şi</w:t>
            </w:r>
            <w:proofErr w:type="spellEnd"/>
            <w:r w:rsidRPr="00650D66">
              <w:rPr>
                <w:rFonts w:ascii="Times New Roman" w:eastAsia="Times New Roman" w:hAnsi="Times New Roman" w:cs="Times New Roman"/>
                <w:color w:val="000000"/>
                <w:sz w:val="18"/>
                <w:szCs w:val="18"/>
                <w:lang w:val="ro-RO"/>
              </w:rPr>
              <w:t xml:space="preserve"> transportului</w:t>
            </w:r>
          </w:p>
        </w:tc>
        <w:tc>
          <w:tcPr>
            <w:tcW w:w="1159" w:type="dxa"/>
            <w:tcBorders>
              <w:top w:val="nil"/>
              <w:left w:val="nil"/>
              <w:bottom w:val="single" w:sz="4" w:space="0" w:color="auto"/>
              <w:right w:val="single" w:sz="4" w:space="0" w:color="auto"/>
            </w:tcBorders>
            <w:shd w:val="clear" w:color="auto" w:fill="auto"/>
            <w:noWrap/>
            <w:vAlign w:val="bottom"/>
            <w:hideMark/>
          </w:tcPr>
          <w:p w14:paraId="0193C0A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553,04</w:t>
            </w:r>
          </w:p>
        </w:tc>
        <w:tc>
          <w:tcPr>
            <w:tcW w:w="913" w:type="dxa"/>
            <w:tcBorders>
              <w:top w:val="nil"/>
              <w:left w:val="nil"/>
              <w:bottom w:val="single" w:sz="4" w:space="0" w:color="auto"/>
              <w:right w:val="single" w:sz="4" w:space="0" w:color="auto"/>
            </w:tcBorders>
            <w:shd w:val="clear" w:color="auto" w:fill="auto"/>
            <w:noWrap/>
            <w:vAlign w:val="bottom"/>
            <w:hideMark/>
          </w:tcPr>
          <w:p w14:paraId="1C53071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38439BDA"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14BEDCC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179,63</w:t>
            </w:r>
          </w:p>
        </w:tc>
        <w:tc>
          <w:tcPr>
            <w:tcW w:w="914" w:type="dxa"/>
            <w:tcBorders>
              <w:top w:val="nil"/>
              <w:left w:val="nil"/>
              <w:bottom w:val="single" w:sz="4" w:space="0" w:color="auto"/>
              <w:right w:val="single" w:sz="4" w:space="0" w:color="auto"/>
            </w:tcBorders>
            <w:shd w:val="clear" w:color="auto" w:fill="auto"/>
            <w:noWrap/>
            <w:vAlign w:val="bottom"/>
            <w:hideMark/>
          </w:tcPr>
          <w:p w14:paraId="79280FD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F46D4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0C10B28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844,97</w:t>
            </w:r>
          </w:p>
        </w:tc>
        <w:tc>
          <w:tcPr>
            <w:tcW w:w="914" w:type="dxa"/>
            <w:tcBorders>
              <w:top w:val="nil"/>
              <w:left w:val="nil"/>
              <w:bottom w:val="single" w:sz="4" w:space="0" w:color="auto"/>
              <w:right w:val="single" w:sz="4" w:space="0" w:color="auto"/>
            </w:tcBorders>
            <w:shd w:val="clear" w:color="auto" w:fill="auto"/>
            <w:noWrap/>
            <w:vAlign w:val="bottom"/>
            <w:hideMark/>
          </w:tcPr>
          <w:p w14:paraId="779DC34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7A5A4E2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7574ADF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5.685,91</w:t>
            </w:r>
          </w:p>
        </w:tc>
        <w:tc>
          <w:tcPr>
            <w:tcW w:w="983" w:type="dxa"/>
            <w:tcBorders>
              <w:top w:val="nil"/>
              <w:left w:val="nil"/>
              <w:bottom w:val="single" w:sz="4" w:space="0" w:color="auto"/>
              <w:right w:val="single" w:sz="4" w:space="0" w:color="auto"/>
            </w:tcBorders>
            <w:shd w:val="clear" w:color="auto" w:fill="auto"/>
            <w:noWrap/>
            <w:vAlign w:val="bottom"/>
            <w:hideMark/>
          </w:tcPr>
          <w:p w14:paraId="1841E1E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w:t>
            </w:r>
          </w:p>
        </w:tc>
        <w:tc>
          <w:tcPr>
            <w:tcW w:w="855" w:type="dxa"/>
            <w:tcBorders>
              <w:top w:val="nil"/>
              <w:left w:val="nil"/>
              <w:bottom w:val="single" w:sz="4" w:space="0" w:color="auto"/>
              <w:right w:val="single" w:sz="4" w:space="0" w:color="auto"/>
            </w:tcBorders>
            <w:shd w:val="clear" w:color="auto" w:fill="auto"/>
            <w:noWrap/>
            <w:vAlign w:val="center"/>
            <w:hideMark/>
          </w:tcPr>
          <w:p w14:paraId="3284FFD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3356A9AD"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25BDDFF3"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9B8D8E4"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9253</w:t>
            </w:r>
          </w:p>
        </w:tc>
        <w:tc>
          <w:tcPr>
            <w:tcW w:w="1984" w:type="dxa"/>
            <w:tcBorders>
              <w:top w:val="nil"/>
              <w:left w:val="nil"/>
              <w:bottom w:val="single" w:sz="4" w:space="0" w:color="auto"/>
              <w:right w:val="single" w:sz="4" w:space="0" w:color="auto"/>
            </w:tcBorders>
            <w:shd w:val="clear" w:color="auto" w:fill="auto"/>
            <w:vAlign w:val="bottom"/>
            <w:hideMark/>
          </w:tcPr>
          <w:p w14:paraId="6365510F" w14:textId="77777777" w:rsidR="00C27261" w:rsidRPr="00650D66" w:rsidRDefault="00C27261" w:rsidP="001A12DF">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deservirea inventarului gospodăresc</w:t>
            </w:r>
          </w:p>
        </w:tc>
        <w:tc>
          <w:tcPr>
            <w:tcW w:w="1159" w:type="dxa"/>
            <w:tcBorders>
              <w:top w:val="nil"/>
              <w:left w:val="nil"/>
              <w:bottom w:val="single" w:sz="4" w:space="0" w:color="auto"/>
              <w:right w:val="single" w:sz="4" w:space="0" w:color="auto"/>
            </w:tcBorders>
            <w:shd w:val="clear" w:color="auto" w:fill="auto"/>
            <w:noWrap/>
            <w:vAlign w:val="bottom"/>
            <w:hideMark/>
          </w:tcPr>
          <w:p w14:paraId="40E3891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64,39</w:t>
            </w:r>
          </w:p>
        </w:tc>
        <w:tc>
          <w:tcPr>
            <w:tcW w:w="913" w:type="dxa"/>
            <w:tcBorders>
              <w:top w:val="nil"/>
              <w:left w:val="nil"/>
              <w:bottom w:val="single" w:sz="4" w:space="0" w:color="auto"/>
              <w:right w:val="single" w:sz="4" w:space="0" w:color="auto"/>
            </w:tcBorders>
            <w:shd w:val="clear" w:color="auto" w:fill="auto"/>
            <w:noWrap/>
            <w:vAlign w:val="bottom"/>
            <w:hideMark/>
          </w:tcPr>
          <w:p w14:paraId="740DF1C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600ECEE"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7C8E42B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72,40</w:t>
            </w:r>
          </w:p>
        </w:tc>
        <w:tc>
          <w:tcPr>
            <w:tcW w:w="914" w:type="dxa"/>
            <w:tcBorders>
              <w:top w:val="nil"/>
              <w:left w:val="nil"/>
              <w:bottom w:val="single" w:sz="4" w:space="0" w:color="auto"/>
              <w:right w:val="single" w:sz="4" w:space="0" w:color="auto"/>
            </w:tcBorders>
            <w:shd w:val="clear" w:color="auto" w:fill="auto"/>
            <w:noWrap/>
            <w:vAlign w:val="bottom"/>
            <w:hideMark/>
          </w:tcPr>
          <w:p w14:paraId="78A1978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3E1EF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6C376B6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36,86</w:t>
            </w:r>
          </w:p>
        </w:tc>
        <w:tc>
          <w:tcPr>
            <w:tcW w:w="914" w:type="dxa"/>
            <w:tcBorders>
              <w:top w:val="nil"/>
              <w:left w:val="nil"/>
              <w:bottom w:val="single" w:sz="4" w:space="0" w:color="auto"/>
              <w:right w:val="single" w:sz="4" w:space="0" w:color="auto"/>
            </w:tcBorders>
            <w:shd w:val="clear" w:color="auto" w:fill="auto"/>
            <w:noWrap/>
            <w:vAlign w:val="bottom"/>
            <w:hideMark/>
          </w:tcPr>
          <w:p w14:paraId="2520680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67436FB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2122A36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96,99</w:t>
            </w:r>
          </w:p>
        </w:tc>
        <w:tc>
          <w:tcPr>
            <w:tcW w:w="983" w:type="dxa"/>
            <w:tcBorders>
              <w:top w:val="nil"/>
              <w:left w:val="nil"/>
              <w:bottom w:val="single" w:sz="4" w:space="0" w:color="auto"/>
              <w:right w:val="single" w:sz="4" w:space="0" w:color="auto"/>
            </w:tcBorders>
            <w:shd w:val="clear" w:color="auto" w:fill="auto"/>
            <w:noWrap/>
            <w:vAlign w:val="bottom"/>
            <w:hideMark/>
          </w:tcPr>
          <w:p w14:paraId="48E3053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14:paraId="484C4A0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31BFCA3A"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52FEE4A0" w14:textId="77777777" w:rsidTr="00121062">
        <w:trPr>
          <w:trHeight w:val="59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0452EB2"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9254</w:t>
            </w:r>
          </w:p>
        </w:tc>
        <w:tc>
          <w:tcPr>
            <w:tcW w:w="1984" w:type="dxa"/>
            <w:tcBorders>
              <w:top w:val="nil"/>
              <w:left w:val="nil"/>
              <w:bottom w:val="single" w:sz="4" w:space="0" w:color="auto"/>
              <w:right w:val="single" w:sz="4" w:space="0" w:color="auto"/>
            </w:tcBorders>
            <w:shd w:val="clear" w:color="auto" w:fill="auto"/>
            <w:vAlign w:val="bottom"/>
            <w:hideMark/>
          </w:tcPr>
          <w:p w14:paraId="791D05BA" w14:textId="77777777" w:rsidR="00C27261" w:rsidRPr="00650D66" w:rsidRDefault="00C27261" w:rsidP="001A12DF">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paza </w:t>
            </w:r>
            <w:r w:rsidR="00121062" w:rsidRPr="00650D66">
              <w:rPr>
                <w:rFonts w:ascii="Times New Roman" w:eastAsia="Times New Roman" w:hAnsi="Times New Roman" w:cs="Times New Roman"/>
                <w:color w:val="000000"/>
                <w:sz w:val="18"/>
                <w:szCs w:val="18"/>
                <w:lang w:val="ro-RO"/>
              </w:rPr>
              <w:t>și</w:t>
            </w:r>
            <w:r w:rsidRPr="00650D66">
              <w:rPr>
                <w:rFonts w:ascii="Times New Roman" w:eastAsia="Times New Roman" w:hAnsi="Times New Roman" w:cs="Times New Roman"/>
                <w:color w:val="000000"/>
                <w:sz w:val="18"/>
                <w:szCs w:val="18"/>
                <w:lang w:val="ro-RO"/>
              </w:rPr>
              <w:t xml:space="preserve"> asigurarea </w:t>
            </w:r>
            <w:r w:rsidR="00121062" w:rsidRPr="00650D66">
              <w:rPr>
                <w:rFonts w:ascii="Times New Roman" w:eastAsia="Times New Roman" w:hAnsi="Times New Roman" w:cs="Times New Roman"/>
                <w:color w:val="000000"/>
                <w:sz w:val="18"/>
                <w:szCs w:val="18"/>
                <w:lang w:val="ro-RO"/>
              </w:rPr>
              <w:t>securității</w:t>
            </w:r>
            <w:r w:rsidRPr="00650D66">
              <w:rPr>
                <w:rFonts w:ascii="Times New Roman" w:eastAsia="Times New Roman" w:hAnsi="Times New Roman" w:cs="Times New Roman"/>
                <w:color w:val="000000"/>
                <w:sz w:val="18"/>
                <w:szCs w:val="18"/>
                <w:lang w:val="ro-RO"/>
              </w:rPr>
              <w:t xml:space="preserve"> </w:t>
            </w:r>
            <w:r w:rsidR="008D3238" w:rsidRPr="00650D66">
              <w:rPr>
                <w:rFonts w:ascii="Times New Roman" w:eastAsia="Times New Roman" w:hAnsi="Times New Roman" w:cs="Times New Roman"/>
                <w:color w:val="000000"/>
                <w:sz w:val="18"/>
                <w:szCs w:val="18"/>
                <w:lang w:val="ro-RO"/>
              </w:rPr>
              <w:t>anti incendiare</w:t>
            </w:r>
          </w:p>
        </w:tc>
        <w:tc>
          <w:tcPr>
            <w:tcW w:w="1159" w:type="dxa"/>
            <w:tcBorders>
              <w:top w:val="nil"/>
              <w:left w:val="nil"/>
              <w:bottom w:val="single" w:sz="4" w:space="0" w:color="auto"/>
              <w:right w:val="single" w:sz="4" w:space="0" w:color="auto"/>
            </w:tcBorders>
            <w:shd w:val="clear" w:color="auto" w:fill="auto"/>
            <w:noWrap/>
            <w:vAlign w:val="bottom"/>
            <w:hideMark/>
          </w:tcPr>
          <w:p w14:paraId="6971B11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937,15</w:t>
            </w:r>
          </w:p>
        </w:tc>
        <w:tc>
          <w:tcPr>
            <w:tcW w:w="913" w:type="dxa"/>
            <w:tcBorders>
              <w:top w:val="nil"/>
              <w:left w:val="nil"/>
              <w:bottom w:val="single" w:sz="4" w:space="0" w:color="auto"/>
              <w:right w:val="single" w:sz="4" w:space="0" w:color="auto"/>
            </w:tcBorders>
            <w:shd w:val="clear" w:color="auto" w:fill="auto"/>
            <w:noWrap/>
            <w:vAlign w:val="bottom"/>
            <w:hideMark/>
          </w:tcPr>
          <w:p w14:paraId="49A2FB8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0C98F4F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62F9752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981,15</w:t>
            </w:r>
          </w:p>
        </w:tc>
        <w:tc>
          <w:tcPr>
            <w:tcW w:w="914" w:type="dxa"/>
            <w:tcBorders>
              <w:top w:val="nil"/>
              <w:left w:val="nil"/>
              <w:bottom w:val="single" w:sz="4" w:space="0" w:color="auto"/>
              <w:right w:val="single" w:sz="4" w:space="0" w:color="auto"/>
            </w:tcBorders>
            <w:shd w:val="clear" w:color="auto" w:fill="auto"/>
            <w:noWrap/>
            <w:vAlign w:val="bottom"/>
            <w:hideMark/>
          </w:tcPr>
          <w:p w14:paraId="17111EF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6DD6E2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77D79D2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979,20</w:t>
            </w:r>
          </w:p>
        </w:tc>
        <w:tc>
          <w:tcPr>
            <w:tcW w:w="914" w:type="dxa"/>
            <w:tcBorders>
              <w:top w:val="nil"/>
              <w:left w:val="nil"/>
              <w:bottom w:val="single" w:sz="4" w:space="0" w:color="auto"/>
              <w:right w:val="single" w:sz="4" w:space="0" w:color="auto"/>
            </w:tcBorders>
            <w:shd w:val="clear" w:color="auto" w:fill="auto"/>
            <w:noWrap/>
            <w:vAlign w:val="bottom"/>
            <w:hideMark/>
          </w:tcPr>
          <w:p w14:paraId="25B4592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12CCF66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5C14861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1.000,76</w:t>
            </w:r>
          </w:p>
        </w:tc>
        <w:tc>
          <w:tcPr>
            <w:tcW w:w="983" w:type="dxa"/>
            <w:tcBorders>
              <w:top w:val="nil"/>
              <w:left w:val="nil"/>
              <w:bottom w:val="single" w:sz="4" w:space="0" w:color="auto"/>
              <w:right w:val="single" w:sz="4" w:space="0" w:color="auto"/>
            </w:tcBorders>
            <w:shd w:val="clear" w:color="auto" w:fill="auto"/>
            <w:noWrap/>
            <w:vAlign w:val="bottom"/>
            <w:hideMark/>
          </w:tcPr>
          <w:p w14:paraId="1A69B3B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w:t>
            </w:r>
          </w:p>
        </w:tc>
        <w:tc>
          <w:tcPr>
            <w:tcW w:w="855" w:type="dxa"/>
            <w:tcBorders>
              <w:top w:val="nil"/>
              <w:left w:val="nil"/>
              <w:bottom w:val="single" w:sz="4" w:space="0" w:color="auto"/>
              <w:right w:val="single" w:sz="4" w:space="0" w:color="auto"/>
            </w:tcBorders>
            <w:shd w:val="clear" w:color="auto" w:fill="auto"/>
            <w:noWrap/>
            <w:vAlign w:val="center"/>
            <w:hideMark/>
          </w:tcPr>
          <w:p w14:paraId="642061A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494E116A"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3C081CC6"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795B527"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9255</w:t>
            </w:r>
          </w:p>
        </w:tc>
        <w:tc>
          <w:tcPr>
            <w:tcW w:w="1984" w:type="dxa"/>
            <w:tcBorders>
              <w:top w:val="nil"/>
              <w:left w:val="nil"/>
              <w:bottom w:val="single" w:sz="4" w:space="0" w:color="auto"/>
              <w:right w:val="single" w:sz="4" w:space="0" w:color="auto"/>
            </w:tcBorders>
            <w:shd w:val="clear" w:color="auto" w:fill="auto"/>
            <w:vAlign w:val="bottom"/>
            <w:hideMark/>
          </w:tcPr>
          <w:p w14:paraId="655369A4" w14:textId="77777777" w:rsidR="00C27261" w:rsidRPr="00650D66" w:rsidRDefault="00C27261" w:rsidP="001A12DF">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deservirea mijloacelor tehnice</w:t>
            </w:r>
          </w:p>
        </w:tc>
        <w:tc>
          <w:tcPr>
            <w:tcW w:w="1159" w:type="dxa"/>
            <w:tcBorders>
              <w:top w:val="nil"/>
              <w:left w:val="nil"/>
              <w:bottom w:val="single" w:sz="4" w:space="0" w:color="auto"/>
              <w:right w:val="single" w:sz="4" w:space="0" w:color="auto"/>
            </w:tcBorders>
            <w:shd w:val="clear" w:color="auto" w:fill="auto"/>
            <w:noWrap/>
            <w:vAlign w:val="bottom"/>
            <w:hideMark/>
          </w:tcPr>
          <w:p w14:paraId="4C08959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2.523,09</w:t>
            </w:r>
          </w:p>
        </w:tc>
        <w:tc>
          <w:tcPr>
            <w:tcW w:w="913" w:type="dxa"/>
            <w:tcBorders>
              <w:top w:val="nil"/>
              <w:left w:val="nil"/>
              <w:bottom w:val="single" w:sz="4" w:space="0" w:color="auto"/>
              <w:right w:val="single" w:sz="4" w:space="0" w:color="auto"/>
            </w:tcBorders>
            <w:shd w:val="clear" w:color="auto" w:fill="auto"/>
            <w:noWrap/>
            <w:vAlign w:val="bottom"/>
            <w:hideMark/>
          </w:tcPr>
          <w:p w14:paraId="005E9F1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490AE14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4171D83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4.663,11</w:t>
            </w:r>
          </w:p>
        </w:tc>
        <w:tc>
          <w:tcPr>
            <w:tcW w:w="914" w:type="dxa"/>
            <w:tcBorders>
              <w:top w:val="nil"/>
              <w:left w:val="nil"/>
              <w:bottom w:val="single" w:sz="4" w:space="0" w:color="auto"/>
              <w:right w:val="single" w:sz="4" w:space="0" w:color="auto"/>
            </w:tcBorders>
            <w:shd w:val="clear" w:color="auto" w:fill="auto"/>
            <w:noWrap/>
            <w:vAlign w:val="bottom"/>
            <w:hideMark/>
          </w:tcPr>
          <w:p w14:paraId="478048F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7AF74E"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4B6E363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5.360,81</w:t>
            </w:r>
          </w:p>
        </w:tc>
        <w:tc>
          <w:tcPr>
            <w:tcW w:w="914" w:type="dxa"/>
            <w:tcBorders>
              <w:top w:val="nil"/>
              <w:left w:val="nil"/>
              <w:bottom w:val="single" w:sz="4" w:space="0" w:color="auto"/>
              <w:right w:val="single" w:sz="4" w:space="0" w:color="auto"/>
            </w:tcBorders>
            <w:shd w:val="clear" w:color="auto" w:fill="auto"/>
            <w:noWrap/>
            <w:vAlign w:val="bottom"/>
            <w:hideMark/>
          </w:tcPr>
          <w:p w14:paraId="5E21BAE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51%</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4F0B5C1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01D814E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6.426,43</w:t>
            </w:r>
          </w:p>
        </w:tc>
        <w:tc>
          <w:tcPr>
            <w:tcW w:w="983" w:type="dxa"/>
            <w:tcBorders>
              <w:top w:val="nil"/>
              <w:left w:val="nil"/>
              <w:bottom w:val="single" w:sz="4" w:space="0" w:color="auto"/>
              <w:right w:val="single" w:sz="4" w:space="0" w:color="auto"/>
            </w:tcBorders>
            <w:shd w:val="clear" w:color="auto" w:fill="auto"/>
            <w:noWrap/>
            <w:vAlign w:val="bottom"/>
            <w:hideMark/>
          </w:tcPr>
          <w:p w14:paraId="59A7A1A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34%</w:t>
            </w:r>
          </w:p>
        </w:tc>
        <w:tc>
          <w:tcPr>
            <w:tcW w:w="855" w:type="dxa"/>
            <w:tcBorders>
              <w:top w:val="nil"/>
              <w:left w:val="nil"/>
              <w:bottom w:val="single" w:sz="4" w:space="0" w:color="auto"/>
              <w:right w:val="single" w:sz="4" w:space="0" w:color="auto"/>
            </w:tcBorders>
            <w:shd w:val="clear" w:color="auto" w:fill="auto"/>
            <w:noWrap/>
            <w:vAlign w:val="center"/>
            <w:hideMark/>
          </w:tcPr>
          <w:p w14:paraId="0EF0C662"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45F751C0"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6FEA6EF4" w14:textId="77777777" w:rsidTr="00121062">
        <w:trPr>
          <w:trHeight w:val="24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E44B298"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9256</w:t>
            </w:r>
          </w:p>
        </w:tc>
        <w:tc>
          <w:tcPr>
            <w:tcW w:w="1984" w:type="dxa"/>
            <w:tcBorders>
              <w:top w:val="nil"/>
              <w:left w:val="nil"/>
              <w:bottom w:val="single" w:sz="4" w:space="0" w:color="auto"/>
              <w:right w:val="single" w:sz="4" w:space="0" w:color="auto"/>
            </w:tcBorders>
            <w:shd w:val="clear" w:color="auto" w:fill="auto"/>
            <w:vAlign w:val="bottom"/>
            <w:hideMark/>
          </w:tcPr>
          <w:p w14:paraId="4C8442D1" w14:textId="77777777" w:rsidR="00C27261" w:rsidRPr="00650D66" w:rsidRDefault="00C27261" w:rsidP="001A12DF">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de încălzire </w:t>
            </w:r>
            <w:r w:rsidR="00121062" w:rsidRPr="00650D66">
              <w:rPr>
                <w:rFonts w:ascii="Times New Roman" w:eastAsia="Times New Roman" w:hAnsi="Times New Roman" w:cs="Times New Roman"/>
                <w:color w:val="000000"/>
                <w:sz w:val="18"/>
                <w:szCs w:val="18"/>
                <w:lang w:val="ro-RO"/>
              </w:rPr>
              <w:t>și</w:t>
            </w:r>
            <w:r w:rsidRPr="00650D66">
              <w:rPr>
                <w:rFonts w:ascii="Times New Roman" w:eastAsia="Times New Roman" w:hAnsi="Times New Roman" w:cs="Times New Roman"/>
                <w:color w:val="000000"/>
                <w:sz w:val="18"/>
                <w:szCs w:val="18"/>
                <w:lang w:val="ro-RO"/>
              </w:rPr>
              <w:t xml:space="preserve"> iluminat</w:t>
            </w:r>
          </w:p>
        </w:tc>
        <w:tc>
          <w:tcPr>
            <w:tcW w:w="1159" w:type="dxa"/>
            <w:tcBorders>
              <w:top w:val="nil"/>
              <w:left w:val="nil"/>
              <w:bottom w:val="single" w:sz="4" w:space="0" w:color="auto"/>
              <w:right w:val="single" w:sz="4" w:space="0" w:color="auto"/>
            </w:tcBorders>
            <w:shd w:val="clear" w:color="auto" w:fill="auto"/>
            <w:noWrap/>
            <w:vAlign w:val="bottom"/>
            <w:hideMark/>
          </w:tcPr>
          <w:p w14:paraId="09041E5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2.227,77</w:t>
            </w:r>
          </w:p>
        </w:tc>
        <w:tc>
          <w:tcPr>
            <w:tcW w:w="913" w:type="dxa"/>
            <w:tcBorders>
              <w:top w:val="nil"/>
              <w:left w:val="nil"/>
              <w:bottom w:val="single" w:sz="4" w:space="0" w:color="auto"/>
              <w:right w:val="single" w:sz="4" w:space="0" w:color="auto"/>
            </w:tcBorders>
            <w:shd w:val="clear" w:color="auto" w:fill="auto"/>
            <w:noWrap/>
            <w:vAlign w:val="bottom"/>
            <w:hideMark/>
          </w:tcPr>
          <w:p w14:paraId="7E0D0EA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26%</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5F8F496"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4ACC148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1.838,59</w:t>
            </w:r>
          </w:p>
        </w:tc>
        <w:tc>
          <w:tcPr>
            <w:tcW w:w="914" w:type="dxa"/>
            <w:tcBorders>
              <w:top w:val="nil"/>
              <w:left w:val="nil"/>
              <w:bottom w:val="single" w:sz="4" w:space="0" w:color="auto"/>
              <w:right w:val="single" w:sz="4" w:space="0" w:color="auto"/>
            </w:tcBorders>
            <w:shd w:val="clear" w:color="auto" w:fill="auto"/>
            <w:noWrap/>
            <w:vAlign w:val="bottom"/>
            <w:hideMark/>
          </w:tcPr>
          <w:p w14:paraId="123B75E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27CF8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2850498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1.887,03</w:t>
            </w:r>
          </w:p>
        </w:tc>
        <w:tc>
          <w:tcPr>
            <w:tcW w:w="914" w:type="dxa"/>
            <w:tcBorders>
              <w:top w:val="nil"/>
              <w:left w:val="nil"/>
              <w:bottom w:val="single" w:sz="4" w:space="0" w:color="auto"/>
              <w:right w:val="single" w:sz="4" w:space="0" w:color="auto"/>
            </w:tcBorders>
            <w:shd w:val="clear" w:color="auto" w:fill="auto"/>
            <w:noWrap/>
            <w:vAlign w:val="bottom"/>
            <w:hideMark/>
          </w:tcPr>
          <w:p w14:paraId="2B2091D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1B878C8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3A26929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3.572,68</w:t>
            </w:r>
          </w:p>
        </w:tc>
        <w:tc>
          <w:tcPr>
            <w:tcW w:w="983" w:type="dxa"/>
            <w:tcBorders>
              <w:top w:val="nil"/>
              <w:left w:val="nil"/>
              <w:bottom w:val="single" w:sz="4" w:space="0" w:color="auto"/>
              <w:right w:val="single" w:sz="4" w:space="0" w:color="auto"/>
            </w:tcBorders>
            <w:shd w:val="clear" w:color="auto" w:fill="auto"/>
            <w:noWrap/>
            <w:vAlign w:val="bottom"/>
            <w:hideMark/>
          </w:tcPr>
          <w:p w14:paraId="74D3C27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855" w:type="dxa"/>
            <w:tcBorders>
              <w:top w:val="nil"/>
              <w:left w:val="nil"/>
              <w:bottom w:val="single" w:sz="4" w:space="0" w:color="auto"/>
              <w:right w:val="single" w:sz="4" w:space="0" w:color="auto"/>
            </w:tcBorders>
            <w:shd w:val="clear" w:color="auto" w:fill="auto"/>
            <w:noWrap/>
            <w:vAlign w:val="center"/>
            <w:hideMark/>
          </w:tcPr>
          <w:p w14:paraId="7AD82DD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52646102"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35109859" w14:textId="77777777" w:rsidTr="005C64C6">
        <w:trPr>
          <w:trHeight w:val="38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AF6FB2"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9257</w:t>
            </w:r>
          </w:p>
        </w:tc>
        <w:tc>
          <w:tcPr>
            <w:tcW w:w="1984" w:type="dxa"/>
            <w:tcBorders>
              <w:top w:val="nil"/>
              <w:left w:val="nil"/>
              <w:bottom w:val="single" w:sz="4" w:space="0" w:color="auto"/>
              <w:right w:val="single" w:sz="4" w:space="0" w:color="auto"/>
            </w:tcBorders>
            <w:shd w:val="clear" w:color="auto" w:fill="auto"/>
            <w:vAlign w:val="bottom"/>
            <w:hideMark/>
          </w:tcPr>
          <w:p w14:paraId="585CA640" w14:textId="77777777" w:rsidR="00C27261" w:rsidRPr="00650D66" w:rsidRDefault="00C27261" w:rsidP="001A12DF">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cu apa, canal </w:t>
            </w:r>
            <w:r w:rsidR="00CE22AB" w:rsidRPr="00650D66">
              <w:rPr>
                <w:rFonts w:ascii="Times New Roman" w:eastAsia="Times New Roman" w:hAnsi="Times New Roman" w:cs="Times New Roman"/>
                <w:color w:val="000000"/>
                <w:sz w:val="18"/>
                <w:szCs w:val="18"/>
                <w:lang w:val="ro-RO"/>
              </w:rPr>
              <w:t>și</w:t>
            </w:r>
            <w:r w:rsidRPr="00650D66">
              <w:rPr>
                <w:rFonts w:ascii="Times New Roman" w:eastAsia="Times New Roman" w:hAnsi="Times New Roman" w:cs="Times New Roman"/>
                <w:color w:val="000000"/>
                <w:sz w:val="18"/>
                <w:szCs w:val="18"/>
                <w:lang w:val="ro-RO"/>
              </w:rPr>
              <w:t xml:space="preserve"> salubritate</w:t>
            </w:r>
          </w:p>
        </w:tc>
        <w:tc>
          <w:tcPr>
            <w:tcW w:w="1159" w:type="dxa"/>
            <w:tcBorders>
              <w:top w:val="nil"/>
              <w:left w:val="nil"/>
              <w:bottom w:val="single" w:sz="4" w:space="0" w:color="auto"/>
              <w:right w:val="single" w:sz="4" w:space="0" w:color="auto"/>
            </w:tcBorders>
            <w:shd w:val="clear" w:color="auto" w:fill="auto"/>
            <w:noWrap/>
            <w:vAlign w:val="bottom"/>
            <w:hideMark/>
          </w:tcPr>
          <w:p w14:paraId="7562D3F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178,54</w:t>
            </w:r>
          </w:p>
        </w:tc>
        <w:tc>
          <w:tcPr>
            <w:tcW w:w="913" w:type="dxa"/>
            <w:tcBorders>
              <w:top w:val="nil"/>
              <w:left w:val="nil"/>
              <w:bottom w:val="single" w:sz="4" w:space="0" w:color="auto"/>
              <w:right w:val="single" w:sz="4" w:space="0" w:color="auto"/>
            </w:tcBorders>
            <w:shd w:val="clear" w:color="auto" w:fill="auto"/>
            <w:noWrap/>
            <w:vAlign w:val="bottom"/>
            <w:hideMark/>
          </w:tcPr>
          <w:p w14:paraId="6B6BA2F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1B56F88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7288379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124,07</w:t>
            </w:r>
          </w:p>
        </w:tc>
        <w:tc>
          <w:tcPr>
            <w:tcW w:w="914" w:type="dxa"/>
            <w:tcBorders>
              <w:top w:val="nil"/>
              <w:left w:val="nil"/>
              <w:bottom w:val="single" w:sz="4" w:space="0" w:color="auto"/>
              <w:right w:val="single" w:sz="4" w:space="0" w:color="auto"/>
            </w:tcBorders>
            <w:shd w:val="clear" w:color="auto" w:fill="auto"/>
            <w:noWrap/>
            <w:vAlign w:val="bottom"/>
            <w:hideMark/>
          </w:tcPr>
          <w:p w14:paraId="6EC8932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C3664A"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2637F43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112,80</w:t>
            </w:r>
          </w:p>
        </w:tc>
        <w:tc>
          <w:tcPr>
            <w:tcW w:w="914" w:type="dxa"/>
            <w:tcBorders>
              <w:top w:val="nil"/>
              <w:left w:val="nil"/>
              <w:bottom w:val="single" w:sz="4" w:space="0" w:color="auto"/>
              <w:right w:val="single" w:sz="4" w:space="0" w:color="auto"/>
            </w:tcBorders>
            <w:shd w:val="clear" w:color="auto" w:fill="auto"/>
            <w:noWrap/>
            <w:vAlign w:val="bottom"/>
            <w:hideMark/>
          </w:tcPr>
          <w:p w14:paraId="4BA162F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095F387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2504E0D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175,23</w:t>
            </w:r>
          </w:p>
        </w:tc>
        <w:tc>
          <w:tcPr>
            <w:tcW w:w="983" w:type="dxa"/>
            <w:tcBorders>
              <w:top w:val="nil"/>
              <w:left w:val="nil"/>
              <w:bottom w:val="single" w:sz="4" w:space="0" w:color="auto"/>
              <w:right w:val="single" w:sz="4" w:space="0" w:color="auto"/>
            </w:tcBorders>
            <w:shd w:val="clear" w:color="auto" w:fill="auto"/>
            <w:noWrap/>
            <w:vAlign w:val="bottom"/>
            <w:hideMark/>
          </w:tcPr>
          <w:p w14:paraId="4731EB1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5" w:type="dxa"/>
            <w:tcBorders>
              <w:top w:val="nil"/>
              <w:left w:val="nil"/>
              <w:bottom w:val="single" w:sz="4" w:space="0" w:color="auto"/>
              <w:right w:val="single" w:sz="4" w:space="0" w:color="auto"/>
            </w:tcBorders>
            <w:shd w:val="clear" w:color="auto" w:fill="auto"/>
            <w:noWrap/>
            <w:vAlign w:val="center"/>
            <w:hideMark/>
          </w:tcPr>
          <w:p w14:paraId="61140B5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590522B0"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7177B733" w14:textId="77777777" w:rsidTr="005C64C6">
        <w:trPr>
          <w:trHeight w:val="35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8B16313"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9258</w:t>
            </w:r>
          </w:p>
        </w:tc>
        <w:tc>
          <w:tcPr>
            <w:tcW w:w="1984" w:type="dxa"/>
            <w:tcBorders>
              <w:top w:val="nil"/>
              <w:left w:val="nil"/>
              <w:bottom w:val="single" w:sz="4" w:space="0" w:color="auto"/>
              <w:right w:val="single" w:sz="4" w:space="0" w:color="auto"/>
            </w:tcBorders>
            <w:shd w:val="clear" w:color="auto" w:fill="auto"/>
            <w:vAlign w:val="bottom"/>
            <w:hideMark/>
          </w:tcPr>
          <w:p w14:paraId="2832BA74" w14:textId="77777777" w:rsidR="00C27261" w:rsidRPr="00650D66" w:rsidRDefault="00C27261" w:rsidP="001A12DF">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Alte cheltuieli de </w:t>
            </w:r>
            <w:r w:rsidR="00121062" w:rsidRPr="00650D66">
              <w:rPr>
                <w:rFonts w:ascii="Times New Roman" w:eastAsia="Times New Roman" w:hAnsi="Times New Roman" w:cs="Times New Roman"/>
                <w:color w:val="000000"/>
                <w:sz w:val="18"/>
                <w:szCs w:val="18"/>
                <w:lang w:val="ro-RO"/>
              </w:rPr>
              <w:t>întreținere</w:t>
            </w:r>
            <w:r w:rsidRPr="00650D66">
              <w:rPr>
                <w:rFonts w:ascii="Times New Roman" w:eastAsia="Times New Roman" w:hAnsi="Times New Roman" w:cs="Times New Roman"/>
                <w:color w:val="000000"/>
                <w:sz w:val="18"/>
                <w:szCs w:val="18"/>
                <w:lang w:val="ro-RO"/>
              </w:rPr>
              <w:t xml:space="preserve"> </w:t>
            </w:r>
            <w:r w:rsidR="00CE22AB" w:rsidRPr="00650D66">
              <w:rPr>
                <w:rFonts w:ascii="Times New Roman" w:eastAsia="Times New Roman" w:hAnsi="Times New Roman" w:cs="Times New Roman"/>
                <w:color w:val="000000"/>
                <w:sz w:val="18"/>
                <w:szCs w:val="18"/>
                <w:lang w:val="ro-RO"/>
              </w:rPr>
              <w:t>și</w:t>
            </w:r>
            <w:r w:rsidRPr="00650D66">
              <w:rPr>
                <w:rFonts w:ascii="Times New Roman" w:eastAsia="Times New Roman" w:hAnsi="Times New Roman" w:cs="Times New Roman"/>
                <w:color w:val="000000"/>
                <w:sz w:val="18"/>
                <w:szCs w:val="18"/>
                <w:lang w:val="ro-RO"/>
              </w:rPr>
              <w:t xml:space="preserve"> </w:t>
            </w:r>
            <w:r w:rsidR="00121062" w:rsidRPr="00650D66">
              <w:rPr>
                <w:rFonts w:ascii="Times New Roman" w:eastAsia="Times New Roman" w:hAnsi="Times New Roman" w:cs="Times New Roman"/>
                <w:color w:val="000000"/>
                <w:sz w:val="18"/>
                <w:szCs w:val="18"/>
                <w:lang w:val="ro-RO"/>
              </w:rPr>
              <w:t>reparație</w:t>
            </w:r>
          </w:p>
        </w:tc>
        <w:tc>
          <w:tcPr>
            <w:tcW w:w="1159" w:type="dxa"/>
            <w:tcBorders>
              <w:top w:val="nil"/>
              <w:left w:val="nil"/>
              <w:bottom w:val="single" w:sz="4" w:space="0" w:color="auto"/>
              <w:right w:val="single" w:sz="4" w:space="0" w:color="auto"/>
            </w:tcBorders>
            <w:shd w:val="clear" w:color="auto" w:fill="auto"/>
            <w:noWrap/>
            <w:vAlign w:val="bottom"/>
            <w:hideMark/>
          </w:tcPr>
          <w:p w14:paraId="3D27B2D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1.638,19</w:t>
            </w:r>
          </w:p>
        </w:tc>
        <w:tc>
          <w:tcPr>
            <w:tcW w:w="913" w:type="dxa"/>
            <w:tcBorders>
              <w:top w:val="nil"/>
              <w:left w:val="nil"/>
              <w:bottom w:val="single" w:sz="4" w:space="0" w:color="auto"/>
              <w:right w:val="single" w:sz="4" w:space="0" w:color="auto"/>
            </w:tcBorders>
            <w:shd w:val="clear" w:color="auto" w:fill="auto"/>
            <w:noWrap/>
            <w:vAlign w:val="bottom"/>
            <w:hideMark/>
          </w:tcPr>
          <w:p w14:paraId="370556A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62DAD98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00D7F01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982,36</w:t>
            </w:r>
          </w:p>
        </w:tc>
        <w:tc>
          <w:tcPr>
            <w:tcW w:w="914" w:type="dxa"/>
            <w:tcBorders>
              <w:top w:val="nil"/>
              <w:left w:val="nil"/>
              <w:bottom w:val="single" w:sz="4" w:space="0" w:color="auto"/>
              <w:right w:val="single" w:sz="4" w:space="0" w:color="auto"/>
            </w:tcBorders>
            <w:shd w:val="clear" w:color="auto" w:fill="auto"/>
            <w:noWrap/>
            <w:vAlign w:val="bottom"/>
            <w:hideMark/>
          </w:tcPr>
          <w:p w14:paraId="7722EA0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795E4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7821696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867,16</w:t>
            </w:r>
          </w:p>
        </w:tc>
        <w:tc>
          <w:tcPr>
            <w:tcW w:w="914" w:type="dxa"/>
            <w:tcBorders>
              <w:top w:val="nil"/>
              <w:left w:val="nil"/>
              <w:bottom w:val="single" w:sz="4" w:space="0" w:color="auto"/>
              <w:right w:val="single" w:sz="4" w:space="0" w:color="auto"/>
            </w:tcBorders>
            <w:shd w:val="clear" w:color="auto" w:fill="auto"/>
            <w:noWrap/>
            <w:vAlign w:val="bottom"/>
            <w:hideMark/>
          </w:tcPr>
          <w:p w14:paraId="34D4ADE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5E20D7A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2CFD0B5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1.422,60</w:t>
            </w:r>
          </w:p>
        </w:tc>
        <w:tc>
          <w:tcPr>
            <w:tcW w:w="983" w:type="dxa"/>
            <w:tcBorders>
              <w:top w:val="nil"/>
              <w:left w:val="nil"/>
              <w:bottom w:val="single" w:sz="4" w:space="0" w:color="auto"/>
              <w:right w:val="single" w:sz="4" w:space="0" w:color="auto"/>
            </w:tcBorders>
            <w:shd w:val="clear" w:color="auto" w:fill="auto"/>
            <w:noWrap/>
            <w:vAlign w:val="bottom"/>
            <w:hideMark/>
          </w:tcPr>
          <w:p w14:paraId="02A9BA6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5" w:type="dxa"/>
            <w:tcBorders>
              <w:top w:val="nil"/>
              <w:left w:val="nil"/>
              <w:bottom w:val="single" w:sz="4" w:space="0" w:color="auto"/>
              <w:right w:val="single" w:sz="4" w:space="0" w:color="auto"/>
            </w:tcBorders>
            <w:shd w:val="clear" w:color="auto" w:fill="auto"/>
            <w:noWrap/>
            <w:vAlign w:val="center"/>
            <w:hideMark/>
          </w:tcPr>
          <w:p w14:paraId="44604C5E"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3D5E9B47"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4551AEF0" w14:textId="77777777" w:rsidTr="00121062">
        <w:trPr>
          <w:trHeight w:val="1126"/>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18BC1983"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9270</w:t>
            </w:r>
          </w:p>
        </w:tc>
        <w:tc>
          <w:tcPr>
            <w:tcW w:w="1984" w:type="dxa"/>
            <w:tcBorders>
              <w:top w:val="nil"/>
              <w:left w:val="nil"/>
              <w:bottom w:val="single" w:sz="4" w:space="0" w:color="auto"/>
              <w:right w:val="single" w:sz="4" w:space="0" w:color="auto"/>
            </w:tcBorders>
            <w:shd w:val="clear" w:color="000000" w:fill="F2F2F2"/>
            <w:vAlign w:val="bottom"/>
            <w:hideMark/>
          </w:tcPr>
          <w:p w14:paraId="032B8558" w14:textId="77777777" w:rsidR="00C27261" w:rsidRPr="00650D66" w:rsidRDefault="00C27261" w:rsidP="00A3655F">
            <w:pPr>
              <w:spacing w:after="0" w:line="240" w:lineRule="auto"/>
              <w:jc w:val="both"/>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scoaterea din uz a imobilizărilor corporale și necorporale și a altor active materiale</w:t>
            </w:r>
          </w:p>
        </w:tc>
        <w:tc>
          <w:tcPr>
            <w:tcW w:w="1159" w:type="dxa"/>
            <w:tcBorders>
              <w:top w:val="nil"/>
              <w:left w:val="nil"/>
              <w:bottom w:val="single" w:sz="4" w:space="0" w:color="auto"/>
              <w:right w:val="single" w:sz="4" w:space="0" w:color="auto"/>
            </w:tcBorders>
            <w:shd w:val="clear" w:color="000000" w:fill="F2F2F2"/>
            <w:noWrap/>
            <w:vAlign w:val="center"/>
            <w:hideMark/>
          </w:tcPr>
          <w:p w14:paraId="37A730C6"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1,42</w:t>
            </w:r>
          </w:p>
        </w:tc>
        <w:tc>
          <w:tcPr>
            <w:tcW w:w="913" w:type="dxa"/>
            <w:tcBorders>
              <w:top w:val="nil"/>
              <w:left w:val="nil"/>
              <w:bottom w:val="single" w:sz="4" w:space="0" w:color="auto"/>
              <w:right w:val="single" w:sz="4" w:space="0" w:color="auto"/>
            </w:tcBorders>
            <w:shd w:val="clear" w:color="000000" w:fill="F2F2F2"/>
            <w:noWrap/>
            <w:vAlign w:val="center"/>
            <w:hideMark/>
          </w:tcPr>
          <w:p w14:paraId="2406F16D"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3968B6BE"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77%</w:t>
            </w:r>
          </w:p>
        </w:tc>
        <w:tc>
          <w:tcPr>
            <w:tcW w:w="981" w:type="dxa"/>
            <w:tcBorders>
              <w:top w:val="nil"/>
              <w:left w:val="nil"/>
              <w:bottom w:val="single" w:sz="4" w:space="0" w:color="auto"/>
              <w:right w:val="single" w:sz="4" w:space="0" w:color="auto"/>
            </w:tcBorders>
            <w:shd w:val="clear" w:color="000000" w:fill="F2F2F2"/>
            <w:noWrap/>
            <w:vAlign w:val="center"/>
            <w:hideMark/>
          </w:tcPr>
          <w:p w14:paraId="01377031"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2,40</w:t>
            </w:r>
          </w:p>
        </w:tc>
        <w:tc>
          <w:tcPr>
            <w:tcW w:w="914" w:type="dxa"/>
            <w:tcBorders>
              <w:top w:val="nil"/>
              <w:left w:val="nil"/>
              <w:bottom w:val="single" w:sz="4" w:space="0" w:color="auto"/>
              <w:right w:val="single" w:sz="4" w:space="0" w:color="auto"/>
            </w:tcBorders>
            <w:shd w:val="clear" w:color="000000" w:fill="F2F2F2"/>
            <w:noWrap/>
            <w:vAlign w:val="center"/>
            <w:hideMark/>
          </w:tcPr>
          <w:p w14:paraId="46D7C11F"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5E189A61"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70E7518E"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40,41</w:t>
            </w:r>
          </w:p>
        </w:tc>
        <w:tc>
          <w:tcPr>
            <w:tcW w:w="914" w:type="dxa"/>
            <w:tcBorders>
              <w:top w:val="nil"/>
              <w:left w:val="nil"/>
              <w:bottom w:val="single" w:sz="4" w:space="0" w:color="auto"/>
              <w:right w:val="single" w:sz="4" w:space="0" w:color="auto"/>
            </w:tcBorders>
            <w:shd w:val="clear" w:color="000000" w:fill="F2F2F2"/>
            <w:noWrap/>
            <w:vAlign w:val="center"/>
            <w:hideMark/>
          </w:tcPr>
          <w:p w14:paraId="75309803"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6444ACCA"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25" w:type="dxa"/>
            <w:tcBorders>
              <w:top w:val="nil"/>
              <w:left w:val="nil"/>
              <w:bottom w:val="single" w:sz="4" w:space="0" w:color="auto"/>
              <w:right w:val="single" w:sz="4" w:space="0" w:color="auto"/>
            </w:tcBorders>
            <w:shd w:val="clear" w:color="000000" w:fill="F2F2F2"/>
            <w:noWrap/>
            <w:vAlign w:val="center"/>
            <w:hideMark/>
          </w:tcPr>
          <w:p w14:paraId="39A5AB68"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33,82</w:t>
            </w:r>
          </w:p>
        </w:tc>
        <w:tc>
          <w:tcPr>
            <w:tcW w:w="983" w:type="dxa"/>
            <w:tcBorders>
              <w:top w:val="nil"/>
              <w:left w:val="nil"/>
              <w:bottom w:val="single" w:sz="4" w:space="0" w:color="auto"/>
              <w:right w:val="single" w:sz="4" w:space="0" w:color="auto"/>
            </w:tcBorders>
            <w:shd w:val="clear" w:color="000000" w:fill="F2F2F2"/>
            <w:noWrap/>
            <w:vAlign w:val="center"/>
            <w:hideMark/>
          </w:tcPr>
          <w:p w14:paraId="23AD8F72"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5464DA03"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center"/>
            <w:hideMark/>
          </w:tcPr>
          <w:p w14:paraId="3C0C7783" w14:textId="77777777" w:rsidR="00C27261" w:rsidRPr="00650D66" w:rsidRDefault="00C27261" w:rsidP="00C64CB6">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&gt;70%</w:t>
            </w:r>
          </w:p>
        </w:tc>
      </w:tr>
      <w:tr w:rsidR="00B95F09" w:rsidRPr="00650D66" w14:paraId="667A8F7D" w14:textId="77777777" w:rsidTr="00121062">
        <w:trPr>
          <w:trHeight w:val="7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B0F890"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9271</w:t>
            </w:r>
          </w:p>
        </w:tc>
        <w:tc>
          <w:tcPr>
            <w:tcW w:w="1984" w:type="dxa"/>
            <w:tcBorders>
              <w:top w:val="nil"/>
              <w:left w:val="nil"/>
              <w:bottom w:val="single" w:sz="4" w:space="0" w:color="auto"/>
              <w:right w:val="single" w:sz="4" w:space="0" w:color="auto"/>
            </w:tcBorders>
            <w:shd w:val="clear" w:color="auto" w:fill="auto"/>
            <w:vAlign w:val="bottom"/>
            <w:hideMark/>
          </w:tcPr>
          <w:p w14:paraId="453CA22D" w14:textId="77777777" w:rsidR="00C27261" w:rsidRPr="00650D66" w:rsidRDefault="00C27261" w:rsidP="00941408">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scoaterea din uz a imobilizărilor corporale</w:t>
            </w:r>
          </w:p>
        </w:tc>
        <w:tc>
          <w:tcPr>
            <w:tcW w:w="1159" w:type="dxa"/>
            <w:tcBorders>
              <w:top w:val="nil"/>
              <w:left w:val="nil"/>
              <w:bottom w:val="single" w:sz="4" w:space="0" w:color="auto"/>
              <w:right w:val="single" w:sz="4" w:space="0" w:color="auto"/>
            </w:tcBorders>
            <w:shd w:val="clear" w:color="auto" w:fill="auto"/>
            <w:noWrap/>
            <w:vAlign w:val="bottom"/>
            <w:hideMark/>
          </w:tcPr>
          <w:p w14:paraId="42266779"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0,32 </w:t>
            </w:r>
          </w:p>
        </w:tc>
        <w:tc>
          <w:tcPr>
            <w:tcW w:w="913" w:type="dxa"/>
            <w:tcBorders>
              <w:top w:val="nil"/>
              <w:left w:val="nil"/>
              <w:bottom w:val="single" w:sz="4" w:space="0" w:color="auto"/>
              <w:right w:val="single" w:sz="4" w:space="0" w:color="auto"/>
            </w:tcBorders>
            <w:shd w:val="clear" w:color="auto" w:fill="auto"/>
            <w:noWrap/>
            <w:vAlign w:val="bottom"/>
            <w:hideMark/>
          </w:tcPr>
          <w:p w14:paraId="565C5F9A"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23%</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30CC7E33" w14:textId="77777777" w:rsidR="00C27261" w:rsidRPr="00650D66" w:rsidRDefault="00C27261" w:rsidP="00B95F09">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 </w:t>
            </w:r>
          </w:p>
        </w:tc>
        <w:tc>
          <w:tcPr>
            <w:tcW w:w="981" w:type="dxa"/>
            <w:tcBorders>
              <w:top w:val="nil"/>
              <w:left w:val="nil"/>
              <w:bottom w:val="single" w:sz="4" w:space="0" w:color="auto"/>
              <w:right w:val="single" w:sz="4" w:space="0" w:color="auto"/>
            </w:tcBorders>
            <w:shd w:val="clear" w:color="auto" w:fill="auto"/>
            <w:noWrap/>
            <w:vAlign w:val="bottom"/>
            <w:hideMark/>
          </w:tcPr>
          <w:p w14:paraId="3012298B"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2,40 </w:t>
            </w:r>
          </w:p>
        </w:tc>
        <w:tc>
          <w:tcPr>
            <w:tcW w:w="914" w:type="dxa"/>
            <w:tcBorders>
              <w:top w:val="nil"/>
              <w:left w:val="nil"/>
              <w:bottom w:val="single" w:sz="4" w:space="0" w:color="auto"/>
              <w:right w:val="single" w:sz="4" w:space="0" w:color="auto"/>
            </w:tcBorders>
            <w:shd w:val="clear" w:color="auto" w:fill="auto"/>
            <w:noWrap/>
            <w:vAlign w:val="bottom"/>
            <w:hideMark/>
          </w:tcPr>
          <w:p w14:paraId="43D08A1E"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4F8BD3" w14:textId="77777777" w:rsidR="00C27261" w:rsidRPr="00650D66" w:rsidRDefault="00C27261" w:rsidP="00B95F09">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30B3D8D9"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40,41 </w:t>
            </w:r>
          </w:p>
        </w:tc>
        <w:tc>
          <w:tcPr>
            <w:tcW w:w="914" w:type="dxa"/>
            <w:tcBorders>
              <w:top w:val="nil"/>
              <w:left w:val="nil"/>
              <w:bottom w:val="single" w:sz="4" w:space="0" w:color="auto"/>
              <w:right w:val="single" w:sz="4" w:space="0" w:color="auto"/>
            </w:tcBorders>
            <w:shd w:val="clear" w:color="auto" w:fill="auto"/>
            <w:noWrap/>
            <w:vAlign w:val="bottom"/>
            <w:hideMark/>
          </w:tcPr>
          <w:p w14:paraId="7E92C356"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5F5CB785" w14:textId="77777777" w:rsidR="00C27261" w:rsidRPr="00650D66" w:rsidRDefault="00C27261" w:rsidP="00B95F09">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025" w:type="dxa"/>
            <w:tcBorders>
              <w:top w:val="nil"/>
              <w:left w:val="nil"/>
              <w:bottom w:val="single" w:sz="4" w:space="0" w:color="auto"/>
              <w:right w:val="single" w:sz="4" w:space="0" w:color="auto"/>
            </w:tcBorders>
            <w:shd w:val="clear" w:color="auto" w:fill="auto"/>
            <w:noWrap/>
            <w:vAlign w:val="bottom"/>
            <w:hideMark/>
          </w:tcPr>
          <w:p w14:paraId="02F95E22"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33,82 </w:t>
            </w:r>
          </w:p>
        </w:tc>
        <w:tc>
          <w:tcPr>
            <w:tcW w:w="983" w:type="dxa"/>
            <w:tcBorders>
              <w:top w:val="nil"/>
              <w:left w:val="nil"/>
              <w:bottom w:val="single" w:sz="4" w:space="0" w:color="auto"/>
              <w:right w:val="single" w:sz="4" w:space="0" w:color="auto"/>
            </w:tcBorders>
            <w:shd w:val="clear" w:color="auto" w:fill="auto"/>
            <w:noWrap/>
            <w:vAlign w:val="bottom"/>
            <w:hideMark/>
          </w:tcPr>
          <w:p w14:paraId="339CF8A6"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5" w:type="dxa"/>
            <w:tcBorders>
              <w:top w:val="nil"/>
              <w:left w:val="nil"/>
              <w:bottom w:val="single" w:sz="4" w:space="0" w:color="auto"/>
              <w:right w:val="single" w:sz="4" w:space="0" w:color="auto"/>
            </w:tcBorders>
            <w:shd w:val="clear" w:color="auto" w:fill="auto"/>
            <w:noWrap/>
            <w:vAlign w:val="center"/>
            <w:hideMark/>
          </w:tcPr>
          <w:p w14:paraId="27FBB7EC" w14:textId="77777777" w:rsidR="00C27261" w:rsidRPr="00650D66" w:rsidRDefault="00C27261" w:rsidP="00B95F09">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23" w:type="dxa"/>
            <w:tcBorders>
              <w:top w:val="nil"/>
              <w:left w:val="nil"/>
              <w:bottom w:val="single" w:sz="4" w:space="0" w:color="auto"/>
              <w:right w:val="single" w:sz="4" w:space="0" w:color="auto"/>
            </w:tcBorders>
            <w:shd w:val="clear" w:color="auto" w:fill="auto"/>
            <w:noWrap/>
            <w:vAlign w:val="bottom"/>
            <w:hideMark/>
          </w:tcPr>
          <w:p w14:paraId="7ECBAB60" w14:textId="77777777" w:rsidR="00C27261" w:rsidRPr="00650D66" w:rsidRDefault="00C27261" w:rsidP="00B95F09">
            <w:pPr>
              <w:spacing w:after="0" w:line="240" w:lineRule="auto"/>
              <w:rPr>
                <w:rFonts w:ascii="Times New Roman" w:eastAsia="Times New Roman" w:hAnsi="Times New Roman" w:cs="Times New Roman"/>
                <w:color w:val="FF0000"/>
                <w:sz w:val="18"/>
                <w:szCs w:val="18"/>
                <w:lang w:val="ro-RO"/>
              </w:rPr>
            </w:pPr>
            <w:r w:rsidRPr="00650D66">
              <w:rPr>
                <w:rFonts w:ascii="Times New Roman" w:eastAsia="Times New Roman" w:hAnsi="Times New Roman" w:cs="Times New Roman"/>
                <w:color w:val="FF0000"/>
                <w:sz w:val="18"/>
                <w:szCs w:val="18"/>
                <w:lang w:val="ro-RO"/>
              </w:rPr>
              <w:t> </w:t>
            </w:r>
          </w:p>
        </w:tc>
      </w:tr>
      <w:tr w:rsidR="00B95F09" w:rsidRPr="00650D66" w14:paraId="56FB478A" w14:textId="77777777" w:rsidTr="004B49C8">
        <w:trPr>
          <w:trHeight w:val="9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6DF93F1"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9274</w:t>
            </w:r>
          </w:p>
        </w:tc>
        <w:tc>
          <w:tcPr>
            <w:tcW w:w="1984" w:type="dxa"/>
            <w:tcBorders>
              <w:top w:val="nil"/>
              <w:left w:val="nil"/>
              <w:bottom w:val="single" w:sz="4" w:space="0" w:color="auto"/>
              <w:right w:val="single" w:sz="4" w:space="0" w:color="auto"/>
            </w:tcBorders>
            <w:shd w:val="clear" w:color="auto" w:fill="auto"/>
            <w:vAlign w:val="bottom"/>
            <w:hideMark/>
          </w:tcPr>
          <w:p w14:paraId="4A3B3CBF" w14:textId="77777777" w:rsidR="00C27261" w:rsidRPr="00650D66" w:rsidRDefault="00C27261" w:rsidP="00941408">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din operațiuni cu imobilizările corporale și necorporale</w:t>
            </w:r>
          </w:p>
        </w:tc>
        <w:tc>
          <w:tcPr>
            <w:tcW w:w="1159" w:type="dxa"/>
            <w:tcBorders>
              <w:top w:val="nil"/>
              <w:left w:val="nil"/>
              <w:bottom w:val="single" w:sz="4" w:space="0" w:color="auto"/>
              <w:right w:val="single" w:sz="4" w:space="0" w:color="auto"/>
            </w:tcBorders>
            <w:shd w:val="clear" w:color="auto" w:fill="auto"/>
            <w:noWrap/>
            <w:vAlign w:val="bottom"/>
            <w:hideMark/>
          </w:tcPr>
          <w:p w14:paraId="5D964E11"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1,10 </w:t>
            </w:r>
          </w:p>
        </w:tc>
        <w:tc>
          <w:tcPr>
            <w:tcW w:w="913" w:type="dxa"/>
            <w:tcBorders>
              <w:top w:val="nil"/>
              <w:left w:val="nil"/>
              <w:bottom w:val="single" w:sz="4" w:space="0" w:color="auto"/>
              <w:right w:val="single" w:sz="4" w:space="0" w:color="auto"/>
            </w:tcBorders>
            <w:shd w:val="clear" w:color="auto" w:fill="auto"/>
            <w:noWrap/>
            <w:vAlign w:val="bottom"/>
            <w:hideMark/>
          </w:tcPr>
          <w:p w14:paraId="6A3DC47B"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77%</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EA78882" w14:textId="77777777" w:rsidR="00C27261" w:rsidRPr="00650D66" w:rsidRDefault="00C27261" w:rsidP="00B95F09">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981" w:type="dxa"/>
            <w:tcBorders>
              <w:top w:val="nil"/>
              <w:left w:val="nil"/>
              <w:bottom w:val="single" w:sz="4" w:space="0" w:color="auto"/>
              <w:right w:val="single" w:sz="4" w:space="0" w:color="auto"/>
            </w:tcBorders>
            <w:shd w:val="clear" w:color="auto" w:fill="auto"/>
            <w:noWrap/>
            <w:vAlign w:val="bottom"/>
            <w:hideMark/>
          </w:tcPr>
          <w:p w14:paraId="5C2CDDA8"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4" w:type="dxa"/>
            <w:tcBorders>
              <w:top w:val="nil"/>
              <w:left w:val="nil"/>
              <w:bottom w:val="single" w:sz="4" w:space="0" w:color="auto"/>
              <w:right w:val="single" w:sz="4" w:space="0" w:color="auto"/>
            </w:tcBorders>
            <w:shd w:val="clear" w:color="auto" w:fill="auto"/>
            <w:noWrap/>
            <w:vAlign w:val="bottom"/>
            <w:hideMark/>
          </w:tcPr>
          <w:p w14:paraId="40406E97"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2DF7AAA" w14:textId="77777777" w:rsidR="00C27261" w:rsidRPr="00650D66" w:rsidRDefault="00C27261" w:rsidP="00B95F09">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 </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52717D22"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4" w:type="dxa"/>
            <w:tcBorders>
              <w:top w:val="nil"/>
              <w:left w:val="nil"/>
              <w:bottom w:val="single" w:sz="4" w:space="0" w:color="auto"/>
              <w:right w:val="single" w:sz="4" w:space="0" w:color="auto"/>
            </w:tcBorders>
            <w:shd w:val="clear" w:color="auto" w:fill="auto"/>
            <w:noWrap/>
            <w:vAlign w:val="bottom"/>
            <w:hideMark/>
          </w:tcPr>
          <w:p w14:paraId="66DA7617"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65F1410C" w14:textId="77777777" w:rsidR="00C27261" w:rsidRPr="00650D66" w:rsidRDefault="00C27261" w:rsidP="00B95F09">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 </w:t>
            </w:r>
          </w:p>
        </w:tc>
        <w:tc>
          <w:tcPr>
            <w:tcW w:w="1025" w:type="dxa"/>
            <w:tcBorders>
              <w:top w:val="nil"/>
              <w:left w:val="nil"/>
              <w:bottom w:val="single" w:sz="4" w:space="0" w:color="auto"/>
              <w:right w:val="single" w:sz="4" w:space="0" w:color="auto"/>
            </w:tcBorders>
            <w:shd w:val="clear" w:color="auto" w:fill="auto"/>
            <w:noWrap/>
            <w:vAlign w:val="bottom"/>
            <w:hideMark/>
          </w:tcPr>
          <w:p w14:paraId="73594A64"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983" w:type="dxa"/>
            <w:tcBorders>
              <w:top w:val="nil"/>
              <w:left w:val="nil"/>
              <w:bottom w:val="single" w:sz="4" w:space="0" w:color="auto"/>
              <w:right w:val="single" w:sz="4" w:space="0" w:color="auto"/>
            </w:tcBorders>
            <w:shd w:val="clear" w:color="auto" w:fill="auto"/>
            <w:noWrap/>
            <w:vAlign w:val="bottom"/>
            <w:hideMark/>
          </w:tcPr>
          <w:p w14:paraId="4387C0C9"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49FBAC92" w14:textId="77777777" w:rsidR="00C27261" w:rsidRPr="00650D66" w:rsidRDefault="00C27261" w:rsidP="00B95F09">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 </w:t>
            </w:r>
          </w:p>
        </w:tc>
        <w:tc>
          <w:tcPr>
            <w:tcW w:w="823" w:type="dxa"/>
            <w:tcBorders>
              <w:top w:val="nil"/>
              <w:left w:val="nil"/>
              <w:bottom w:val="single" w:sz="4" w:space="0" w:color="auto"/>
              <w:right w:val="single" w:sz="4" w:space="0" w:color="auto"/>
            </w:tcBorders>
            <w:shd w:val="clear" w:color="auto" w:fill="auto"/>
            <w:noWrap/>
            <w:vAlign w:val="bottom"/>
            <w:hideMark/>
          </w:tcPr>
          <w:p w14:paraId="571836CD" w14:textId="77777777" w:rsidR="00C27261" w:rsidRPr="00650D66" w:rsidRDefault="00C27261" w:rsidP="00B95F09">
            <w:pPr>
              <w:spacing w:after="0" w:line="240" w:lineRule="auto"/>
              <w:rPr>
                <w:rFonts w:ascii="Times New Roman" w:eastAsia="Times New Roman" w:hAnsi="Times New Roman" w:cs="Times New Roman"/>
                <w:color w:val="FF0000"/>
                <w:sz w:val="18"/>
                <w:szCs w:val="18"/>
                <w:lang w:val="ro-RO"/>
              </w:rPr>
            </w:pPr>
            <w:r w:rsidRPr="00650D66">
              <w:rPr>
                <w:rFonts w:ascii="Times New Roman" w:eastAsia="Times New Roman" w:hAnsi="Times New Roman" w:cs="Times New Roman"/>
                <w:color w:val="FF0000"/>
                <w:sz w:val="18"/>
                <w:szCs w:val="18"/>
                <w:lang w:val="ro-RO"/>
              </w:rPr>
              <w:t> </w:t>
            </w:r>
          </w:p>
        </w:tc>
      </w:tr>
      <w:tr w:rsidR="00B95F09" w:rsidRPr="00650D66" w14:paraId="04750E1C" w14:textId="77777777" w:rsidTr="00196803">
        <w:trPr>
          <w:trHeight w:val="213"/>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00F456A6"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lastRenderedPageBreak/>
              <w:t>9290</w:t>
            </w:r>
          </w:p>
        </w:tc>
        <w:tc>
          <w:tcPr>
            <w:tcW w:w="1984" w:type="dxa"/>
            <w:tcBorders>
              <w:top w:val="nil"/>
              <w:left w:val="nil"/>
              <w:bottom w:val="single" w:sz="4" w:space="0" w:color="auto"/>
              <w:right w:val="single" w:sz="4" w:space="0" w:color="auto"/>
            </w:tcBorders>
            <w:shd w:val="clear" w:color="000000" w:fill="F2F2F2"/>
            <w:vAlign w:val="bottom"/>
            <w:hideMark/>
          </w:tcPr>
          <w:p w14:paraId="38ACC5CB"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sociale</w:t>
            </w:r>
          </w:p>
        </w:tc>
        <w:tc>
          <w:tcPr>
            <w:tcW w:w="1159" w:type="dxa"/>
            <w:tcBorders>
              <w:top w:val="nil"/>
              <w:left w:val="nil"/>
              <w:bottom w:val="single" w:sz="4" w:space="0" w:color="auto"/>
              <w:right w:val="single" w:sz="4" w:space="0" w:color="auto"/>
            </w:tcBorders>
            <w:shd w:val="clear" w:color="000000" w:fill="F2F2F2"/>
            <w:noWrap/>
            <w:vAlign w:val="bottom"/>
            <w:hideMark/>
          </w:tcPr>
          <w:p w14:paraId="572CCC05"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671,92</w:t>
            </w:r>
          </w:p>
        </w:tc>
        <w:tc>
          <w:tcPr>
            <w:tcW w:w="913" w:type="dxa"/>
            <w:tcBorders>
              <w:top w:val="nil"/>
              <w:left w:val="nil"/>
              <w:bottom w:val="single" w:sz="4" w:space="0" w:color="auto"/>
              <w:right w:val="single" w:sz="4" w:space="0" w:color="auto"/>
            </w:tcBorders>
            <w:shd w:val="clear" w:color="000000" w:fill="F2F2F2"/>
            <w:noWrap/>
            <w:vAlign w:val="bottom"/>
            <w:hideMark/>
          </w:tcPr>
          <w:p w14:paraId="6C9BC7DC"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bottom"/>
            <w:hideMark/>
          </w:tcPr>
          <w:p w14:paraId="2F4F4047"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83%</w:t>
            </w:r>
          </w:p>
        </w:tc>
        <w:tc>
          <w:tcPr>
            <w:tcW w:w="981" w:type="dxa"/>
            <w:tcBorders>
              <w:top w:val="nil"/>
              <w:left w:val="nil"/>
              <w:bottom w:val="single" w:sz="4" w:space="0" w:color="auto"/>
              <w:right w:val="single" w:sz="4" w:space="0" w:color="auto"/>
            </w:tcBorders>
            <w:shd w:val="clear" w:color="000000" w:fill="F2F2F2"/>
            <w:noWrap/>
            <w:vAlign w:val="bottom"/>
            <w:hideMark/>
          </w:tcPr>
          <w:p w14:paraId="0E61B94A"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835,08</w:t>
            </w:r>
          </w:p>
        </w:tc>
        <w:tc>
          <w:tcPr>
            <w:tcW w:w="914" w:type="dxa"/>
            <w:tcBorders>
              <w:top w:val="nil"/>
              <w:left w:val="nil"/>
              <w:bottom w:val="single" w:sz="4" w:space="0" w:color="auto"/>
              <w:right w:val="single" w:sz="4" w:space="0" w:color="auto"/>
            </w:tcBorders>
            <w:shd w:val="clear" w:color="000000" w:fill="F2F2F2"/>
            <w:noWrap/>
            <w:vAlign w:val="bottom"/>
            <w:hideMark/>
          </w:tcPr>
          <w:p w14:paraId="560E0906"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bottom"/>
            <w:hideMark/>
          </w:tcPr>
          <w:p w14:paraId="737D0D68"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92%</w:t>
            </w:r>
          </w:p>
        </w:tc>
        <w:tc>
          <w:tcPr>
            <w:tcW w:w="1035" w:type="dxa"/>
            <w:gridSpan w:val="2"/>
            <w:tcBorders>
              <w:top w:val="nil"/>
              <w:left w:val="nil"/>
              <w:bottom w:val="single" w:sz="4" w:space="0" w:color="auto"/>
              <w:right w:val="single" w:sz="4" w:space="0" w:color="auto"/>
            </w:tcBorders>
            <w:shd w:val="clear" w:color="000000" w:fill="F2F2F2"/>
            <w:noWrap/>
            <w:vAlign w:val="bottom"/>
            <w:hideMark/>
          </w:tcPr>
          <w:p w14:paraId="1F785402"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1.261,35</w:t>
            </w:r>
          </w:p>
        </w:tc>
        <w:tc>
          <w:tcPr>
            <w:tcW w:w="914" w:type="dxa"/>
            <w:tcBorders>
              <w:top w:val="nil"/>
              <w:left w:val="nil"/>
              <w:bottom w:val="single" w:sz="4" w:space="0" w:color="auto"/>
              <w:right w:val="single" w:sz="4" w:space="0" w:color="auto"/>
            </w:tcBorders>
            <w:shd w:val="clear" w:color="000000" w:fill="F2F2F2"/>
            <w:noWrap/>
            <w:vAlign w:val="bottom"/>
            <w:hideMark/>
          </w:tcPr>
          <w:p w14:paraId="663B82B4"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bottom"/>
            <w:hideMark/>
          </w:tcPr>
          <w:p w14:paraId="14121327"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94%</w:t>
            </w:r>
          </w:p>
        </w:tc>
        <w:tc>
          <w:tcPr>
            <w:tcW w:w="1025" w:type="dxa"/>
            <w:tcBorders>
              <w:top w:val="nil"/>
              <w:left w:val="nil"/>
              <w:bottom w:val="single" w:sz="4" w:space="0" w:color="auto"/>
              <w:right w:val="single" w:sz="4" w:space="0" w:color="auto"/>
            </w:tcBorders>
            <w:shd w:val="clear" w:color="000000" w:fill="F2F2F2"/>
            <w:noWrap/>
            <w:vAlign w:val="bottom"/>
            <w:hideMark/>
          </w:tcPr>
          <w:p w14:paraId="147577E4"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1.183,31</w:t>
            </w:r>
          </w:p>
        </w:tc>
        <w:tc>
          <w:tcPr>
            <w:tcW w:w="983" w:type="dxa"/>
            <w:tcBorders>
              <w:top w:val="nil"/>
              <w:left w:val="nil"/>
              <w:bottom w:val="single" w:sz="4" w:space="0" w:color="auto"/>
              <w:right w:val="single" w:sz="4" w:space="0" w:color="auto"/>
            </w:tcBorders>
            <w:shd w:val="clear" w:color="000000" w:fill="F2F2F2"/>
            <w:noWrap/>
            <w:vAlign w:val="bottom"/>
            <w:hideMark/>
          </w:tcPr>
          <w:p w14:paraId="79852C8F"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bottom"/>
            <w:hideMark/>
          </w:tcPr>
          <w:p w14:paraId="050B55C6"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bottom"/>
            <w:hideMark/>
          </w:tcPr>
          <w:p w14:paraId="1EE64F18" w14:textId="77777777" w:rsidR="00C27261" w:rsidRPr="00650D66" w:rsidRDefault="00C27261" w:rsidP="00C64CB6">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&gt;20%</w:t>
            </w:r>
          </w:p>
        </w:tc>
      </w:tr>
      <w:tr w:rsidR="00B95F09" w:rsidRPr="00650D66" w14:paraId="3A0F78DD"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9AAF91A"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9291</w:t>
            </w:r>
          </w:p>
        </w:tc>
        <w:tc>
          <w:tcPr>
            <w:tcW w:w="1984" w:type="dxa"/>
            <w:tcBorders>
              <w:top w:val="nil"/>
              <w:left w:val="nil"/>
              <w:bottom w:val="single" w:sz="4" w:space="0" w:color="auto"/>
              <w:right w:val="single" w:sz="4" w:space="0" w:color="auto"/>
            </w:tcBorders>
            <w:shd w:val="clear" w:color="auto" w:fill="auto"/>
            <w:vAlign w:val="bottom"/>
            <w:hideMark/>
          </w:tcPr>
          <w:p w14:paraId="4F23255F" w14:textId="77777777" w:rsidR="00C27261" w:rsidRPr="00650D66" w:rsidRDefault="00C27261" w:rsidP="00E508D2">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ocrotirea </w:t>
            </w:r>
            <w:r w:rsidR="00203223" w:rsidRPr="00650D66">
              <w:rPr>
                <w:rFonts w:ascii="Times New Roman" w:eastAsia="Times New Roman" w:hAnsi="Times New Roman" w:cs="Times New Roman"/>
                <w:color w:val="000000"/>
                <w:sz w:val="18"/>
                <w:szCs w:val="18"/>
                <w:lang w:val="ro-RO"/>
              </w:rPr>
              <w:t>sănătății</w:t>
            </w:r>
          </w:p>
        </w:tc>
        <w:tc>
          <w:tcPr>
            <w:tcW w:w="1159" w:type="dxa"/>
            <w:tcBorders>
              <w:top w:val="nil"/>
              <w:left w:val="nil"/>
              <w:bottom w:val="single" w:sz="4" w:space="0" w:color="auto"/>
              <w:right w:val="single" w:sz="4" w:space="0" w:color="auto"/>
            </w:tcBorders>
            <w:shd w:val="clear" w:color="auto" w:fill="auto"/>
            <w:noWrap/>
            <w:vAlign w:val="bottom"/>
            <w:hideMark/>
          </w:tcPr>
          <w:p w14:paraId="125D9FE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244,36</w:t>
            </w:r>
          </w:p>
        </w:tc>
        <w:tc>
          <w:tcPr>
            <w:tcW w:w="913" w:type="dxa"/>
            <w:tcBorders>
              <w:top w:val="nil"/>
              <w:left w:val="nil"/>
              <w:bottom w:val="single" w:sz="4" w:space="0" w:color="auto"/>
              <w:right w:val="single" w:sz="4" w:space="0" w:color="auto"/>
            </w:tcBorders>
            <w:shd w:val="clear" w:color="auto" w:fill="auto"/>
            <w:noWrap/>
            <w:vAlign w:val="bottom"/>
            <w:hideMark/>
          </w:tcPr>
          <w:p w14:paraId="2CCD2EF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68EF0A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44B3F2D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396,84</w:t>
            </w:r>
          </w:p>
        </w:tc>
        <w:tc>
          <w:tcPr>
            <w:tcW w:w="914" w:type="dxa"/>
            <w:tcBorders>
              <w:top w:val="nil"/>
              <w:left w:val="nil"/>
              <w:bottom w:val="single" w:sz="4" w:space="0" w:color="auto"/>
              <w:right w:val="single" w:sz="4" w:space="0" w:color="auto"/>
            </w:tcBorders>
            <w:shd w:val="clear" w:color="auto" w:fill="auto"/>
            <w:noWrap/>
            <w:vAlign w:val="bottom"/>
            <w:hideMark/>
          </w:tcPr>
          <w:p w14:paraId="4678F63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8A14A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314692B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720,58</w:t>
            </w:r>
          </w:p>
        </w:tc>
        <w:tc>
          <w:tcPr>
            <w:tcW w:w="914" w:type="dxa"/>
            <w:tcBorders>
              <w:top w:val="nil"/>
              <w:left w:val="nil"/>
              <w:bottom w:val="single" w:sz="4" w:space="0" w:color="auto"/>
              <w:right w:val="single" w:sz="4" w:space="0" w:color="auto"/>
            </w:tcBorders>
            <w:shd w:val="clear" w:color="auto" w:fill="auto"/>
            <w:noWrap/>
            <w:vAlign w:val="bottom"/>
            <w:hideMark/>
          </w:tcPr>
          <w:p w14:paraId="7B769C9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57%</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106141B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7E22D7A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440,80</w:t>
            </w:r>
          </w:p>
        </w:tc>
        <w:tc>
          <w:tcPr>
            <w:tcW w:w="983" w:type="dxa"/>
            <w:tcBorders>
              <w:top w:val="nil"/>
              <w:left w:val="nil"/>
              <w:bottom w:val="single" w:sz="4" w:space="0" w:color="auto"/>
              <w:right w:val="single" w:sz="4" w:space="0" w:color="auto"/>
            </w:tcBorders>
            <w:shd w:val="clear" w:color="auto" w:fill="auto"/>
            <w:noWrap/>
            <w:vAlign w:val="bottom"/>
            <w:hideMark/>
          </w:tcPr>
          <w:p w14:paraId="19B726A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w:t>
            </w:r>
          </w:p>
        </w:tc>
        <w:tc>
          <w:tcPr>
            <w:tcW w:w="855" w:type="dxa"/>
            <w:tcBorders>
              <w:top w:val="nil"/>
              <w:left w:val="nil"/>
              <w:bottom w:val="single" w:sz="4" w:space="0" w:color="auto"/>
              <w:right w:val="single" w:sz="4" w:space="0" w:color="auto"/>
            </w:tcBorders>
            <w:shd w:val="clear" w:color="auto" w:fill="auto"/>
            <w:noWrap/>
            <w:vAlign w:val="center"/>
            <w:hideMark/>
          </w:tcPr>
          <w:p w14:paraId="22520B7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408E9C50"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3AD9E69E" w14:textId="77777777" w:rsidTr="006D1EE9">
        <w:trPr>
          <w:trHeight w:val="66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E9C7AEA"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9292</w:t>
            </w:r>
          </w:p>
        </w:tc>
        <w:tc>
          <w:tcPr>
            <w:tcW w:w="1984" w:type="dxa"/>
            <w:tcBorders>
              <w:top w:val="nil"/>
              <w:left w:val="nil"/>
              <w:bottom w:val="single" w:sz="4" w:space="0" w:color="auto"/>
              <w:right w:val="single" w:sz="4" w:space="0" w:color="auto"/>
            </w:tcBorders>
            <w:shd w:val="clear" w:color="auto" w:fill="auto"/>
            <w:vAlign w:val="bottom"/>
            <w:hideMark/>
          </w:tcPr>
          <w:p w14:paraId="542471E5" w14:textId="77777777" w:rsidR="00C27261" w:rsidRPr="00650D66" w:rsidRDefault="00C27261" w:rsidP="00E508D2">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de </w:t>
            </w:r>
            <w:r w:rsidR="00203223" w:rsidRPr="00650D66">
              <w:rPr>
                <w:rFonts w:ascii="Times New Roman" w:eastAsia="Times New Roman" w:hAnsi="Times New Roman" w:cs="Times New Roman"/>
                <w:color w:val="000000"/>
                <w:sz w:val="18"/>
                <w:szCs w:val="18"/>
                <w:lang w:val="ro-RO"/>
              </w:rPr>
              <w:t>întreținere</w:t>
            </w:r>
            <w:r w:rsidRPr="00650D66">
              <w:rPr>
                <w:rFonts w:ascii="Times New Roman" w:eastAsia="Times New Roman" w:hAnsi="Times New Roman" w:cs="Times New Roman"/>
                <w:color w:val="000000"/>
                <w:sz w:val="18"/>
                <w:szCs w:val="18"/>
                <w:lang w:val="ro-RO"/>
              </w:rPr>
              <w:t xml:space="preserve"> </w:t>
            </w:r>
            <w:proofErr w:type="spellStart"/>
            <w:r w:rsidRPr="00650D66">
              <w:rPr>
                <w:rFonts w:ascii="Times New Roman" w:eastAsia="Times New Roman" w:hAnsi="Times New Roman" w:cs="Times New Roman"/>
                <w:color w:val="000000"/>
                <w:sz w:val="18"/>
                <w:szCs w:val="18"/>
                <w:lang w:val="ro-RO"/>
              </w:rPr>
              <w:t>şi</w:t>
            </w:r>
            <w:proofErr w:type="spellEnd"/>
            <w:r w:rsidRPr="00650D66">
              <w:rPr>
                <w:rFonts w:ascii="Times New Roman" w:eastAsia="Times New Roman" w:hAnsi="Times New Roman" w:cs="Times New Roman"/>
                <w:color w:val="000000"/>
                <w:sz w:val="18"/>
                <w:szCs w:val="18"/>
                <w:lang w:val="ro-RO"/>
              </w:rPr>
              <w:t xml:space="preserve"> </w:t>
            </w:r>
            <w:r w:rsidR="00203223" w:rsidRPr="00650D66">
              <w:rPr>
                <w:rFonts w:ascii="Times New Roman" w:eastAsia="Times New Roman" w:hAnsi="Times New Roman" w:cs="Times New Roman"/>
                <w:color w:val="000000"/>
                <w:sz w:val="18"/>
                <w:szCs w:val="18"/>
                <w:lang w:val="ro-RO"/>
              </w:rPr>
              <w:t>reparație</w:t>
            </w:r>
            <w:r w:rsidRPr="00650D66">
              <w:rPr>
                <w:rFonts w:ascii="Times New Roman" w:eastAsia="Times New Roman" w:hAnsi="Times New Roman" w:cs="Times New Roman"/>
                <w:color w:val="000000"/>
                <w:sz w:val="18"/>
                <w:szCs w:val="18"/>
                <w:lang w:val="ro-RO"/>
              </w:rPr>
              <w:t xml:space="preserve"> a obiectelor social-culturale</w:t>
            </w:r>
          </w:p>
        </w:tc>
        <w:tc>
          <w:tcPr>
            <w:tcW w:w="1159" w:type="dxa"/>
            <w:tcBorders>
              <w:top w:val="nil"/>
              <w:left w:val="nil"/>
              <w:bottom w:val="single" w:sz="4" w:space="0" w:color="auto"/>
              <w:right w:val="single" w:sz="4" w:space="0" w:color="auto"/>
            </w:tcBorders>
            <w:shd w:val="clear" w:color="auto" w:fill="auto"/>
            <w:noWrap/>
            <w:vAlign w:val="bottom"/>
            <w:hideMark/>
          </w:tcPr>
          <w:p w14:paraId="1532470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114,83</w:t>
            </w:r>
          </w:p>
        </w:tc>
        <w:tc>
          <w:tcPr>
            <w:tcW w:w="913" w:type="dxa"/>
            <w:tcBorders>
              <w:top w:val="nil"/>
              <w:left w:val="nil"/>
              <w:bottom w:val="single" w:sz="4" w:space="0" w:color="auto"/>
              <w:right w:val="single" w:sz="4" w:space="0" w:color="auto"/>
            </w:tcBorders>
            <w:shd w:val="clear" w:color="auto" w:fill="auto"/>
            <w:noWrap/>
            <w:vAlign w:val="bottom"/>
            <w:hideMark/>
          </w:tcPr>
          <w:p w14:paraId="44DB42B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2A9B2D4A"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1E253C5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67,01</w:t>
            </w:r>
          </w:p>
        </w:tc>
        <w:tc>
          <w:tcPr>
            <w:tcW w:w="914" w:type="dxa"/>
            <w:tcBorders>
              <w:top w:val="nil"/>
              <w:left w:val="nil"/>
              <w:bottom w:val="single" w:sz="4" w:space="0" w:color="auto"/>
              <w:right w:val="single" w:sz="4" w:space="0" w:color="auto"/>
            </w:tcBorders>
            <w:shd w:val="clear" w:color="auto" w:fill="auto"/>
            <w:noWrap/>
            <w:vAlign w:val="bottom"/>
            <w:hideMark/>
          </w:tcPr>
          <w:p w14:paraId="1587870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B53F9B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2F9F1FE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81,43</w:t>
            </w:r>
          </w:p>
        </w:tc>
        <w:tc>
          <w:tcPr>
            <w:tcW w:w="914" w:type="dxa"/>
            <w:tcBorders>
              <w:top w:val="nil"/>
              <w:left w:val="nil"/>
              <w:bottom w:val="single" w:sz="4" w:space="0" w:color="auto"/>
              <w:right w:val="single" w:sz="4" w:space="0" w:color="auto"/>
            </w:tcBorders>
            <w:shd w:val="clear" w:color="auto" w:fill="auto"/>
            <w:noWrap/>
            <w:vAlign w:val="bottom"/>
            <w:hideMark/>
          </w:tcPr>
          <w:p w14:paraId="069856B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1D424906"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12F82FA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246,21</w:t>
            </w:r>
          </w:p>
        </w:tc>
        <w:tc>
          <w:tcPr>
            <w:tcW w:w="983" w:type="dxa"/>
            <w:tcBorders>
              <w:top w:val="nil"/>
              <w:left w:val="nil"/>
              <w:bottom w:val="single" w:sz="4" w:space="0" w:color="auto"/>
              <w:right w:val="single" w:sz="4" w:space="0" w:color="auto"/>
            </w:tcBorders>
            <w:shd w:val="clear" w:color="auto" w:fill="auto"/>
            <w:noWrap/>
            <w:vAlign w:val="bottom"/>
            <w:hideMark/>
          </w:tcPr>
          <w:p w14:paraId="5649675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21%</w:t>
            </w:r>
          </w:p>
        </w:tc>
        <w:tc>
          <w:tcPr>
            <w:tcW w:w="855" w:type="dxa"/>
            <w:tcBorders>
              <w:top w:val="nil"/>
              <w:left w:val="nil"/>
              <w:bottom w:val="single" w:sz="4" w:space="0" w:color="auto"/>
              <w:right w:val="single" w:sz="4" w:space="0" w:color="auto"/>
            </w:tcBorders>
            <w:shd w:val="clear" w:color="auto" w:fill="auto"/>
            <w:noWrap/>
            <w:vAlign w:val="center"/>
            <w:hideMark/>
          </w:tcPr>
          <w:p w14:paraId="590E8BF6"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1E1C32E9"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425F1153" w14:textId="77777777" w:rsidTr="004B49C8">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4710A4C"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9295</w:t>
            </w:r>
          </w:p>
        </w:tc>
        <w:tc>
          <w:tcPr>
            <w:tcW w:w="1984" w:type="dxa"/>
            <w:tcBorders>
              <w:top w:val="nil"/>
              <w:left w:val="nil"/>
              <w:bottom w:val="single" w:sz="4" w:space="0" w:color="auto"/>
              <w:right w:val="single" w:sz="4" w:space="0" w:color="auto"/>
            </w:tcBorders>
            <w:shd w:val="clear" w:color="auto" w:fill="auto"/>
            <w:vAlign w:val="bottom"/>
            <w:hideMark/>
          </w:tcPr>
          <w:p w14:paraId="0FA4E9B8" w14:textId="77777777" w:rsidR="00C27261" w:rsidRPr="00650D66" w:rsidRDefault="00C27261" w:rsidP="00E508D2">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cheltuieli sociale</w:t>
            </w:r>
          </w:p>
        </w:tc>
        <w:tc>
          <w:tcPr>
            <w:tcW w:w="1159" w:type="dxa"/>
            <w:tcBorders>
              <w:top w:val="nil"/>
              <w:left w:val="nil"/>
              <w:bottom w:val="single" w:sz="4" w:space="0" w:color="auto"/>
              <w:right w:val="single" w:sz="4" w:space="0" w:color="auto"/>
            </w:tcBorders>
            <w:shd w:val="clear" w:color="auto" w:fill="auto"/>
            <w:noWrap/>
            <w:vAlign w:val="bottom"/>
            <w:hideMark/>
          </w:tcPr>
          <w:p w14:paraId="44A6DEB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312,73</w:t>
            </w:r>
          </w:p>
        </w:tc>
        <w:tc>
          <w:tcPr>
            <w:tcW w:w="913" w:type="dxa"/>
            <w:tcBorders>
              <w:top w:val="nil"/>
              <w:left w:val="nil"/>
              <w:bottom w:val="single" w:sz="4" w:space="0" w:color="auto"/>
              <w:right w:val="single" w:sz="4" w:space="0" w:color="auto"/>
            </w:tcBorders>
            <w:shd w:val="clear" w:color="auto" w:fill="auto"/>
            <w:noWrap/>
            <w:vAlign w:val="bottom"/>
            <w:hideMark/>
          </w:tcPr>
          <w:p w14:paraId="50BB903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47%</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46975CA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37C9422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371,23</w:t>
            </w:r>
          </w:p>
        </w:tc>
        <w:tc>
          <w:tcPr>
            <w:tcW w:w="914" w:type="dxa"/>
            <w:tcBorders>
              <w:top w:val="nil"/>
              <w:left w:val="nil"/>
              <w:bottom w:val="single" w:sz="4" w:space="0" w:color="auto"/>
              <w:right w:val="single" w:sz="4" w:space="0" w:color="auto"/>
            </w:tcBorders>
            <w:shd w:val="clear" w:color="auto" w:fill="auto"/>
            <w:noWrap/>
            <w:vAlign w:val="bottom"/>
            <w:hideMark/>
          </w:tcPr>
          <w:p w14:paraId="3EFB14A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1541FA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534E894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459,34</w:t>
            </w:r>
          </w:p>
        </w:tc>
        <w:tc>
          <w:tcPr>
            <w:tcW w:w="914" w:type="dxa"/>
            <w:tcBorders>
              <w:top w:val="nil"/>
              <w:left w:val="nil"/>
              <w:bottom w:val="single" w:sz="4" w:space="0" w:color="auto"/>
              <w:right w:val="single" w:sz="4" w:space="0" w:color="auto"/>
            </w:tcBorders>
            <w:shd w:val="clear" w:color="auto" w:fill="auto"/>
            <w:noWrap/>
            <w:vAlign w:val="bottom"/>
            <w:hideMark/>
          </w:tcPr>
          <w:p w14:paraId="06F64E0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321D24F6"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231FBBD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496,30</w:t>
            </w:r>
          </w:p>
        </w:tc>
        <w:tc>
          <w:tcPr>
            <w:tcW w:w="983" w:type="dxa"/>
            <w:tcBorders>
              <w:top w:val="nil"/>
              <w:left w:val="nil"/>
              <w:bottom w:val="single" w:sz="4" w:space="0" w:color="auto"/>
              <w:right w:val="single" w:sz="4" w:space="0" w:color="auto"/>
            </w:tcBorders>
            <w:shd w:val="clear" w:color="auto" w:fill="auto"/>
            <w:noWrap/>
            <w:vAlign w:val="bottom"/>
            <w:hideMark/>
          </w:tcPr>
          <w:p w14:paraId="13763C7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42%</w:t>
            </w:r>
          </w:p>
        </w:tc>
        <w:tc>
          <w:tcPr>
            <w:tcW w:w="855" w:type="dxa"/>
            <w:tcBorders>
              <w:top w:val="nil"/>
              <w:left w:val="nil"/>
              <w:bottom w:val="single" w:sz="4" w:space="0" w:color="auto"/>
              <w:right w:val="single" w:sz="4" w:space="0" w:color="auto"/>
            </w:tcBorders>
            <w:shd w:val="clear" w:color="auto" w:fill="auto"/>
            <w:noWrap/>
            <w:vAlign w:val="center"/>
            <w:hideMark/>
          </w:tcPr>
          <w:p w14:paraId="39F96EE7"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31206212"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0BA5BD9E" w14:textId="77777777" w:rsidTr="00C64CB6">
        <w:trPr>
          <w:trHeight w:val="544"/>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54286D40"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9310</w:t>
            </w:r>
          </w:p>
        </w:tc>
        <w:tc>
          <w:tcPr>
            <w:tcW w:w="1984" w:type="dxa"/>
            <w:tcBorders>
              <w:top w:val="nil"/>
              <w:left w:val="nil"/>
              <w:bottom w:val="single" w:sz="4" w:space="0" w:color="auto"/>
              <w:right w:val="single" w:sz="4" w:space="0" w:color="auto"/>
            </w:tcBorders>
            <w:shd w:val="clear" w:color="000000" w:fill="F2F2F2"/>
            <w:vAlign w:val="bottom"/>
            <w:hideMark/>
          </w:tcPr>
          <w:p w14:paraId="2DF410C2"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Cheltuieli privind deprecierea activelor și cu </w:t>
            </w:r>
            <w:r w:rsidR="0041076B" w:rsidRPr="00650D66">
              <w:rPr>
                <w:rFonts w:ascii="Times New Roman" w:eastAsia="Times New Roman" w:hAnsi="Times New Roman" w:cs="Times New Roman"/>
                <w:b/>
                <w:bCs/>
                <w:color w:val="000000"/>
                <w:sz w:val="18"/>
                <w:szCs w:val="18"/>
                <w:lang w:val="ro-RO"/>
              </w:rPr>
              <w:t>proviziune</w:t>
            </w:r>
          </w:p>
        </w:tc>
        <w:tc>
          <w:tcPr>
            <w:tcW w:w="1159" w:type="dxa"/>
            <w:tcBorders>
              <w:top w:val="nil"/>
              <w:left w:val="nil"/>
              <w:bottom w:val="single" w:sz="4" w:space="0" w:color="auto"/>
              <w:right w:val="single" w:sz="4" w:space="0" w:color="auto"/>
            </w:tcBorders>
            <w:shd w:val="clear" w:color="000000" w:fill="F2F2F2"/>
            <w:noWrap/>
            <w:vAlign w:val="center"/>
            <w:hideMark/>
          </w:tcPr>
          <w:p w14:paraId="0733BA85"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81,05</w:t>
            </w:r>
          </w:p>
        </w:tc>
        <w:tc>
          <w:tcPr>
            <w:tcW w:w="913" w:type="dxa"/>
            <w:tcBorders>
              <w:top w:val="nil"/>
              <w:left w:val="nil"/>
              <w:bottom w:val="single" w:sz="4" w:space="0" w:color="auto"/>
              <w:right w:val="single" w:sz="4" w:space="0" w:color="auto"/>
            </w:tcBorders>
            <w:shd w:val="clear" w:color="000000" w:fill="F2F2F2"/>
            <w:noWrap/>
            <w:vAlign w:val="center"/>
            <w:hideMark/>
          </w:tcPr>
          <w:p w14:paraId="66874433"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6E504818"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981" w:type="dxa"/>
            <w:tcBorders>
              <w:top w:val="nil"/>
              <w:left w:val="nil"/>
              <w:bottom w:val="single" w:sz="4" w:space="0" w:color="auto"/>
              <w:right w:val="single" w:sz="4" w:space="0" w:color="auto"/>
            </w:tcBorders>
            <w:shd w:val="clear" w:color="000000" w:fill="F2F2F2"/>
            <w:noWrap/>
            <w:vAlign w:val="center"/>
            <w:hideMark/>
          </w:tcPr>
          <w:p w14:paraId="18EAAC52"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0,59</w:t>
            </w:r>
          </w:p>
        </w:tc>
        <w:tc>
          <w:tcPr>
            <w:tcW w:w="914" w:type="dxa"/>
            <w:tcBorders>
              <w:top w:val="nil"/>
              <w:left w:val="nil"/>
              <w:bottom w:val="single" w:sz="4" w:space="0" w:color="auto"/>
              <w:right w:val="single" w:sz="4" w:space="0" w:color="auto"/>
            </w:tcBorders>
            <w:shd w:val="clear" w:color="000000" w:fill="F2F2F2"/>
            <w:noWrap/>
            <w:vAlign w:val="center"/>
            <w:hideMark/>
          </w:tcPr>
          <w:p w14:paraId="7DE172F8"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4D04823D" w14:textId="77777777" w:rsidR="00C27261" w:rsidRPr="00650D66" w:rsidRDefault="00C27261" w:rsidP="00C64CB6">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0%</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41053899"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0,96</w:t>
            </w:r>
          </w:p>
        </w:tc>
        <w:tc>
          <w:tcPr>
            <w:tcW w:w="914" w:type="dxa"/>
            <w:tcBorders>
              <w:top w:val="nil"/>
              <w:left w:val="nil"/>
              <w:bottom w:val="single" w:sz="4" w:space="0" w:color="auto"/>
              <w:right w:val="single" w:sz="4" w:space="0" w:color="auto"/>
            </w:tcBorders>
            <w:shd w:val="clear" w:color="000000" w:fill="F2F2F2"/>
            <w:noWrap/>
            <w:vAlign w:val="center"/>
            <w:hideMark/>
          </w:tcPr>
          <w:p w14:paraId="005928A4"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7778D3FF" w14:textId="77777777" w:rsidR="00C27261" w:rsidRPr="00650D66" w:rsidRDefault="00C27261" w:rsidP="00C64CB6">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0%</w:t>
            </w:r>
          </w:p>
        </w:tc>
        <w:tc>
          <w:tcPr>
            <w:tcW w:w="1025" w:type="dxa"/>
            <w:tcBorders>
              <w:top w:val="nil"/>
              <w:left w:val="nil"/>
              <w:bottom w:val="single" w:sz="4" w:space="0" w:color="auto"/>
              <w:right w:val="single" w:sz="4" w:space="0" w:color="auto"/>
            </w:tcBorders>
            <w:shd w:val="clear" w:color="000000" w:fill="F2F2F2"/>
            <w:noWrap/>
            <w:vAlign w:val="center"/>
            <w:hideMark/>
          </w:tcPr>
          <w:p w14:paraId="7169D539"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2,50</w:t>
            </w:r>
          </w:p>
        </w:tc>
        <w:tc>
          <w:tcPr>
            <w:tcW w:w="983" w:type="dxa"/>
            <w:tcBorders>
              <w:top w:val="nil"/>
              <w:left w:val="nil"/>
              <w:bottom w:val="single" w:sz="4" w:space="0" w:color="auto"/>
              <w:right w:val="single" w:sz="4" w:space="0" w:color="auto"/>
            </w:tcBorders>
            <w:shd w:val="clear" w:color="000000" w:fill="F2F2F2"/>
            <w:noWrap/>
            <w:vAlign w:val="center"/>
            <w:hideMark/>
          </w:tcPr>
          <w:p w14:paraId="0425D00A"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39AACB80" w14:textId="77777777" w:rsidR="00C27261" w:rsidRPr="00650D66" w:rsidRDefault="00C27261" w:rsidP="00C64CB6">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0%</w:t>
            </w:r>
          </w:p>
        </w:tc>
        <w:tc>
          <w:tcPr>
            <w:tcW w:w="823" w:type="dxa"/>
            <w:tcBorders>
              <w:top w:val="nil"/>
              <w:left w:val="nil"/>
              <w:bottom w:val="single" w:sz="4" w:space="0" w:color="auto"/>
              <w:right w:val="single" w:sz="4" w:space="0" w:color="auto"/>
            </w:tcBorders>
            <w:shd w:val="clear" w:color="000000" w:fill="F2F2F2"/>
            <w:vAlign w:val="center"/>
            <w:hideMark/>
          </w:tcPr>
          <w:p w14:paraId="684DCC5B" w14:textId="77777777" w:rsidR="00C27261" w:rsidRPr="00650D66" w:rsidRDefault="00C27261" w:rsidP="00C64CB6">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Valori nesemnificative</w:t>
            </w:r>
          </w:p>
        </w:tc>
      </w:tr>
      <w:tr w:rsidR="00B95F09" w:rsidRPr="00650D66" w14:paraId="2B0C7314"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06801DB"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9313</w:t>
            </w:r>
          </w:p>
        </w:tc>
        <w:tc>
          <w:tcPr>
            <w:tcW w:w="1984" w:type="dxa"/>
            <w:tcBorders>
              <w:top w:val="nil"/>
              <w:left w:val="nil"/>
              <w:bottom w:val="single" w:sz="4" w:space="0" w:color="auto"/>
              <w:right w:val="single" w:sz="4" w:space="0" w:color="auto"/>
            </w:tcBorders>
            <w:shd w:val="clear" w:color="auto" w:fill="auto"/>
            <w:vAlign w:val="bottom"/>
            <w:hideMark/>
          </w:tcPr>
          <w:p w14:paraId="611C15E2" w14:textId="77777777" w:rsidR="00C27261" w:rsidRPr="00650D66" w:rsidRDefault="00C27261" w:rsidP="00E508D2">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deprecierea stocurilor</w:t>
            </w:r>
          </w:p>
        </w:tc>
        <w:tc>
          <w:tcPr>
            <w:tcW w:w="1159" w:type="dxa"/>
            <w:tcBorders>
              <w:top w:val="nil"/>
              <w:left w:val="nil"/>
              <w:bottom w:val="single" w:sz="4" w:space="0" w:color="auto"/>
              <w:right w:val="single" w:sz="4" w:space="0" w:color="auto"/>
            </w:tcBorders>
            <w:shd w:val="clear" w:color="auto" w:fill="auto"/>
            <w:noWrap/>
            <w:vAlign w:val="bottom"/>
            <w:hideMark/>
          </w:tcPr>
          <w:p w14:paraId="0D806B8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1,05</w:t>
            </w:r>
          </w:p>
        </w:tc>
        <w:tc>
          <w:tcPr>
            <w:tcW w:w="913" w:type="dxa"/>
            <w:tcBorders>
              <w:top w:val="nil"/>
              <w:left w:val="nil"/>
              <w:bottom w:val="single" w:sz="4" w:space="0" w:color="auto"/>
              <w:right w:val="single" w:sz="4" w:space="0" w:color="auto"/>
            </w:tcBorders>
            <w:shd w:val="clear" w:color="auto" w:fill="auto"/>
            <w:noWrap/>
            <w:vAlign w:val="bottom"/>
            <w:hideMark/>
          </w:tcPr>
          <w:p w14:paraId="12A9C72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1649E3F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2BBBF29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0,59</w:t>
            </w:r>
          </w:p>
        </w:tc>
        <w:tc>
          <w:tcPr>
            <w:tcW w:w="914" w:type="dxa"/>
            <w:tcBorders>
              <w:top w:val="nil"/>
              <w:left w:val="nil"/>
              <w:bottom w:val="single" w:sz="4" w:space="0" w:color="auto"/>
              <w:right w:val="single" w:sz="4" w:space="0" w:color="auto"/>
            </w:tcBorders>
            <w:shd w:val="clear" w:color="auto" w:fill="auto"/>
            <w:noWrap/>
            <w:vAlign w:val="bottom"/>
            <w:hideMark/>
          </w:tcPr>
          <w:p w14:paraId="645685F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65E18EA"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42EEAE1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0,96</w:t>
            </w:r>
          </w:p>
        </w:tc>
        <w:tc>
          <w:tcPr>
            <w:tcW w:w="914" w:type="dxa"/>
            <w:tcBorders>
              <w:top w:val="nil"/>
              <w:left w:val="nil"/>
              <w:bottom w:val="single" w:sz="4" w:space="0" w:color="auto"/>
              <w:right w:val="single" w:sz="4" w:space="0" w:color="auto"/>
            </w:tcBorders>
            <w:shd w:val="clear" w:color="auto" w:fill="auto"/>
            <w:noWrap/>
            <w:vAlign w:val="bottom"/>
            <w:hideMark/>
          </w:tcPr>
          <w:p w14:paraId="59995D1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6B95A9DA"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67A1F04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2,50</w:t>
            </w:r>
          </w:p>
        </w:tc>
        <w:tc>
          <w:tcPr>
            <w:tcW w:w="983" w:type="dxa"/>
            <w:tcBorders>
              <w:top w:val="nil"/>
              <w:left w:val="nil"/>
              <w:bottom w:val="single" w:sz="4" w:space="0" w:color="auto"/>
              <w:right w:val="single" w:sz="4" w:space="0" w:color="auto"/>
            </w:tcBorders>
            <w:shd w:val="clear" w:color="auto" w:fill="auto"/>
            <w:noWrap/>
            <w:vAlign w:val="bottom"/>
            <w:hideMark/>
          </w:tcPr>
          <w:p w14:paraId="4A8AC25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100%</w:t>
            </w:r>
          </w:p>
        </w:tc>
        <w:tc>
          <w:tcPr>
            <w:tcW w:w="855" w:type="dxa"/>
            <w:tcBorders>
              <w:top w:val="nil"/>
              <w:left w:val="nil"/>
              <w:bottom w:val="single" w:sz="4" w:space="0" w:color="auto"/>
              <w:right w:val="single" w:sz="4" w:space="0" w:color="auto"/>
            </w:tcBorders>
            <w:shd w:val="clear" w:color="auto" w:fill="auto"/>
            <w:noWrap/>
            <w:vAlign w:val="center"/>
            <w:hideMark/>
          </w:tcPr>
          <w:p w14:paraId="484F079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1AE3AA64"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522DC45B" w14:textId="77777777" w:rsidTr="00121062">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7A79B50"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9318</w:t>
            </w:r>
          </w:p>
        </w:tc>
        <w:tc>
          <w:tcPr>
            <w:tcW w:w="1984" w:type="dxa"/>
            <w:tcBorders>
              <w:top w:val="nil"/>
              <w:left w:val="nil"/>
              <w:bottom w:val="single" w:sz="4" w:space="0" w:color="auto"/>
              <w:right w:val="single" w:sz="4" w:space="0" w:color="auto"/>
            </w:tcBorders>
            <w:shd w:val="clear" w:color="auto" w:fill="auto"/>
            <w:vAlign w:val="bottom"/>
            <w:hideMark/>
          </w:tcPr>
          <w:p w14:paraId="13FE05C3" w14:textId="77777777" w:rsidR="00C27261" w:rsidRPr="00650D66" w:rsidRDefault="00C27261" w:rsidP="00E508D2">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provizioane pentru litigii</w:t>
            </w:r>
          </w:p>
        </w:tc>
        <w:tc>
          <w:tcPr>
            <w:tcW w:w="1159" w:type="dxa"/>
            <w:tcBorders>
              <w:top w:val="nil"/>
              <w:left w:val="nil"/>
              <w:bottom w:val="single" w:sz="4" w:space="0" w:color="auto"/>
              <w:right w:val="single" w:sz="4" w:space="0" w:color="auto"/>
            </w:tcBorders>
            <w:shd w:val="clear" w:color="auto" w:fill="auto"/>
            <w:noWrap/>
            <w:vAlign w:val="bottom"/>
            <w:hideMark/>
          </w:tcPr>
          <w:p w14:paraId="132FB81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80,00</w:t>
            </w:r>
          </w:p>
        </w:tc>
        <w:tc>
          <w:tcPr>
            <w:tcW w:w="913" w:type="dxa"/>
            <w:tcBorders>
              <w:top w:val="nil"/>
              <w:left w:val="nil"/>
              <w:bottom w:val="single" w:sz="4" w:space="0" w:color="auto"/>
              <w:right w:val="single" w:sz="4" w:space="0" w:color="auto"/>
            </w:tcBorders>
            <w:shd w:val="clear" w:color="auto" w:fill="auto"/>
            <w:noWrap/>
            <w:vAlign w:val="bottom"/>
            <w:hideMark/>
          </w:tcPr>
          <w:p w14:paraId="28B5672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99%</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2430A2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70E847F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p>
        </w:tc>
        <w:tc>
          <w:tcPr>
            <w:tcW w:w="914" w:type="dxa"/>
            <w:tcBorders>
              <w:top w:val="nil"/>
              <w:left w:val="nil"/>
              <w:bottom w:val="single" w:sz="4" w:space="0" w:color="auto"/>
              <w:right w:val="single" w:sz="4" w:space="0" w:color="auto"/>
            </w:tcBorders>
            <w:shd w:val="clear" w:color="auto" w:fill="auto"/>
            <w:noWrap/>
            <w:vAlign w:val="bottom"/>
            <w:hideMark/>
          </w:tcPr>
          <w:p w14:paraId="1A1E910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AD699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14B9AA3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p>
        </w:tc>
        <w:tc>
          <w:tcPr>
            <w:tcW w:w="914" w:type="dxa"/>
            <w:tcBorders>
              <w:top w:val="nil"/>
              <w:left w:val="nil"/>
              <w:bottom w:val="single" w:sz="4" w:space="0" w:color="auto"/>
              <w:right w:val="single" w:sz="4" w:space="0" w:color="auto"/>
            </w:tcBorders>
            <w:shd w:val="clear" w:color="auto" w:fill="auto"/>
            <w:noWrap/>
            <w:vAlign w:val="bottom"/>
            <w:hideMark/>
          </w:tcPr>
          <w:p w14:paraId="31C3D55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40DBA6B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4597CB5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p>
        </w:tc>
        <w:tc>
          <w:tcPr>
            <w:tcW w:w="983" w:type="dxa"/>
            <w:tcBorders>
              <w:top w:val="nil"/>
              <w:left w:val="nil"/>
              <w:bottom w:val="single" w:sz="4" w:space="0" w:color="auto"/>
              <w:right w:val="single" w:sz="4" w:space="0" w:color="auto"/>
            </w:tcBorders>
            <w:shd w:val="clear" w:color="auto" w:fill="auto"/>
            <w:noWrap/>
            <w:vAlign w:val="bottom"/>
            <w:hideMark/>
          </w:tcPr>
          <w:p w14:paraId="6B5FC08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536A2701"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2A67261C"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336A8FC8" w14:textId="77777777" w:rsidTr="00C64CB6">
        <w:trPr>
          <w:trHeight w:val="399"/>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40D2BC23"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9320</w:t>
            </w:r>
          </w:p>
        </w:tc>
        <w:tc>
          <w:tcPr>
            <w:tcW w:w="1984" w:type="dxa"/>
            <w:tcBorders>
              <w:top w:val="nil"/>
              <w:left w:val="nil"/>
              <w:bottom w:val="single" w:sz="4" w:space="0" w:color="auto"/>
              <w:right w:val="single" w:sz="4" w:space="0" w:color="auto"/>
            </w:tcBorders>
            <w:shd w:val="clear" w:color="000000" w:fill="F2F2F2"/>
            <w:vAlign w:val="bottom"/>
            <w:hideMark/>
          </w:tcPr>
          <w:p w14:paraId="6F8865D3"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privind amortizarea</w:t>
            </w:r>
          </w:p>
        </w:tc>
        <w:tc>
          <w:tcPr>
            <w:tcW w:w="1159" w:type="dxa"/>
            <w:tcBorders>
              <w:top w:val="nil"/>
              <w:left w:val="nil"/>
              <w:bottom w:val="single" w:sz="4" w:space="0" w:color="auto"/>
              <w:right w:val="single" w:sz="4" w:space="0" w:color="auto"/>
            </w:tcBorders>
            <w:shd w:val="clear" w:color="000000" w:fill="F2F2F2"/>
            <w:noWrap/>
            <w:vAlign w:val="center"/>
            <w:hideMark/>
          </w:tcPr>
          <w:p w14:paraId="5EB74B0F"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30.078,35</w:t>
            </w:r>
          </w:p>
        </w:tc>
        <w:tc>
          <w:tcPr>
            <w:tcW w:w="913" w:type="dxa"/>
            <w:tcBorders>
              <w:top w:val="nil"/>
              <w:left w:val="nil"/>
              <w:bottom w:val="single" w:sz="4" w:space="0" w:color="auto"/>
              <w:right w:val="single" w:sz="4" w:space="0" w:color="auto"/>
            </w:tcBorders>
            <w:shd w:val="clear" w:color="000000" w:fill="F2F2F2"/>
            <w:noWrap/>
            <w:vAlign w:val="center"/>
            <w:hideMark/>
          </w:tcPr>
          <w:p w14:paraId="38C75E95"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538455B1"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981" w:type="dxa"/>
            <w:tcBorders>
              <w:top w:val="nil"/>
              <w:left w:val="nil"/>
              <w:bottom w:val="single" w:sz="4" w:space="0" w:color="auto"/>
              <w:right w:val="single" w:sz="4" w:space="0" w:color="auto"/>
            </w:tcBorders>
            <w:shd w:val="clear" w:color="000000" w:fill="F2F2F2"/>
            <w:noWrap/>
            <w:vAlign w:val="center"/>
            <w:hideMark/>
          </w:tcPr>
          <w:p w14:paraId="16D83FCB"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29.560,28</w:t>
            </w:r>
          </w:p>
        </w:tc>
        <w:tc>
          <w:tcPr>
            <w:tcW w:w="914" w:type="dxa"/>
            <w:tcBorders>
              <w:top w:val="nil"/>
              <w:left w:val="nil"/>
              <w:bottom w:val="single" w:sz="4" w:space="0" w:color="auto"/>
              <w:right w:val="single" w:sz="4" w:space="0" w:color="auto"/>
            </w:tcBorders>
            <w:shd w:val="clear" w:color="000000" w:fill="F2F2F2"/>
            <w:noWrap/>
            <w:vAlign w:val="center"/>
            <w:hideMark/>
          </w:tcPr>
          <w:p w14:paraId="01141615"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7A9FD41B"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99%</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6098FDA7"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26.496,19</w:t>
            </w:r>
          </w:p>
        </w:tc>
        <w:tc>
          <w:tcPr>
            <w:tcW w:w="914" w:type="dxa"/>
            <w:tcBorders>
              <w:top w:val="nil"/>
              <w:left w:val="nil"/>
              <w:bottom w:val="single" w:sz="4" w:space="0" w:color="auto"/>
              <w:right w:val="single" w:sz="4" w:space="0" w:color="auto"/>
            </w:tcBorders>
            <w:shd w:val="clear" w:color="000000" w:fill="F2F2F2"/>
            <w:noWrap/>
            <w:vAlign w:val="center"/>
            <w:hideMark/>
          </w:tcPr>
          <w:p w14:paraId="6847DFFC"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2868AB1A"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1025" w:type="dxa"/>
            <w:tcBorders>
              <w:top w:val="nil"/>
              <w:left w:val="nil"/>
              <w:bottom w:val="single" w:sz="4" w:space="0" w:color="auto"/>
              <w:right w:val="single" w:sz="4" w:space="0" w:color="auto"/>
            </w:tcBorders>
            <w:shd w:val="clear" w:color="000000" w:fill="F2F2F2"/>
            <w:noWrap/>
            <w:vAlign w:val="center"/>
            <w:hideMark/>
          </w:tcPr>
          <w:p w14:paraId="5278D524"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27.991,16</w:t>
            </w:r>
          </w:p>
        </w:tc>
        <w:tc>
          <w:tcPr>
            <w:tcW w:w="983" w:type="dxa"/>
            <w:tcBorders>
              <w:top w:val="nil"/>
              <w:left w:val="nil"/>
              <w:bottom w:val="single" w:sz="4" w:space="0" w:color="auto"/>
              <w:right w:val="single" w:sz="4" w:space="0" w:color="auto"/>
            </w:tcBorders>
            <w:shd w:val="clear" w:color="000000" w:fill="F2F2F2"/>
            <w:noWrap/>
            <w:vAlign w:val="center"/>
            <w:hideMark/>
          </w:tcPr>
          <w:p w14:paraId="0095B7F9"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0ABF8288" w14:textId="77777777" w:rsidR="00C27261" w:rsidRPr="00650D66" w:rsidRDefault="00C27261" w:rsidP="00C64CB6">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3" w:type="dxa"/>
            <w:tcBorders>
              <w:top w:val="nil"/>
              <w:left w:val="nil"/>
              <w:bottom w:val="single" w:sz="4" w:space="0" w:color="auto"/>
              <w:right w:val="single" w:sz="4" w:space="0" w:color="auto"/>
            </w:tcBorders>
            <w:shd w:val="clear" w:color="000000" w:fill="F2F2F2"/>
            <w:noWrap/>
            <w:vAlign w:val="center"/>
            <w:hideMark/>
          </w:tcPr>
          <w:p w14:paraId="6FFF6249" w14:textId="77777777" w:rsidR="00C27261" w:rsidRPr="00650D66" w:rsidRDefault="00C27261" w:rsidP="00C64CB6">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&gt;4%</w:t>
            </w:r>
          </w:p>
        </w:tc>
      </w:tr>
      <w:tr w:rsidR="00B95F09" w:rsidRPr="00650D66" w14:paraId="367276DF"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A1AB444"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9321</w:t>
            </w:r>
          </w:p>
        </w:tc>
        <w:tc>
          <w:tcPr>
            <w:tcW w:w="1984" w:type="dxa"/>
            <w:tcBorders>
              <w:top w:val="nil"/>
              <w:left w:val="nil"/>
              <w:bottom w:val="single" w:sz="4" w:space="0" w:color="auto"/>
              <w:right w:val="single" w:sz="4" w:space="0" w:color="auto"/>
            </w:tcBorders>
            <w:shd w:val="clear" w:color="auto" w:fill="auto"/>
            <w:vAlign w:val="bottom"/>
            <w:hideMark/>
          </w:tcPr>
          <w:p w14:paraId="0D82488F" w14:textId="77777777" w:rsidR="00C27261" w:rsidRPr="00650D66" w:rsidRDefault="00C27261" w:rsidP="00CA63C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clădirilor</w:t>
            </w:r>
          </w:p>
        </w:tc>
        <w:tc>
          <w:tcPr>
            <w:tcW w:w="1159" w:type="dxa"/>
            <w:tcBorders>
              <w:top w:val="nil"/>
              <w:left w:val="nil"/>
              <w:bottom w:val="single" w:sz="4" w:space="0" w:color="auto"/>
              <w:right w:val="single" w:sz="4" w:space="0" w:color="auto"/>
            </w:tcBorders>
            <w:shd w:val="clear" w:color="auto" w:fill="auto"/>
            <w:noWrap/>
            <w:vAlign w:val="bottom"/>
            <w:hideMark/>
          </w:tcPr>
          <w:p w14:paraId="5A263DB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3.160,56</w:t>
            </w:r>
          </w:p>
        </w:tc>
        <w:tc>
          <w:tcPr>
            <w:tcW w:w="913" w:type="dxa"/>
            <w:tcBorders>
              <w:top w:val="nil"/>
              <w:left w:val="nil"/>
              <w:bottom w:val="single" w:sz="4" w:space="0" w:color="auto"/>
              <w:right w:val="single" w:sz="4" w:space="0" w:color="auto"/>
            </w:tcBorders>
            <w:shd w:val="clear" w:color="auto" w:fill="auto"/>
            <w:noWrap/>
            <w:vAlign w:val="bottom"/>
            <w:hideMark/>
          </w:tcPr>
          <w:p w14:paraId="081B407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18842584"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209FF31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3.144,74</w:t>
            </w:r>
          </w:p>
        </w:tc>
        <w:tc>
          <w:tcPr>
            <w:tcW w:w="914" w:type="dxa"/>
            <w:tcBorders>
              <w:top w:val="nil"/>
              <w:left w:val="nil"/>
              <w:bottom w:val="single" w:sz="4" w:space="0" w:color="auto"/>
              <w:right w:val="single" w:sz="4" w:space="0" w:color="auto"/>
            </w:tcBorders>
            <w:shd w:val="clear" w:color="auto" w:fill="auto"/>
            <w:noWrap/>
            <w:vAlign w:val="bottom"/>
            <w:hideMark/>
          </w:tcPr>
          <w:p w14:paraId="333DDE2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77F3582"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1634ABC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3.095,41</w:t>
            </w:r>
          </w:p>
        </w:tc>
        <w:tc>
          <w:tcPr>
            <w:tcW w:w="914" w:type="dxa"/>
            <w:tcBorders>
              <w:top w:val="nil"/>
              <w:left w:val="nil"/>
              <w:bottom w:val="single" w:sz="4" w:space="0" w:color="auto"/>
              <w:right w:val="single" w:sz="4" w:space="0" w:color="auto"/>
            </w:tcBorders>
            <w:shd w:val="clear" w:color="auto" w:fill="auto"/>
            <w:noWrap/>
            <w:vAlign w:val="bottom"/>
            <w:hideMark/>
          </w:tcPr>
          <w:p w14:paraId="7DAF765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4F5BE18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12E74CD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3.116,38</w:t>
            </w:r>
          </w:p>
        </w:tc>
        <w:tc>
          <w:tcPr>
            <w:tcW w:w="983" w:type="dxa"/>
            <w:tcBorders>
              <w:top w:val="nil"/>
              <w:left w:val="nil"/>
              <w:bottom w:val="single" w:sz="4" w:space="0" w:color="auto"/>
              <w:right w:val="single" w:sz="4" w:space="0" w:color="auto"/>
            </w:tcBorders>
            <w:shd w:val="clear" w:color="auto" w:fill="auto"/>
            <w:noWrap/>
            <w:vAlign w:val="bottom"/>
            <w:hideMark/>
          </w:tcPr>
          <w:p w14:paraId="4E7A827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w:t>
            </w:r>
          </w:p>
        </w:tc>
        <w:tc>
          <w:tcPr>
            <w:tcW w:w="855" w:type="dxa"/>
            <w:tcBorders>
              <w:top w:val="nil"/>
              <w:left w:val="nil"/>
              <w:bottom w:val="single" w:sz="4" w:space="0" w:color="auto"/>
              <w:right w:val="single" w:sz="4" w:space="0" w:color="auto"/>
            </w:tcBorders>
            <w:shd w:val="clear" w:color="auto" w:fill="auto"/>
            <w:noWrap/>
            <w:vAlign w:val="center"/>
            <w:hideMark/>
          </w:tcPr>
          <w:p w14:paraId="4CEB938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04867CE8"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50B64C37" w14:textId="77777777" w:rsidTr="004B49C8">
        <w:trPr>
          <w:trHeight w:val="8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0471164"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9322</w:t>
            </w:r>
          </w:p>
        </w:tc>
        <w:tc>
          <w:tcPr>
            <w:tcW w:w="1984" w:type="dxa"/>
            <w:tcBorders>
              <w:top w:val="nil"/>
              <w:left w:val="nil"/>
              <w:bottom w:val="single" w:sz="4" w:space="0" w:color="auto"/>
              <w:right w:val="single" w:sz="4" w:space="0" w:color="auto"/>
            </w:tcBorders>
            <w:shd w:val="clear" w:color="auto" w:fill="auto"/>
            <w:vAlign w:val="bottom"/>
            <w:hideMark/>
          </w:tcPr>
          <w:p w14:paraId="21731501" w14:textId="77777777" w:rsidR="00C27261" w:rsidRPr="00650D66" w:rsidRDefault="00C27261" w:rsidP="00CA63C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uzura aparatelor si dispozitivelor de </w:t>
            </w:r>
            <w:r w:rsidR="004718FC" w:rsidRPr="00650D66">
              <w:rPr>
                <w:rFonts w:ascii="Times New Roman" w:eastAsia="Times New Roman" w:hAnsi="Times New Roman" w:cs="Times New Roman"/>
                <w:color w:val="000000"/>
                <w:sz w:val="18"/>
                <w:szCs w:val="18"/>
                <w:lang w:val="ro-RO"/>
              </w:rPr>
              <w:t>măsurare</w:t>
            </w:r>
            <w:r w:rsidRPr="00650D66">
              <w:rPr>
                <w:rFonts w:ascii="Times New Roman" w:eastAsia="Times New Roman" w:hAnsi="Times New Roman" w:cs="Times New Roman"/>
                <w:color w:val="000000"/>
                <w:sz w:val="18"/>
                <w:szCs w:val="18"/>
                <w:lang w:val="ro-RO"/>
              </w:rPr>
              <w:t xml:space="preserve"> si reglare</w:t>
            </w:r>
          </w:p>
        </w:tc>
        <w:tc>
          <w:tcPr>
            <w:tcW w:w="1159" w:type="dxa"/>
            <w:tcBorders>
              <w:top w:val="nil"/>
              <w:left w:val="nil"/>
              <w:bottom w:val="single" w:sz="4" w:space="0" w:color="auto"/>
              <w:right w:val="single" w:sz="4" w:space="0" w:color="auto"/>
            </w:tcBorders>
            <w:shd w:val="clear" w:color="auto" w:fill="auto"/>
            <w:noWrap/>
            <w:vAlign w:val="bottom"/>
            <w:hideMark/>
          </w:tcPr>
          <w:p w14:paraId="56F97B8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16,60</w:t>
            </w:r>
          </w:p>
        </w:tc>
        <w:tc>
          <w:tcPr>
            <w:tcW w:w="913" w:type="dxa"/>
            <w:tcBorders>
              <w:top w:val="nil"/>
              <w:left w:val="nil"/>
              <w:bottom w:val="single" w:sz="4" w:space="0" w:color="auto"/>
              <w:right w:val="single" w:sz="4" w:space="0" w:color="auto"/>
            </w:tcBorders>
            <w:shd w:val="clear" w:color="auto" w:fill="auto"/>
            <w:noWrap/>
            <w:vAlign w:val="bottom"/>
            <w:hideMark/>
          </w:tcPr>
          <w:p w14:paraId="3C043A9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094973B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61E86B9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1,13</w:t>
            </w:r>
          </w:p>
        </w:tc>
        <w:tc>
          <w:tcPr>
            <w:tcW w:w="914" w:type="dxa"/>
            <w:tcBorders>
              <w:top w:val="nil"/>
              <w:left w:val="nil"/>
              <w:bottom w:val="single" w:sz="4" w:space="0" w:color="auto"/>
              <w:right w:val="single" w:sz="4" w:space="0" w:color="auto"/>
            </w:tcBorders>
            <w:shd w:val="clear" w:color="auto" w:fill="auto"/>
            <w:noWrap/>
            <w:vAlign w:val="bottom"/>
            <w:hideMark/>
          </w:tcPr>
          <w:p w14:paraId="2C75AB8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42EC3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576C78A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0,85</w:t>
            </w:r>
          </w:p>
        </w:tc>
        <w:tc>
          <w:tcPr>
            <w:tcW w:w="914" w:type="dxa"/>
            <w:tcBorders>
              <w:top w:val="nil"/>
              <w:left w:val="nil"/>
              <w:bottom w:val="single" w:sz="4" w:space="0" w:color="auto"/>
              <w:right w:val="single" w:sz="4" w:space="0" w:color="auto"/>
            </w:tcBorders>
            <w:shd w:val="clear" w:color="auto" w:fill="auto"/>
            <w:noWrap/>
            <w:vAlign w:val="bottom"/>
            <w:hideMark/>
          </w:tcPr>
          <w:p w14:paraId="775CAE5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399981D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511627E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1,20</w:t>
            </w:r>
          </w:p>
        </w:tc>
        <w:tc>
          <w:tcPr>
            <w:tcW w:w="983" w:type="dxa"/>
            <w:tcBorders>
              <w:top w:val="nil"/>
              <w:left w:val="nil"/>
              <w:bottom w:val="single" w:sz="4" w:space="0" w:color="auto"/>
              <w:right w:val="single" w:sz="4" w:space="0" w:color="auto"/>
            </w:tcBorders>
            <w:shd w:val="clear" w:color="auto" w:fill="auto"/>
            <w:noWrap/>
            <w:vAlign w:val="bottom"/>
            <w:hideMark/>
          </w:tcPr>
          <w:p w14:paraId="5A06E31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5542354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6802DBC7"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234D2E62"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96BB89"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9323</w:t>
            </w:r>
          </w:p>
        </w:tc>
        <w:tc>
          <w:tcPr>
            <w:tcW w:w="1984" w:type="dxa"/>
            <w:tcBorders>
              <w:top w:val="nil"/>
              <w:left w:val="nil"/>
              <w:bottom w:val="single" w:sz="4" w:space="0" w:color="auto"/>
              <w:right w:val="single" w:sz="4" w:space="0" w:color="auto"/>
            </w:tcBorders>
            <w:shd w:val="clear" w:color="auto" w:fill="auto"/>
            <w:vAlign w:val="bottom"/>
            <w:hideMark/>
          </w:tcPr>
          <w:p w14:paraId="3DA563A4" w14:textId="77777777" w:rsidR="00C27261" w:rsidRPr="00650D66" w:rsidRDefault="00C27261" w:rsidP="00CA63C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tehnicii de calcul</w:t>
            </w:r>
          </w:p>
        </w:tc>
        <w:tc>
          <w:tcPr>
            <w:tcW w:w="1159" w:type="dxa"/>
            <w:tcBorders>
              <w:top w:val="nil"/>
              <w:left w:val="nil"/>
              <w:bottom w:val="single" w:sz="4" w:space="0" w:color="auto"/>
              <w:right w:val="single" w:sz="4" w:space="0" w:color="auto"/>
            </w:tcBorders>
            <w:shd w:val="clear" w:color="auto" w:fill="auto"/>
            <w:noWrap/>
            <w:vAlign w:val="bottom"/>
            <w:hideMark/>
          </w:tcPr>
          <w:p w14:paraId="0CEC619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6.422,12</w:t>
            </w:r>
          </w:p>
        </w:tc>
        <w:tc>
          <w:tcPr>
            <w:tcW w:w="913" w:type="dxa"/>
            <w:tcBorders>
              <w:top w:val="nil"/>
              <w:left w:val="nil"/>
              <w:bottom w:val="single" w:sz="4" w:space="0" w:color="auto"/>
              <w:right w:val="single" w:sz="4" w:space="0" w:color="auto"/>
            </w:tcBorders>
            <w:shd w:val="clear" w:color="auto" w:fill="auto"/>
            <w:noWrap/>
            <w:vAlign w:val="bottom"/>
            <w:hideMark/>
          </w:tcPr>
          <w:p w14:paraId="6367F37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25F3AC0B"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101BE1F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6.541,00</w:t>
            </w:r>
          </w:p>
        </w:tc>
        <w:tc>
          <w:tcPr>
            <w:tcW w:w="914" w:type="dxa"/>
            <w:tcBorders>
              <w:top w:val="nil"/>
              <w:left w:val="nil"/>
              <w:bottom w:val="single" w:sz="4" w:space="0" w:color="auto"/>
              <w:right w:val="single" w:sz="4" w:space="0" w:color="auto"/>
            </w:tcBorders>
            <w:shd w:val="clear" w:color="auto" w:fill="auto"/>
            <w:noWrap/>
            <w:vAlign w:val="bottom"/>
            <w:hideMark/>
          </w:tcPr>
          <w:p w14:paraId="18B95F0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7F919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2B0240D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4.075,93</w:t>
            </w:r>
          </w:p>
        </w:tc>
        <w:tc>
          <w:tcPr>
            <w:tcW w:w="914" w:type="dxa"/>
            <w:tcBorders>
              <w:top w:val="nil"/>
              <w:left w:val="nil"/>
              <w:bottom w:val="single" w:sz="4" w:space="0" w:color="auto"/>
              <w:right w:val="single" w:sz="4" w:space="0" w:color="auto"/>
            </w:tcBorders>
            <w:shd w:val="clear" w:color="auto" w:fill="auto"/>
            <w:noWrap/>
            <w:vAlign w:val="bottom"/>
            <w:hideMark/>
          </w:tcPr>
          <w:p w14:paraId="107DC41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43D91766"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7A638AD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4.927,60</w:t>
            </w:r>
          </w:p>
        </w:tc>
        <w:tc>
          <w:tcPr>
            <w:tcW w:w="983" w:type="dxa"/>
            <w:tcBorders>
              <w:top w:val="nil"/>
              <w:left w:val="nil"/>
              <w:bottom w:val="single" w:sz="4" w:space="0" w:color="auto"/>
              <w:right w:val="single" w:sz="4" w:space="0" w:color="auto"/>
            </w:tcBorders>
            <w:shd w:val="clear" w:color="auto" w:fill="auto"/>
            <w:noWrap/>
            <w:vAlign w:val="bottom"/>
            <w:hideMark/>
          </w:tcPr>
          <w:p w14:paraId="57D2D57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w:t>
            </w:r>
          </w:p>
        </w:tc>
        <w:tc>
          <w:tcPr>
            <w:tcW w:w="855" w:type="dxa"/>
            <w:tcBorders>
              <w:top w:val="nil"/>
              <w:left w:val="nil"/>
              <w:bottom w:val="single" w:sz="4" w:space="0" w:color="auto"/>
              <w:right w:val="single" w:sz="4" w:space="0" w:color="auto"/>
            </w:tcBorders>
            <w:shd w:val="clear" w:color="auto" w:fill="auto"/>
            <w:noWrap/>
            <w:vAlign w:val="center"/>
            <w:hideMark/>
          </w:tcPr>
          <w:p w14:paraId="4E5505D5"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2ECDAC06"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544DB36F" w14:textId="77777777" w:rsidTr="004B49C8">
        <w:trPr>
          <w:trHeight w:val="8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2F93506"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9324</w:t>
            </w:r>
          </w:p>
        </w:tc>
        <w:tc>
          <w:tcPr>
            <w:tcW w:w="1984" w:type="dxa"/>
            <w:tcBorders>
              <w:top w:val="nil"/>
              <w:left w:val="nil"/>
              <w:bottom w:val="single" w:sz="4" w:space="0" w:color="auto"/>
              <w:right w:val="single" w:sz="4" w:space="0" w:color="auto"/>
            </w:tcBorders>
            <w:shd w:val="clear" w:color="auto" w:fill="auto"/>
            <w:vAlign w:val="bottom"/>
            <w:hideMark/>
          </w:tcPr>
          <w:p w14:paraId="0D7415B4" w14:textId="77777777" w:rsidR="00C27261" w:rsidRPr="00650D66" w:rsidRDefault="00C27261" w:rsidP="00CA63C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altor imobilizări corporale, mașini și utilaje</w:t>
            </w:r>
          </w:p>
        </w:tc>
        <w:tc>
          <w:tcPr>
            <w:tcW w:w="1159" w:type="dxa"/>
            <w:tcBorders>
              <w:top w:val="nil"/>
              <w:left w:val="nil"/>
              <w:bottom w:val="single" w:sz="4" w:space="0" w:color="auto"/>
              <w:right w:val="single" w:sz="4" w:space="0" w:color="auto"/>
            </w:tcBorders>
            <w:shd w:val="clear" w:color="auto" w:fill="auto"/>
            <w:noWrap/>
            <w:vAlign w:val="bottom"/>
            <w:hideMark/>
          </w:tcPr>
          <w:p w14:paraId="39714AC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6.320,00</w:t>
            </w:r>
          </w:p>
        </w:tc>
        <w:tc>
          <w:tcPr>
            <w:tcW w:w="913" w:type="dxa"/>
            <w:tcBorders>
              <w:top w:val="nil"/>
              <w:left w:val="nil"/>
              <w:bottom w:val="single" w:sz="4" w:space="0" w:color="auto"/>
              <w:right w:val="single" w:sz="4" w:space="0" w:color="auto"/>
            </w:tcBorders>
            <w:shd w:val="clear" w:color="auto" w:fill="auto"/>
            <w:noWrap/>
            <w:vAlign w:val="bottom"/>
            <w:hideMark/>
          </w:tcPr>
          <w:p w14:paraId="4A4F349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BA2A0A9"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08FA58A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5.724,89</w:t>
            </w:r>
          </w:p>
        </w:tc>
        <w:tc>
          <w:tcPr>
            <w:tcW w:w="914" w:type="dxa"/>
            <w:tcBorders>
              <w:top w:val="nil"/>
              <w:left w:val="nil"/>
              <w:bottom w:val="single" w:sz="4" w:space="0" w:color="auto"/>
              <w:right w:val="single" w:sz="4" w:space="0" w:color="auto"/>
            </w:tcBorders>
            <w:shd w:val="clear" w:color="auto" w:fill="auto"/>
            <w:noWrap/>
            <w:vAlign w:val="bottom"/>
            <w:hideMark/>
          </w:tcPr>
          <w:p w14:paraId="0726B4D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F35C5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7D2B3C9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5.210,66</w:t>
            </w:r>
          </w:p>
        </w:tc>
        <w:tc>
          <w:tcPr>
            <w:tcW w:w="914" w:type="dxa"/>
            <w:tcBorders>
              <w:top w:val="nil"/>
              <w:left w:val="nil"/>
              <w:bottom w:val="single" w:sz="4" w:space="0" w:color="auto"/>
              <w:right w:val="single" w:sz="4" w:space="0" w:color="auto"/>
            </w:tcBorders>
            <w:shd w:val="clear" w:color="auto" w:fill="auto"/>
            <w:noWrap/>
            <w:vAlign w:val="bottom"/>
            <w:hideMark/>
          </w:tcPr>
          <w:p w14:paraId="7EC060C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354D3F68"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6F864A8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5.249,70</w:t>
            </w:r>
          </w:p>
        </w:tc>
        <w:tc>
          <w:tcPr>
            <w:tcW w:w="983" w:type="dxa"/>
            <w:tcBorders>
              <w:top w:val="nil"/>
              <w:left w:val="nil"/>
              <w:bottom w:val="single" w:sz="4" w:space="0" w:color="auto"/>
              <w:right w:val="single" w:sz="4" w:space="0" w:color="auto"/>
            </w:tcBorders>
            <w:shd w:val="clear" w:color="auto" w:fill="auto"/>
            <w:noWrap/>
            <w:vAlign w:val="bottom"/>
            <w:hideMark/>
          </w:tcPr>
          <w:p w14:paraId="0DE5FD67"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w:t>
            </w:r>
          </w:p>
        </w:tc>
        <w:tc>
          <w:tcPr>
            <w:tcW w:w="855" w:type="dxa"/>
            <w:tcBorders>
              <w:top w:val="nil"/>
              <w:left w:val="nil"/>
              <w:bottom w:val="single" w:sz="4" w:space="0" w:color="auto"/>
              <w:right w:val="single" w:sz="4" w:space="0" w:color="auto"/>
            </w:tcBorders>
            <w:shd w:val="clear" w:color="auto" w:fill="auto"/>
            <w:noWrap/>
            <w:vAlign w:val="center"/>
            <w:hideMark/>
          </w:tcPr>
          <w:p w14:paraId="4B3722AC"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1D39FA8D"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23302444"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E99CB7"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9325</w:t>
            </w:r>
          </w:p>
        </w:tc>
        <w:tc>
          <w:tcPr>
            <w:tcW w:w="1984" w:type="dxa"/>
            <w:tcBorders>
              <w:top w:val="nil"/>
              <w:left w:val="nil"/>
              <w:bottom w:val="single" w:sz="4" w:space="0" w:color="auto"/>
              <w:right w:val="single" w:sz="4" w:space="0" w:color="auto"/>
            </w:tcBorders>
            <w:shd w:val="clear" w:color="auto" w:fill="auto"/>
            <w:vAlign w:val="bottom"/>
            <w:hideMark/>
          </w:tcPr>
          <w:p w14:paraId="742DE7D4" w14:textId="77777777" w:rsidR="00C27261" w:rsidRPr="00650D66" w:rsidRDefault="00C27261" w:rsidP="00CA63C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altor mijloace de transport</w:t>
            </w:r>
          </w:p>
        </w:tc>
        <w:tc>
          <w:tcPr>
            <w:tcW w:w="1159" w:type="dxa"/>
            <w:tcBorders>
              <w:top w:val="nil"/>
              <w:left w:val="nil"/>
              <w:bottom w:val="single" w:sz="4" w:space="0" w:color="auto"/>
              <w:right w:val="single" w:sz="4" w:space="0" w:color="auto"/>
            </w:tcBorders>
            <w:shd w:val="clear" w:color="auto" w:fill="auto"/>
            <w:noWrap/>
            <w:vAlign w:val="bottom"/>
            <w:hideMark/>
          </w:tcPr>
          <w:p w14:paraId="2023979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330,19</w:t>
            </w:r>
          </w:p>
        </w:tc>
        <w:tc>
          <w:tcPr>
            <w:tcW w:w="913" w:type="dxa"/>
            <w:tcBorders>
              <w:top w:val="nil"/>
              <w:left w:val="nil"/>
              <w:bottom w:val="single" w:sz="4" w:space="0" w:color="auto"/>
              <w:right w:val="single" w:sz="4" w:space="0" w:color="auto"/>
            </w:tcBorders>
            <w:shd w:val="clear" w:color="auto" w:fill="auto"/>
            <w:noWrap/>
            <w:vAlign w:val="bottom"/>
            <w:hideMark/>
          </w:tcPr>
          <w:p w14:paraId="107A70B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4442EA8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562D2DC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243,99</w:t>
            </w:r>
          </w:p>
        </w:tc>
        <w:tc>
          <w:tcPr>
            <w:tcW w:w="914" w:type="dxa"/>
            <w:tcBorders>
              <w:top w:val="nil"/>
              <w:left w:val="nil"/>
              <w:bottom w:val="single" w:sz="4" w:space="0" w:color="auto"/>
              <w:right w:val="single" w:sz="4" w:space="0" w:color="auto"/>
            </w:tcBorders>
            <w:shd w:val="clear" w:color="auto" w:fill="auto"/>
            <w:noWrap/>
            <w:vAlign w:val="bottom"/>
            <w:hideMark/>
          </w:tcPr>
          <w:p w14:paraId="1E418C6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B4EB5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5EB650B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11,29</w:t>
            </w:r>
          </w:p>
        </w:tc>
        <w:tc>
          <w:tcPr>
            <w:tcW w:w="914" w:type="dxa"/>
            <w:tcBorders>
              <w:top w:val="nil"/>
              <w:left w:val="nil"/>
              <w:bottom w:val="single" w:sz="4" w:space="0" w:color="auto"/>
              <w:right w:val="single" w:sz="4" w:space="0" w:color="auto"/>
            </w:tcBorders>
            <w:shd w:val="clear" w:color="auto" w:fill="auto"/>
            <w:noWrap/>
            <w:vAlign w:val="bottom"/>
            <w:hideMark/>
          </w:tcPr>
          <w:p w14:paraId="13432E9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135FDE0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5FD4A33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3" w:type="dxa"/>
            <w:tcBorders>
              <w:top w:val="nil"/>
              <w:left w:val="nil"/>
              <w:bottom w:val="single" w:sz="4" w:space="0" w:color="auto"/>
              <w:right w:val="single" w:sz="4" w:space="0" w:color="auto"/>
            </w:tcBorders>
            <w:shd w:val="clear" w:color="auto" w:fill="auto"/>
            <w:noWrap/>
            <w:vAlign w:val="bottom"/>
            <w:hideMark/>
          </w:tcPr>
          <w:p w14:paraId="7B85EFB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5C4AE413"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401C9295"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5139BA90" w14:textId="77777777" w:rsidTr="004B49C8">
        <w:trPr>
          <w:trHeight w:val="8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8EBF8C8"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9326</w:t>
            </w:r>
          </w:p>
        </w:tc>
        <w:tc>
          <w:tcPr>
            <w:tcW w:w="1984" w:type="dxa"/>
            <w:tcBorders>
              <w:top w:val="nil"/>
              <w:left w:val="nil"/>
              <w:bottom w:val="single" w:sz="4" w:space="0" w:color="auto"/>
              <w:right w:val="single" w:sz="4" w:space="0" w:color="auto"/>
            </w:tcBorders>
            <w:shd w:val="clear" w:color="auto" w:fill="auto"/>
            <w:vAlign w:val="bottom"/>
            <w:hideMark/>
          </w:tcPr>
          <w:p w14:paraId="5FB3CD59" w14:textId="77777777" w:rsidR="00C27261" w:rsidRPr="00650D66" w:rsidRDefault="00C27261" w:rsidP="00CA63C0">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amortizarea instrumentelor și inventarului de uz </w:t>
            </w:r>
            <w:r w:rsidR="00792703" w:rsidRPr="00650D66">
              <w:rPr>
                <w:rFonts w:ascii="Times New Roman" w:eastAsia="Times New Roman" w:hAnsi="Times New Roman" w:cs="Times New Roman"/>
                <w:color w:val="000000"/>
                <w:sz w:val="18"/>
                <w:szCs w:val="18"/>
                <w:lang w:val="ro-RO"/>
              </w:rPr>
              <w:t>gospodăresc</w:t>
            </w:r>
          </w:p>
        </w:tc>
        <w:tc>
          <w:tcPr>
            <w:tcW w:w="1159" w:type="dxa"/>
            <w:tcBorders>
              <w:top w:val="nil"/>
              <w:left w:val="nil"/>
              <w:bottom w:val="single" w:sz="4" w:space="0" w:color="auto"/>
              <w:right w:val="single" w:sz="4" w:space="0" w:color="auto"/>
            </w:tcBorders>
            <w:shd w:val="clear" w:color="auto" w:fill="auto"/>
            <w:noWrap/>
            <w:vAlign w:val="bottom"/>
            <w:hideMark/>
          </w:tcPr>
          <w:p w14:paraId="0FD9AE1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2.079,66</w:t>
            </w:r>
          </w:p>
        </w:tc>
        <w:tc>
          <w:tcPr>
            <w:tcW w:w="913" w:type="dxa"/>
            <w:tcBorders>
              <w:top w:val="nil"/>
              <w:left w:val="nil"/>
              <w:bottom w:val="single" w:sz="4" w:space="0" w:color="auto"/>
              <w:right w:val="single" w:sz="4" w:space="0" w:color="auto"/>
            </w:tcBorders>
            <w:shd w:val="clear" w:color="auto" w:fill="auto"/>
            <w:noWrap/>
            <w:vAlign w:val="bottom"/>
            <w:hideMark/>
          </w:tcPr>
          <w:p w14:paraId="2CF9861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7B9B2933"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0A8896D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1.976,50</w:t>
            </w:r>
          </w:p>
        </w:tc>
        <w:tc>
          <w:tcPr>
            <w:tcW w:w="914" w:type="dxa"/>
            <w:tcBorders>
              <w:top w:val="nil"/>
              <w:left w:val="nil"/>
              <w:bottom w:val="single" w:sz="4" w:space="0" w:color="auto"/>
              <w:right w:val="single" w:sz="4" w:space="0" w:color="auto"/>
            </w:tcBorders>
            <w:shd w:val="clear" w:color="auto" w:fill="auto"/>
            <w:noWrap/>
            <w:vAlign w:val="bottom"/>
            <w:hideMark/>
          </w:tcPr>
          <w:p w14:paraId="350FA62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64E24E"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1D4AAB8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1.712,36</w:t>
            </w:r>
          </w:p>
        </w:tc>
        <w:tc>
          <w:tcPr>
            <w:tcW w:w="914" w:type="dxa"/>
            <w:tcBorders>
              <w:top w:val="nil"/>
              <w:left w:val="nil"/>
              <w:bottom w:val="single" w:sz="4" w:space="0" w:color="auto"/>
              <w:right w:val="single" w:sz="4" w:space="0" w:color="auto"/>
            </w:tcBorders>
            <w:shd w:val="clear" w:color="auto" w:fill="auto"/>
            <w:noWrap/>
            <w:vAlign w:val="bottom"/>
            <w:hideMark/>
          </w:tcPr>
          <w:p w14:paraId="54A2D75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062C367F"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69334C59"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1.159,18</w:t>
            </w:r>
          </w:p>
        </w:tc>
        <w:tc>
          <w:tcPr>
            <w:tcW w:w="983" w:type="dxa"/>
            <w:tcBorders>
              <w:top w:val="nil"/>
              <w:left w:val="nil"/>
              <w:bottom w:val="single" w:sz="4" w:space="0" w:color="auto"/>
              <w:right w:val="single" w:sz="4" w:space="0" w:color="auto"/>
            </w:tcBorders>
            <w:shd w:val="clear" w:color="auto" w:fill="auto"/>
            <w:noWrap/>
            <w:vAlign w:val="bottom"/>
            <w:hideMark/>
          </w:tcPr>
          <w:p w14:paraId="7004E49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w:t>
            </w:r>
          </w:p>
        </w:tc>
        <w:tc>
          <w:tcPr>
            <w:tcW w:w="855" w:type="dxa"/>
            <w:tcBorders>
              <w:top w:val="nil"/>
              <w:left w:val="nil"/>
              <w:bottom w:val="single" w:sz="4" w:space="0" w:color="auto"/>
              <w:right w:val="single" w:sz="4" w:space="0" w:color="auto"/>
            </w:tcBorders>
            <w:shd w:val="clear" w:color="auto" w:fill="auto"/>
            <w:noWrap/>
            <w:vAlign w:val="center"/>
            <w:hideMark/>
          </w:tcPr>
          <w:p w14:paraId="06C29B8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72D42FC6"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202579C3" w14:textId="77777777" w:rsidTr="004B49C8">
        <w:trPr>
          <w:trHeight w:val="57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EB6F510"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9327</w:t>
            </w:r>
          </w:p>
        </w:tc>
        <w:tc>
          <w:tcPr>
            <w:tcW w:w="1984" w:type="dxa"/>
            <w:tcBorders>
              <w:top w:val="nil"/>
              <w:left w:val="nil"/>
              <w:bottom w:val="single" w:sz="4" w:space="0" w:color="auto"/>
              <w:right w:val="single" w:sz="4" w:space="0" w:color="auto"/>
            </w:tcBorders>
            <w:shd w:val="clear" w:color="auto" w:fill="auto"/>
            <w:vAlign w:val="bottom"/>
            <w:hideMark/>
          </w:tcPr>
          <w:p w14:paraId="3BE43CFB" w14:textId="77777777" w:rsidR="00C27261" w:rsidRPr="00650D66" w:rsidRDefault="00C27261" w:rsidP="00E14FAC">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privind amortizarea imobilizărilor necorporale</w:t>
            </w:r>
          </w:p>
        </w:tc>
        <w:tc>
          <w:tcPr>
            <w:tcW w:w="1159" w:type="dxa"/>
            <w:tcBorders>
              <w:top w:val="nil"/>
              <w:left w:val="nil"/>
              <w:bottom w:val="single" w:sz="4" w:space="0" w:color="auto"/>
              <w:right w:val="single" w:sz="4" w:space="0" w:color="auto"/>
            </w:tcBorders>
            <w:shd w:val="clear" w:color="auto" w:fill="auto"/>
            <w:noWrap/>
            <w:vAlign w:val="bottom"/>
            <w:hideMark/>
          </w:tcPr>
          <w:p w14:paraId="3E043EAD"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11.681,62</w:t>
            </w:r>
          </w:p>
        </w:tc>
        <w:tc>
          <w:tcPr>
            <w:tcW w:w="913" w:type="dxa"/>
            <w:tcBorders>
              <w:top w:val="nil"/>
              <w:left w:val="nil"/>
              <w:bottom w:val="single" w:sz="4" w:space="0" w:color="auto"/>
              <w:right w:val="single" w:sz="4" w:space="0" w:color="auto"/>
            </w:tcBorders>
            <w:shd w:val="clear" w:color="auto" w:fill="auto"/>
            <w:noWrap/>
            <w:vAlign w:val="bottom"/>
            <w:hideMark/>
          </w:tcPr>
          <w:p w14:paraId="43E5565A"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39%</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502E9CE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981" w:type="dxa"/>
            <w:tcBorders>
              <w:top w:val="nil"/>
              <w:left w:val="nil"/>
              <w:bottom w:val="single" w:sz="4" w:space="0" w:color="auto"/>
              <w:right w:val="single" w:sz="4" w:space="0" w:color="auto"/>
            </w:tcBorders>
            <w:shd w:val="clear" w:color="auto" w:fill="auto"/>
            <w:noWrap/>
            <w:vAlign w:val="bottom"/>
            <w:hideMark/>
          </w:tcPr>
          <w:p w14:paraId="27470EF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11.856,12</w:t>
            </w:r>
          </w:p>
        </w:tc>
        <w:tc>
          <w:tcPr>
            <w:tcW w:w="914" w:type="dxa"/>
            <w:tcBorders>
              <w:top w:val="nil"/>
              <w:left w:val="nil"/>
              <w:bottom w:val="single" w:sz="4" w:space="0" w:color="auto"/>
              <w:right w:val="single" w:sz="4" w:space="0" w:color="auto"/>
            </w:tcBorders>
            <w:shd w:val="clear" w:color="auto" w:fill="auto"/>
            <w:noWrap/>
            <w:vAlign w:val="bottom"/>
            <w:hideMark/>
          </w:tcPr>
          <w:p w14:paraId="6C15A53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56F40F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681CEADF"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12.312,23</w:t>
            </w:r>
          </w:p>
        </w:tc>
        <w:tc>
          <w:tcPr>
            <w:tcW w:w="914" w:type="dxa"/>
            <w:tcBorders>
              <w:top w:val="nil"/>
              <w:left w:val="nil"/>
              <w:bottom w:val="single" w:sz="4" w:space="0" w:color="auto"/>
              <w:right w:val="single" w:sz="4" w:space="0" w:color="auto"/>
            </w:tcBorders>
            <w:shd w:val="clear" w:color="auto" w:fill="auto"/>
            <w:noWrap/>
            <w:vAlign w:val="bottom"/>
            <w:hideMark/>
          </w:tcPr>
          <w:p w14:paraId="386B595C"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094FEAED"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1025" w:type="dxa"/>
            <w:tcBorders>
              <w:top w:val="nil"/>
              <w:left w:val="nil"/>
              <w:bottom w:val="single" w:sz="4" w:space="0" w:color="auto"/>
              <w:right w:val="single" w:sz="4" w:space="0" w:color="auto"/>
            </w:tcBorders>
            <w:shd w:val="clear" w:color="auto" w:fill="auto"/>
            <w:noWrap/>
            <w:vAlign w:val="bottom"/>
            <w:hideMark/>
          </w:tcPr>
          <w:p w14:paraId="59F44B0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13.454,43</w:t>
            </w:r>
          </w:p>
        </w:tc>
        <w:tc>
          <w:tcPr>
            <w:tcW w:w="983" w:type="dxa"/>
            <w:tcBorders>
              <w:top w:val="nil"/>
              <w:left w:val="nil"/>
              <w:bottom w:val="single" w:sz="4" w:space="0" w:color="auto"/>
              <w:right w:val="single" w:sz="4" w:space="0" w:color="auto"/>
            </w:tcBorders>
            <w:shd w:val="clear" w:color="auto" w:fill="auto"/>
            <w:noWrap/>
            <w:vAlign w:val="bottom"/>
            <w:hideMark/>
          </w:tcPr>
          <w:p w14:paraId="0BEF4FF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w:t>
            </w:r>
          </w:p>
        </w:tc>
        <w:tc>
          <w:tcPr>
            <w:tcW w:w="855" w:type="dxa"/>
            <w:tcBorders>
              <w:top w:val="nil"/>
              <w:left w:val="nil"/>
              <w:bottom w:val="single" w:sz="4" w:space="0" w:color="auto"/>
              <w:right w:val="single" w:sz="4" w:space="0" w:color="auto"/>
            </w:tcBorders>
            <w:shd w:val="clear" w:color="auto" w:fill="auto"/>
            <w:noWrap/>
            <w:vAlign w:val="center"/>
            <w:hideMark/>
          </w:tcPr>
          <w:p w14:paraId="76DAA8D0" w14:textId="77777777" w:rsidR="00C27261" w:rsidRPr="00650D66" w:rsidRDefault="00C27261" w:rsidP="007A2BDC">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V</w:t>
            </w:r>
          </w:p>
        </w:tc>
        <w:tc>
          <w:tcPr>
            <w:tcW w:w="823" w:type="dxa"/>
            <w:tcBorders>
              <w:top w:val="nil"/>
              <w:left w:val="nil"/>
              <w:bottom w:val="single" w:sz="4" w:space="0" w:color="auto"/>
              <w:right w:val="single" w:sz="4" w:space="0" w:color="auto"/>
            </w:tcBorders>
            <w:shd w:val="clear" w:color="auto" w:fill="auto"/>
            <w:noWrap/>
            <w:vAlign w:val="bottom"/>
            <w:hideMark/>
          </w:tcPr>
          <w:p w14:paraId="3D8B32B7"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42233A7D" w14:textId="77777777" w:rsidTr="004B49C8">
        <w:trPr>
          <w:trHeight w:val="86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8BCFB2A"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lastRenderedPageBreak/>
              <w:t>9329</w:t>
            </w:r>
          </w:p>
        </w:tc>
        <w:tc>
          <w:tcPr>
            <w:tcW w:w="1984" w:type="dxa"/>
            <w:tcBorders>
              <w:top w:val="nil"/>
              <w:left w:val="nil"/>
              <w:bottom w:val="single" w:sz="4" w:space="0" w:color="auto"/>
              <w:right w:val="single" w:sz="4" w:space="0" w:color="auto"/>
            </w:tcBorders>
            <w:shd w:val="clear" w:color="auto" w:fill="auto"/>
            <w:vAlign w:val="bottom"/>
            <w:hideMark/>
          </w:tcPr>
          <w:p w14:paraId="64FC657A" w14:textId="77777777" w:rsidR="00C27261" w:rsidRPr="00650D66" w:rsidRDefault="00C27261" w:rsidP="00E14FAC">
            <w:pPr>
              <w:spacing w:after="0" w:line="240" w:lineRule="auto"/>
              <w:jc w:val="both"/>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Cheltuieli privind amortizarea anvelopelor și acumulatoarelor </w:t>
            </w:r>
          </w:p>
        </w:tc>
        <w:tc>
          <w:tcPr>
            <w:tcW w:w="1159" w:type="dxa"/>
            <w:tcBorders>
              <w:top w:val="nil"/>
              <w:left w:val="nil"/>
              <w:bottom w:val="single" w:sz="4" w:space="0" w:color="auto"/>
              <w:right w:val="single" w:sz="4" w:space="0" w:color="auto"/>
            </w:tcBorders>
            <w:shd w:val="clear" w:color="auto" w:fill="auto"/>
            <w:noWrap/>
            <w:vAlign w:val="bottom"/>
            <w:hideMark/>
          </w:tcPr>
          <w:p w14:paraId="41CDF6C0"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67,60</w:t>
            </w:r>
          </w:p>
        </w:tc>
        <w:tc>
          <w:tcPr>
            <w:tcW w:w="913" w:type="dxa"/>
            <w:tcBorders>
              <w:top w:val="nil"/>
              <w:left w:val="nil"/>
              <w:bottom w:val="single" w:sz="4" w:space="0" w:color="auto"/>
              <w:right w:val="single" w:sz="4" w:space="0" w:color="auto"/>
            </w:tcBorders>
            <w:shd w:val="clear" w:color="auto" w:fill="auto"/>
            <w:noWrap/>
            <w:vAlign w:val="bottom"/>
            <w:hideMark/>
          </w:tcPr>
          <w:p w14:paraId="15800024"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905" w:type="dxa"/>
            <w:gridSpan w:val="2"/>
            <w:tcBorders>
              <w:top w:val="nil"/>
              <w:left w:val="nil"/>
              <w:bottom w:val="single" w:sz="4" w:space="0" w:color="auto"/>
              <w:right w:val="single" w:sz="4" w:space="0" w:color="auto"/>
            </w:tcBorders>
            <w:shd w:val="clear" w:color="auto" w:fill="auto"/>
            <w:noWrap/>
            <w:vAlign w:val="center"/>
            <w:hideMark/>
          </w:tcPr>
          <w:p w14:paraId="6A92172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981" w:type="dxa"/>
            <w:tcBorders>
              <w:top w:val="nil"/>
              <w:left w:val="nil"/>
              <w:bottom w:val="single" w:sz="4" w:space="0" w:color="auto"/>
              <w:right w:val="single" w:sz="4" w:space="0" w:color="auto"/>
            </w:tcBorders>
            <w:shd w:val="clear" w:color="auto" w:fill="auto"/>
            <w:noWrap/>
            <w:vAlign w:val="bottom"/>
            <w:hideMark/>
          </w:tcPr>
          <w:p w14:paraId="018E33B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71,91</w:t>
            </w:r>
          </w:p>
        </w:tc>
        <w:tc>
          <w:tcPr>
            <w:tcW w:w="914" w:type="dxa"/>
            <w:tcBorders>
              <w:top w:val="nil"/>
              <w:left w:val="nil"/>
              <w:bottom w:val="single" w:sz="4" w:space="0" w:color="auto"/>
              <w:right w:val="single" w:sz="4" w:space="0" w:color="auto"/>
            </w:tcBorders>
            <w:shd w:val="clear" w:color="auto" w:fill="auto"/>
            <w:noWrap/>
            <w:vAlign w:val="bottom"/>
            <w:hideMark/>
          </w:tcPr>
          <w:p w14:paraId="4762CE71"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96B286"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144B8C1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77,46</w:t>
            </w:r>
          </w:p>
        </w:tc>
        <w:tc>
          <w:tcPr>
            <w:tcW w:w="914" w:type="dxa"/>
            <w:tcBorders>
              <w:top w:val="nil"/>
              <w:left w:val="nil"/>
              <w:bottom w:val="single" w:sz="4" w:space="0" w:color="auto"/>
              <w:right w:val="single" w:sz="4" w:space="0" w:color="auto"/>
            </w:tcBorders>
            <w:shd w:val="clear" w:color="auto" w:fill="auto"/>
            <w:noWrap/>
            <w:vAlign w:val="bottom"/>
            <w:hideMark/>
          </w:tcPr>
          <w:p w14:paraId="3149CD75"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4" w:type="dxa"/>
            <w:gridSpan w:val="2"/>
            <w:tcBorders>
              <w:top w:val="nil"/>
              <w:left w:val="nil"/>
              <w:bottom w:val="single" w:sz="4" w:space="0" w:color="auto"/>
              <w:right w:val="single" w:sz="4" w:space="0" w:color="auto"/>
            </w:tcBorders>
            <w:shd w:val="clear" w:color="auto" w:fill="auto"/>
            <w:noWrap/>
            <w:vAlign w:val="center"/>
            <w:hideMark/>
          </w:tcPr>
          <w:p w14:paraId="775BD472"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1025" w:type="dxa"/>
            <w:tcBorders>
              <w:top w:val="nil"/>
              <w:left w:val="nil"/>
              <w:bottom w:val="single" w:sz="4" w:space="0" w:color="auto"/>
              <w:right w:val="single" w:sz="4" w:space="0" w:color="auto"/>
            </w:tcBorders>
            <w:shd w:val="clear" w:color="auto" w:fill="auto"/>
            <w:noWrap/>
            <w:vAlign w:val="bottom"/>
            <w:hideMark/>
          </w:tcPr>
          <w:p w14:paraId="18F21C8B"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82,67</w:t>
            </w:r>
          </w:p>
        </w:tc>
        <w:tc>
          <w:tcPr>
            <w:tcW w:w="983" w:type="dxa"/>
            <w:tcBorders>
              <w:top w:val="nil"/>
              <w:left w:val="nil"/>
              <w:bottom w:val="single" w:sz="4" w:space="0" w:color="auto"/>
              <w:right w:val="single" w:sz="4" w:space="0" w:color="auto"/>
            </w:tcBorders>
            <w:shd w:val="clear" w:color="auto" w:fill="auto"/>
            <w:noWrap/>
            <w:vAlign w:val="bottom"/>
            <w:hideMark/>
          </w:tcPr>
          <w:p w14:paraId="1B3DAF2E"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5" w:type="dxa"/>
            <w:tcBorders>
              <w:top w:val="nil"/>
              <w:left w:val="nil"/>
              <w:bottom w:val="single" w:sz="4" w:space="0" w:color="auto"/>
              <w:right w:val="single" w:sz="4" w:space="0" w:color="auto"/>
            </w:tcBorders>
            <w:shd w:val="clear" w:color="auto" w:fill="auto"/>
            <w:noWrap/>
            <w:vAlign w:val="center"/>
            <w:hideMark/>
          </w:tcPr>
          <w:p w14:paraId="28763168" w14:textId="77777777" w:rsidR="00C27261" w:rsidRPr="00650D66" w:rsidRDefault="00C27261" w:rsidP="007A2BDC">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w:t>
            </w:r>
          </w:p>
        </w:tc>
        <w:tc>
          <w:tcPr>
            <w:tcW w:w="823" w:type="dxa"/>
            <w:tcBorders>
              <w:top w:val="nil"/>
              <w:left w:val="nil"/>
              <w:bottom w:val="single" w:sz="4" w:space="0" w:color="auto"/>
              <w:right w:val="single" w:sz="4" w:space="0" w:color="auto"/>
            </w:tcBorders>
            <w:shd w:val="clear" w:color="auto" w:fill="auto"/>
            <w:noWrap/>
            <w:vAlign w:val="bottom"/>
            <w:hideMark/>
          </w:tcPr>
          <w:p w14:paraId="59523760" w14:textId="77777777" w:rsidR="00C27261" w:rsidRPr="00650D66" w:rsidRDefault="00C27261" w:rsidP="007A2BDC">
            <w:pPr>
              <w:spacing w:after="0" w:line="240" w:lineRule="auto"/>
              <w:jc w:val="center"/>
              <w:rPr>
                <w:rFonts w:ascii="Times New Roman" w:eastAsia="Times New Roman" w:hAnsi="Times New Roman" w:cs="Times New Roman"/>
                <w:color w:val="FF0000"/>
                <w:sz w:val="18"/>
                <w:szCs w:val="18"/>
                <w:lang w:val="ro-RO"/>
              </w:rPr>
            </w:pPr>
          </w:p>
        </w:tc>
      </w:tr>
      <w:tr w:rsidR="00B95F09" w:rsidRPr="00650D66" w14:paraId="692356B9" w14:textId="77777777" w:rsidTr="004B49C8">
        <w:trPr>
          <w:trHeight w:val="463"/>
        </w:trPr>
        <w:tc>
          <w:tcPr>
            <w:tcW w:w="710" w:type="dxa"/>
            <w:tcBorders>
              <w:top w:val="nil"/>
              <w:left w:val="single" w:sz="4" w:space="0" w:color="auto"/>
              <w:bottom w:val="single" w:sz="4" w:space="0" w:color="auto"/>
              <w:right w:val="single" w:sz="4" w:space="0" w:color="auto"/>
            </w:tcBorders>
            <w:shd w:val="clear" w:color="000000" w:fill="F2F2F2"/>
            <w:noWrap/>
            <w:vAlign w:val="bottom"/>
            <w:hideMark/>
          </w:tcPr>
          <w:p w14:paraId="5C87945E" w14:textId="77777777" w:rsidR="00C27261" w:rsidRPr="00650D66" w:rsidRDefault="00C27261" w:rsidP="00B95F09">
            <w:pPr>
              <w:spacing w:after="0" w:line="240" w:lineRule="auto"/>
              <w:jc w:val="right"/>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9350</w:t>
            </w:r>
          </w:p>
        </w:tc>
        <w:tc>
          <w:tcPr>
            <w:tcW w:w="1984" w:type="dxa"/>
            <w:tcBorders>
              <w:top w:val="nil"/>
              <w:left w:val="nil"/>
              <w:bottom w:val="single" w:sz="4" w:space="0" w:color="auto"/>
              <w:right w:val="single" w:sz="4" w:space="0" w:color="auto"/>
            </w:tcBorders>
            <w:shd w:val="clear" w:color="000000" w:fill="F2F2F2"/>
            <w:vAlign w:val="bottom"/>
            <w:hideMark/>
          </w:tcPr>
          <w:p w14:paraId="5853B483"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Cheltuieli neaferente activității de exploatare</w:t>
            </w:r>
          </w:p>
        </w:tc>
        <w:tc>
          <w:tcPr>
            <w:tcW w:w="1159" w:type="dxa"/>
            <w:tcBorders>
              <w:top w:val="nil"/>
              <w:left w:val="nil"/>
              <w:bottom w:val="single" w:sz="4" w:space="0" w:color="auto"/>
              <w:right w:val="single" w:sz="4" w:space="0" w:color="auto"/>
            </w:tcBorders>
            <w:shd w:val="clear" w:color="000000" w:fill="F2F2F2"/>
            <w:noWrap/>
            <w:vAlign w:val="bottom"/>
            <w:hideMark/>
          </w:tcPr>
          <w:p w14:paraId="1E40E1AE"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13" w:type="dxa"/>
            <w:tcBorders>
              <w:top w:val="nil"/>
              <w:left w:val="nil"/>
              <w:bottom w:val="single" w:sz="4" w:space="0" w:color="auto"/>
              <w:right w:val="single" w:sz="4" w:space="0" w:color="auto"/>
            </w:tcBorders>
            <w:shd w:val="clear" w:color="000000" w:fill="F2F2F2"/>
            <w:noWrap/>
            <w:vAlign w:val="bottom"/>
            <w:hideMark/>
          </w:tcPr>
          <w:p w14:paraId="3A1E8CC1"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05" w:type="dxa"/>
            <w:gridSpan w:val="2"/>
            <w:tcBorders>
              <w:top w:val="nil"/>
              <w:left w:val="nil"/>
              <w:bottom w:val="single" w:sz="4" w:space="0" w:color="auto"/>
              <w:right w:val="single" w:sz="4" w:space="0" w:color="auto"/>
            </w:tcBorders>
            <w:shd w:val="clear" w:color="000000" w:fill="F2F2F2"/>
            <w:noWrap/>
            <w:vAlign w:val="bottom"/>
            <w:hideMark/>
          </w:tcPr>
          <w:p w14:paraId="410A98F6"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81" w:type="dxa"/>
            <w:tcBorders>
              <w:top w:val="nil"/>
              <w:left w:val="nil"/>
              <w:bottom w:val="single" w:sz="4" w:space="0" w:color="auto"/>
              <w:right w:val="single" w:sz="4" w:space="0" w:color="auto"/>
            </w:tcBorders>
            <w:shd w:val="clear" w:color="000000" w:fill="F2F2F2"/>
            <w:noWrap/>
            <w:vAlign w:val="bottom"/>
            <w:hideMark/>
          </w:tcPr>
          <w:p w14:paraId="4E9AEED5"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14" w:type="dxa"/>
            <w:tcBorders>
              <w:top w:val="nil"/>
              <w:left w:val="nil"/>
              <w:bottom w:val="single" w:sz="4" w:space="0" w:color="auto"/>
              <w:right w:val="single" w:sz="4" w:space="0" w:color="auto"/>
            </w:tcBorders>
            <w:shd w:val="clear" w:color="000000" w:fill="F2F2F2"/>
            <w:noWrap/>
            <w:vAlign w:val="bottom"/>
            <w:hideMark/>
          </w:tcPr>
          <w:p w14:paraId="28C93693"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850" w:type="dxa"/>
            <w:gridSpan w:val="2"/>
            <w:tcBorders>
              <w:top w:val="nil"/>
              <w:left w:val="nil"/>
              <w:bottom w:val="single" w:sz="4" w:space="0" w:color="auto"/>
              <w:right w:val="single" w:sz="4" w:space="0" w:color="auto"/>
            </w:tcBorders>
            <w:shd w:val="clear" w:color="000000" w:fill="F2F2F2"/>
            <w:noWrap/>
            <w:vAlign w:val="bottom"/>
            <w:hideMark/>
          </w:tcPr>
          <w:p w14:paraId="4A3F6D09"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1035" w:type="dxa"/>
            <w:gridSpan w:val="2"/>
            <w:tcBorders>
              <w:top w:val="nil"/>
              <w:left w:val="nil"/>
              <w:bottom w:val="single" w:sz="4" w:space="0" w:color="auto"/>
              <w:right w:val="single" w:sz="4" w:space="0" w:color="auto"/>
            </w:tcBorders>
            <w:shd w:val="clear" w:color="000000" w:fill="F2F2F2"/>
            <w:noWrap/>
            <w:vAlign w:val="bottom"/>
            <w:hideMark/>
          </w:tcPr>
          <w:p w14:paraId="7E46BE9E"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105,00 </w:t>
            </w:r>
          </w:p>
        </w:tc>
        <w:tc>
          <w:tcPr>
            <w:tcW w:w="914" w:type="dxa"/>
            <w:tcBorders>
              <w:top w:val="nil"/>
              <w:left w:val="nil"/>
              <w:bottom w:val="single" w:sz="4" w:space="0" w:color="auto"/>
              <w:right w:val="single" w:sz="4" w:space="0" w:color="auto"/>
            </w:tcBorders>
            <w:shd w:val="clear" w:color="000000" w:fill="F2F2F2"/>
            <w:noWrap/>
            <w:vAlign w:val="bottom"/>
            <w:hideMark/>
          </w:tcPr>
          <w:p w14:paraId="7B0BB71E"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834" w:type="dxa"/>
            <w:gridSpan w:val="2"/>
            <w:tcBorders>
              <w:top w:val="nil"/>
              <w:left w:val="nil"/>
              <w:bottom w:val="single" w:sz="4" w:space="0" w:color="auto"/>
              <w:right w:val="single" w:sz="4" w:space="0" w:color="auto"/>
            </w:tcBorders>
            <w:shd w:val="clear" w:color="000000" w:fill="F2F2F2"/>
            <w:noWrap/>
            <w:vAlign w:val="bottom"/>
            <w:hideMark/>
          </w:tcPr>
          <w:p w14:paraId="0B7D06B1"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1025" w:type="dxa"/>
            <w:tcBorders>
              <w:top w:val="nil"/>
              <w:left w:val="nil"/>
              <w:bottom w:val="single" w:sz="4" w:space="0" w:color="auto"/>
              <w:right w:val="single" w:sz="4" w:space="0" w:color="auto"/>
            </w:tcBorders>
            <w:shd w:val="clear" w:color="000000" w:fill="F2F2F2"/>
            <w:noWrap/>
            <w:vAlign w:val="bottom"/>
            <w:hideMark/>
          </w:tcPr>
          <w:p w14:paraId="56767377"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983" w:type="dxa"/>
            <w:tcBorders>
              <w:top w:val="nil"/>
              <w:left w:val="nil"/>
              <w:bottom w:val="single" w:sz="4" w:space="0" w:color="auto"/>
              <w:right w:val="single" w:sz="4" w:space="0" w:color="auto"/>
            </w:tcBorders>
            <w:shd w:val="clear" w:color="000000" w:fill="F2F2F2"/>
            <w:noWrap/>
            <w:vAlign w:val="bottom"/>
            <w:hideMark/>
          </w:tcPr>
          <w:p w14:paraId="19387ACB"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855" w:type="dxa"/>
            <w:tcBorders>
              <w:top w:val="nil"/>
              <w:left w:val="nil"/>
              <w:bottom w:val="single" w:sz="4" w:space="0" w:color="auto"/>
              <w:right w:val="single" w:sz="4" w:space="0" w:color="auto"/>
            </w:tcBorders>
            <w:shd w:val="clear" w:color="000000" w:fill="F2F2F2"/>
            <w:noWrap/>
            <w:vAlign w:val="bottom"/>
            <w:hideMark/>
          </w:tcPr>
          <w:p w14:paraId="26CB7A11"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823" w:type="dxa"/>
            <w:tcBorders>
              <w:top w:val="nil"/>
              <w:left w:val="nil"/>
              <w:bottom w:val="single" w:sz="4" w:space="0" w:color="auto"/>
              <w:right w:val="single" w:sz="4" w:space="0" w:color="auto"/>
            </w:tcBorders>
            <w:shd w:val="clear" w:color="000000" w:fill="F2F2F2"/>
            <w:vAlign w:val="bottom"/>
            <w:hideMark/>
          </w:tcPr>
          <w:p w14:paraId="67169A1E" w14:textId="77777777" w:rsidR="00C27261" w:rsidRPr="00650D66" w:rsidRDefault="00C27261" w:rsidP="00B95F09">
            <w:pPr>
              <w:spacing w:after="0" w:line="240" w:lineRule="auto"/>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Valori nesemnificative</w:t>
            </w:r>
          </w:p>
        </w:tc>
      </w:tr>
      <w:tr w:rsidR="00B95F09" w:rsidRPr="00650D66" w14:paraId="48A6CA6A" w14:textId="77777777" w:rsidTr="00CB12D5">
        <w:trPr>
          <w:trHeight w:val="39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BC2F1A5" w14:textId="77777777" w:rsidR="00C27261" w:rsidRPr="00650D66" w:rsidRDefault="00C27261" w:rsidP="00B95F09">
            <w:pPr>
              <w:spacing w:after="0" w:line="240" w:lineRule="auto"/>
              <w:jc w:val="right"/>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9351</w:t>
            </w:r>
          </w:p>
        </w:tc>
        <w:tc>
          <w:tcPr>
            <w:tcW w:w="1984" w:type="dxa"/>
            <w:tcBorders>
              <w:top w:val="nil"/>
              <w:left w:val="nil"/>
              <w:bottom w:val="single" w:sz="4" w:space="0" w:color="auto"/>
              <w:right w:val="single" w:sz="4" w:space="0" w:color="auto"/>
            </w:tcBorders>
            <w:shd w:val="clear" w:color="auto" w:fill="auto"/>
            <w:vAlign w:val="bottom"/>
            <w:hideMark/>
          </w:tcPr>
          <w:p w14:paraId="50BCF2C6"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Cheltuieli cu amenzi, penalități și despăgubiri</w:t>
            </w:r>
          </w:p>
        </w:tc>
        <w:tc>
          <w:tcPr>
            <w:tcW w:w="1159" w:type="dxa"/>
            <w:tcBorders>
              <w:top w:val="nil"/>
              <w:left w:val="nil"/>
              <w:bottom w:val="single" w:sz="4" w:space="0" w:color="auto"/>
              <w:right w:val="single" w:sz="4" w:space="0" w:color="auto"/>
            </w:tcBorders>
            <w:shd w:val="clear" w:color="auto" w:fill="auto"/>
            <w:noWrap/>
            <w:vAlign w:val="bottom"/>
            <w:hideMark/>
          </w:tcPr>
          <w:p w14:paraId="7BBA79BB"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3" w:type="dxa"/>
            <w:tcBorders>
              <w:top w:val="nil"/>
              <w:left w:val="nil"/>
              <w:bottom w:val="single" w:sz="4" w:space="0" w:color="auto"/>
              <w:right w:val="single" w:sz="4" w:space="0" w:color="auto"/>
            </w:tcBorders>
            <w:shd w:val="clear" w:color="auto" w:fill="auto"/>
            <w:noWrap/>
            <w:vAlign w:val="bottom"/>
            <w:hideMark/>
          </w:tcPr>
          <w:p w14:paraId="3BDCF90A"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14:paraId="274AC316"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81" w:type="dxa"/>
            <w:tcBorders>
              <w:top w:val="nil"/>
              <w:left w:val="nil"/>
              <w:bottom w:val="single" w:sz="4" w:space="0" w:color="auto"/>
              <w:right w:val="single" w:sz="4" w:space="0" w:color="auto"/>
            </w:tcBorders>
            <w:shd w:val="clear" w:color="auto" w:fill="auto"/>
            <w:noWrap/>
            <w:vAlign w:val="bottom"/>
            <w:hideMark/>
          </w:tcPr>
          <w:p w14:paraId="7A2ADD48"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4" w:type="dxa"/>
            <w:tcBorders>
              <w:top w:val="nil"/>
              <w:left w:val="nil"/>
              <w:bottom w:val="single" w:sz="4" w:space="0" w:color="auto"/>
              <w:right w:val="single" w:sz="4" w:space="0" w:color="auto"/>
            </w:tcBorders>
            <w:shd w:val="clear" w:color="auto" w:fill="auto"/>
            <w:noWrap/>
            <w:vAlign w:val="bottom"/>
            <w:hideMark/>
          </w:tcPr>
          <w:p w14:paraId="59781F7F"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05D2D37"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1035" w:type="dxa"/>
            <w:gridSpan w:val="2"/>
            <w:tcBorders>
              <w:top w:val="nil"/>
              <w:left w:val="nil"/>
              <w:bottom w:val="single" w:sz="4" w:space="0" w:color="auto"/>
              <w:right w:val="single" w:sz="4" w:space="0" w:color="auto"/>
            </w:tcBorders>
            <w:shd w:val="clear" w:color="auto" w:fill="auto"/>
            <w:noWrap/>
            <w:vAlign w:val="bottom"/>
            <w:hideMark/>
          </w:tcPr>
          <w:p w14:paraId="419C8E44"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105,00 </w:t>
            </w:r>
          </w:p>
        </w:tc>
        <w:tc>
          <w:tcPr>
            <w:tcW w:w="914" w:type="dxa"/>
            <w:tcBorders>
              <w:top w:val="nil"/>
              <w:left w:val="nil"/>
              <w:bottom w:val="single" w:sz="4" w:space="0" w:color="auto"/>
              <w:right w:val="single" w:sz="4" w:space="0" w:color="auto"/>
            </w:tcBorders>
            <w:shd w:val="clear" w:color="auto" w:fill="auto"/>
            <w:noWrap/>
            <w:vAlign w:val="bottom"/>
            <w:hideMark/>
          </w:tcPr>
          <w:p w14:paraId="2E0AA723"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34" w:type="dxa"/>
            <w:gridSpan w:val="2"/>
            <w:tcBorders>
              <w:top w:val="nil"/>
              <w:left w:val="nil"/>
              <w:bottom w:val="single" w:sz="4" w:space="0" w:color="auto"/>
              <w:right w:val="single" w:sz="4" w:space="0" w:color="auto"/>
            </w:tcBorders>
            <w:shd w:val="clear" w:color="auto" w:fill="auto"/>
            <w:noWrap/>
            <w:vAlign w:val="bottom"/>
            <w:hideMark/>
          </w:tcPr>
          <w:p w14:paraId="69BABAC9"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1025" w:type="dxa"/>
            <w:tcBorders>
              <w:top w:val="nil"/>
              <w:left w:val="nil"/>
              <w:bottom w:val="single" w:sz="4" w:space="0" w:color="auto"/>
              <w:right w:val="single" w:sz="4" w:space="0" w:color="auto"/>
            </w:tcBorders>
            <w:shd w:val="clear" w:color="auto" w:fill="auto"/>
            <w:noWrap/>
            <w:vAlign w:val="bottom"/>
            <w:hideMark/>
          </w:tcPr>
          <w:p w14:paraId="3B9C9F64"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83" w:type="dxa"/>
            <w:tcBorders>
              <w:top w:val="nil"/>
              <w:left w:val="nil"/>
              <w:bottom w:val="single" w:sz="4" w:space="0" w:color="auto"/>
              <w:right w:val="single" w:sz="4" w:space="0" w:color="auto"/>
            </w:tcBorders>
            <w:shd w:val="clear" w:color="auto" w:fill="auto"/>
            <w:noWrap/>
            <w:vAlign w:val="bottom"/>
            <w:hideMark/>
          </w:tcPr>
          <w:p w14:paraId="029B882A"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55" w:type="dxa"/>
            <w:tcBorders>
              <w:top w:val="nil"/>
              <w:left w:val="nil"/>
              <w:bottom w:val="single" w:sz="4" w:space="0" w:color="auto"/>
              <w:right w:val="single" w:sz="4" w:space="0" w:color="auto"/>
            </w:tcBorders>
            <w:shd w:val="clear" w:color="auto" w:fill="auto"/>
            <w:noWrap/>
            <w:vAlign w:val="bottom"/>
            <w:hideMark/>
          </w:tcPr>
          <w:p w14:paraId="23C355A7" w14:textId="77777777" w:rsidR="00C27261" w:rsidRPr="00650D66" w:rsidRDefault="00C27261" w:rsidP="00B95F09">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23" w:type="dxa"/>
            <w:tcBorders>
              <w:top w:val="nil"/>
              <w:left w:val="nil"/>
              <w:bottom w:val="single" w:sz="4" w:space="0" w:color="auto"/>
              <w:right w:val="single" w:sz="4" w:space="0" w:color="auto"/>
            </w:tcBorders>
            <w:shd w:val="clear" w:color="auto" w:fill="auto"/>
            <w:noWrap/>
            <w:vAlign w:val="bottom"/>
            <w:hideMark/>
          </w:tcPr>
          <w:p w14:paraId="17B9A976" w14:textId="77777777" w:rsidR="00C27261" w:rsidRPr="00650D66" w:rsidRDefault="00C27261" w:rsidP="00B95F09">
            <w:pPr>
              <w:spacing w:after="0" w:line="240" w:lineRule="auto"/>
              <w:rPr>
                <w:rFonts w:ascii="Times New Roman" w:eastAsia="Times New Roman" w:hAnsi="Times New Roman" w:cs="Times New Roman"/>
                <w:color w:val="FF0000"/>
                <w:sz w:val="18"/>
                <w:szCs w:val="18"/>
                <w:lang w:val="ro-RO"/>
              </w:rPr>
            </w:pPr>
            <w:r w:rsidRPr="00650D66">
              <w:rPr>
                <w:rFonts w:ascii="Times New Roman" w:eastAsia="Times New Roman" w:hAnsi="Times New Roman" w:cs="Times New Roman"/>
                <w:color w:val="FF0000"/>
                <w:sz w:val="18"/>
                <w:szCs w:val="18"/>
                <w:lang w:val="ro-RO"/>
              </w:rPr>
              <w:t> </w:t>
            </w:r>
          </w:p>
        </w:tc>
      </w:tr>
      <w:tr w:rsidR="00B95F09" w:rsidRPr="00650D66" w14:paraId="11F6E519" w14:textId="77777777" w:rsidTr="00121062">
        <w:trPr>
          <w:trHeight w:val="249"/>
        </w:trPr>
        <w:tc>
          <w:tcPr>
            <w:tcW w:w="710" w:type="dxa"/>
            <w:tcBorders>
              <w:top w:val="nil"/>
              <w:left w:val="single" w:sz="4" w:space="0" w:color="auto"/>
              <w:bottom w:val="single" w:sz="4" w:space="0" w:color="auto"/>
              <w:right w:val="single" w:sz="4" w:space="0" w:color="auto"/>
            </w:tcBorders>
            <w:shd w:val="clear" w:color="000000" w:fill="F2F2F2"/>
            <w:noWrap/>
            <w:vAlign w:val="center"/>
            <w:hideMark/>
          </w:tcPr>
          <w:p w14:paraId="41B02757" w14:textId="77777777" w:rsidR="00C27261" w:rsidRPr="00650D66" w:rsidRDefault="00C27261"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1984" w:type="dxa"/>
            <w:tcBorders>
              <w:top w:val="nil"/>
              <w:left w:val="nil"/>
              <w:bottom w:val="single" w:sz="4" w:space="0" w:color="auto"/>
              <w:right w:val="single" w:sz="4" w:space="0" w:color="auto"/>
            </w:tcBorders>
            <w:shd w:val="clear" w:color="000000" w:fill="F2F2F2"/>
            <w:vAlign w:val="center"/>
            <w:hideMark/>
          </w:tcPr>
          <w:p w14:paraId="1DE1FE7D" w14:textId="77777777" w:rsidR="00C27261" w:rsidRPr="00650D66" w:rsidRDefault="00C27261" w:rsidP="00B95F09">
            <w:pPr>
              <w:spacing w:after="0" w:line="240" w:lineRule="auto"/>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TOTAL Cheltuieli administrative</w:t>
            </w:r>
          </w:p>
        </w:tc>
        <w:tc>
          <w:tcPr>
            <w:tcW w:w="1159" w:type="dxa"/>
            <w:tcBorders>
              <w:top w:val="nil"/>
              <w:left w:val="nil"/>
              <w:bottom w:val="single" w:sz="4" w:space="0" w:color="auto"/>
              <w:right w:val="single" w:sz="4" w:space="0" w:color="auto"/>
            </w:tcBorders>
            <w:shd w:val="clear" w:color="000000" w:fill="F2F2F2"/>
            <w:noWrap/>
            <w:vAlign w:val="center"/>
            <w:hideMark/>
          </w:tcPr>
          <w:p w14:paraId="01ECB8A3" w14:textId="77777777" w:rsidR="00C27261" w:rsidRPr="00650D66" w:rsidRDefault="00121062"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219.418,7</w:t>
            </w:r>
          </w:p>
        </w:tc>
        <w:tc>
          <w:tcPr>
            <w:tcW w:w="913" w:type="dxa"/>
            <w:tcBorders>
              <w:top w:val="nil"/>
              <w:left w:val="nil"/>
              <w:bottom w:val="single" w:sz="4" w:space="0" w:color="auto"/>
              <w:right w:val="single" w:sz="4" w:space="0" w:color="auto"/>
            </w:tcBorders>
            <w:shd w:val="clear" w:color="000000" w:fill="F2F2F2"/>
            <w:noWrap/>
            <w:vAlign w:val="center"/>
            <w:hideMark/>
          </w:tcPr>
          <w:p w14:paraId="7173F3AB" w14:textId="77777777" w:rsidR="00C27261" w:rsidRPr="00650D66" w:rsidRDefault="00C27261"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905" w:type="dxa"/>
            <w:gridSpan w:val="2"/>
            <w:tcBorders>
              <w:top w:val="nil"/>
              <w:left w:val="nil"/>
              <w:bottom w:val="single" w:sz="4" w:space="0" w:color="auto"/>
              <w:right w:val="single" w:sz="4" w:space="0" w:color="auto"/>
            </w:tcBorders>
            <w:shd w:val="clear" w:color="000000" w:fill="F2F2F2"/>
            <w:noWrap/>
            <w:vAlign w:val="center"/>
            <w:hideMark/>
          </w:tcPr>
          <w:p w14:paraId="0857D8A5"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92%</w:t>
            </w:r>
          </w:p>
        </w:tc>
        <w:tc>
          <w:tcPr>
            <w:tcW w:w="981" w:type="dxa"/>
            <w:tcBorders>
              <w:top w:val="nil"/>
              <w:left w:val="nil"/>
              <w:bottom w:val="single" w:sz="4" w:space="0" w:color="auto"/>
              <w:right w:val="single" w:sz="4" w:space="0" w:color="auto"/>
            </w:tcBorders>
            <w:shd w:val="clear" w:color="000000" w:fill="F2F2F2"/>
            <w:noWrap/>
            <w:vAlign w:val="center"/>
            <w:hideMark/>
          </w:tcPr>
          <w:p w14:paraId="2D1EDD2D" w14:textId="77777777" w:rsidR="00C27261" w:rsidRPr="00650D66" w:rsidRDefault="00121062"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212.290,4</w:t>
            </w:r>
          </w:p>
        </w:tc>
        <w:tc>
          <w:tcPr>
            <w:tcW w:w="914" w:type="dxa"/>
            <w:tcBorders>
              <w:top w:val="nil"/>
              <w:left w:val="nil"/>
              <w:bottom w:val="single" w:sz="4" w:space="0" w:color="auto"/>
              <w:right w:val="single" w:sz="4" w:space="0" w:color="auto"/>
            </w:tcBorders>
            <w:shd w:val="clear" w:color="000000" w:fill="F2F2F2"/>
            <w:noWrap/>
            <w:vAlign w:val="center"/>
            <w:hideMark/>
          </w:tcPr>
          <w:p w14:paraId="1417D9C6" w14:textId="77777777" w:rsidR="00C27261" w:rsidRPr="00650D66" w:rsidRDefault="00C27261"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720A2CE9"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85%</w:t>
            </w:r>
          </w:p>
        </w:tc>
        <w:tc>
          <w:tcPr>
            <w:tcW w:w="1035" w:type="dxa"/>
            <w:gridSpan w:val="2"/>
            <w:tcBorders>
              <w:top w:val="nil"/>
              <w:left w:val="nil"/>
              <w:bottom w:val="single" w:sz="4" w:space="0" w:color="auto"/>
              <w:right w:val="single" w:sz="4" w:space="0" w:color="auto"/>
            </w:tcBorders>
            <w:shd w:val="clear" w:color="000000" w:fill="F2F2F2"/>
            <w:noWrap/>
            <w:vAlign w:val="center"/>
            <w:hideMark/>
          </w:tcPr>
          <w:p w14:paraId="0B69D864" w14:textId="77777777" w:rsidR="00C27261" w:rsidRPr="00650D66" w:rsidRDefault="00A77C7E"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w:t>
            </w:r>
            <w:r w:rsidR="00121062" w:rsidRPr="00650D66">
              <w:rPr>
                <w:rFonts w:ascii="Times New Roman" w:eastAsia="Times New Roman" w:hAnsi="Times New Roman" w:cs="Times New Roman"/>
                <w:b/>
                <w:bCs/>
                <w:color w:val="000000"/>
                <w:sz w:val="18"/>
                <w:szCs w:val="18"/>
                <w:lang w:val="ro-RO"/>
              </w:rPr>
              <w:t>220.266,2</w:t>
            </w:r>
            <w:r w:rsidR="00C27261" w:rsidRPr="00650D66">
              <w:rPr>
                <w:rFonts w:ascii="Times New Roman" w:eastAsia="Times New Roman" w:hAnsi="Times New Roman" w:cs="Times New Roman"/>
                <w:b/>
                <w:bCs/>
                <w:color w:val="000000"/>
                <w:sz w:val="18"/>
                <w:szCs w:val="18"/>
                <w:lang w:val="ro-RO"/>
              </w:rPr>
              <w:t xml:space="preserve"> </w:t>
            </w:r>
          </w:p>
        </w:tc>
        <w:tc>
          <w:tcPr>
            <w:tcW w:w="914" w:type="dxa"/>
            <w:tcBorders>
              <w:top w:val="nil"/>
              <w:left w:val="nil"/>
              <w:bottom w:val="single" w:sz="4" w:space="0" w:color="auto"/>
              <w:right w:val="single" w:sz="4" w:space="0" w:color="auto"/>
            </w:tcBorders>
            <w:shd w:val="clear" w:color="000000" w:fill="F2F2F2"/>
            <w:noWrap/>
            <w:vAlign w:val="center"/>
            <w:hideMark/>
          </w:tcPr>
          <w:p w14:paraId="769F1D9C" w14:textId="77777777" w:rsidR="00C27261" w:rsidRPr="00650D66" w:rsidRDefault="00C27261"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4" w:type="dxa"/>
            <w:gridSpan w:val="2"/>
            <w:tcBorders>
              <w:top w:val="nil"/>
              <w:left w:val="nil"/>
              <w:bottom w:val="single" w:sz="4" w:space="0" w:color="auto"/>
              <w:right w:val="single" w:sz="4" w:space="0" w:color="auto"/>
            </w:tcBorders>
            <w:shd w:val="clear" w:color="000000" w:fill="F2F2F2"/>
            <w:noWrap/>
            <w:vAlign w:val="center"/>
            <w:hideMark/>
          </w:tcPr>
          <w:p w14:paraId="513FED18"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79%</w:t>
            </w:r>
          </w:p>
        </w:tc>
        <w:tc>
          <w:tcPr>
            <w:tcW w:w="1025" w:type="dxa"/>
            <w:tcBorders>
              <w:top w:val="nil"/>
              <w:left w:val="nil"/>
              <w:bottom w:val="single" w:sz="4" w:space="0" w:color="auto"/>
              <w:right w:val="single" w:sz="4" w:space="0" w:color="auto"/>
            </w:tcBorders>
            <w:shd w:val="clear" w:color="000000" w:fill="F2F2F2"/>
            <w:noWrap/>
            <w:vAlign w:val="center"/>
            <w:hideMark/>
          </w:tcPr>
          <w:p w14:paraId="1C77A2A3" w14:textId="77777777" w:rsidR="00C27261" w:rsidRPr="00650D66" w:rsidRDefault="00A77C7E"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w:t>
            </w:r>
            <w:r w:rsidR="00121062" w:rsidRPr="00650D66">
              <w:rPr>
                <w:rFonts w:ascii="Times New Roman" w:eastAsia="Times New Roman" w:hAnsi="Times New Roman" w:cs="Times New Roman"/>
                <w:b/>
                <w:bCs/>
                <w:color w:val="000000"/>
                <w:sz w:val="18"/>
                <w:szCs w:val="18"/>
                <w:lang w:val="ro-RO"/>
              </w:rPr>
              <w:t>293.410,6</w:t>
            </w:r>
          </w:p>
        </w:tc>
        <w:tc>
          <w:tcPr>
            <w:tcW w:w="983" w:type="dxa"/>
            <w:tcBorders>
              <w:top w:val="nil"/>
              <w:left w:val="nil"/>
              <w:bottom w:val="single" w:sz="4" w:space="0" w:color="auto"/>
              <w:right w:val="single" w:sz="4" w:space="0" w:color="auto"/>
            </w:tcBorders>
            <w:shd w:val="clear" w:color="000000" w:fill="F2F2F2"/>
            <w:noWrap/>
            <w:vAlign w:val="center"/>
            <w:hideMark/>
          </w:tcPr>
          <w:p w14:paraId="34A716CA" w14:textId="77777777" w:rsidR="00C27261" w:rsidRPr="00650D66" w:rsidRDefault="00C27261" w:rsidP="00B95F09">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5" w:type="dxa"/>
            <w:tcBorders>
              <w:top w:val="nil"/>
              <w:left w:val="nil"/>
              <w:bottom w:val="single" w:sz="4" w:space="0" w:color="auto"/>
              <w:right w:val="single" w:sz="4" w:space="0" w:color="auto"/>
            </w:tcBorders>
            <w:shd w:val="clear" w:color="000000" w:fill="F2F2F2"/>
            <w:noWrap/>
            <w:vAlign w:val="center"/>
            <w:hideMark/>
          </w:tcPr>
          <w:p w14:paraId="0922197B"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87%</w:t>
            </w:r>
          </w:p>
        </w:tc>
        <w:tc>
          <w:tcPr>
            <w:tcW w:w="823" w:type="dxa"/>
            <w:tcBorders>
              <w:top w:val="nil"/>
              <w:left w:val="nil"/>
              <w:bottom w:val="single" w:sz="4" w:space="0" w:color="auto"/>
              <w:right w:val="single" w:sz="4" w:space="0" w:color="auto"/>
            </w:tcBorders>
            <w:shd w:val="clear" w:color="000000" w:fill="F2F2F2"/>
            <w:noWrap/>
            <w:vAlign w:val="center"/>
            <w:hideMark/>
          </w:tcPr>
          <w:p w14:paraId="7C382BD8" w14:textId="77777777" w:rsidR="00C27261" w:rsidRPr="00650D66" w:rsidRDefault="00C27261" w:rsidP="00B95F09">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 </w:t>
            </w:r>
          </w:p>
        </w:tc>
      </w:tr>
    </w:tbl>
    <w:p w14:paraId="47BFABA6" w14:textId="77777777" w:rsidR="00044C6F" w:rsidRPr="00650D66" w:rsidRDefault="00C20126" w:rsidP="00C20126">
      <w:pPr>
        <w:spacing w:after="0" w:line="276" w:lineRule="auto"/>
        <w:jc w:val="both"/>
        <w:rPr>
          <w:rFonts w:ascii="Times New Roman" w:hAnsi="Times New Roman" w:cs="Times New Roman"/>
          <w:i/>
          <w:sz w:val="20"/>
          <w:szCs w:val="20"/>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Date sistema</w:t>
      </w:r>
      <w:r w:rsidR="00776A10" w:rsidRPr="00650D66">
        <w:rPr>
          <w:rFonts w:ascii="Times New Roman" w:hAnsi="Times New Roman" w:cs="Times New Roman"/>
          <w:i/>
          <w:sz w:val="20"/>
          <w:szCs w:val="20"/>
          <w:lang w:val="ro-RO"/>
        </w:rPr>
        <w:t>tizate de către echipa de audit</w:t>
      </w:r>
      <w:r w:rsidRPr="00650D66">
        <w:rPr>
          <w:rFonts w:ascii="Times New Roman" w:hAnsi="Times New Roman" w:cs="Times New Roman"/>
          <w:i/>
          <w:sz w:val="20"/>
          <w:szCs w:val="20"/>
          <w:lang w:val="ro-RO"/>
        </w:rPr>
        <w:t xml:space="preserve"> din descifrările devizului de cheltuieli prezentate de către persoanele responsabile din cadrul BNM.</w:t>
      </w:r>
    </w:p>
    <w:p w14:paraId="1F28E8A8" w14:textId="77777777" w:rsidR="0041076B" w:rsidRPr="00650D66" w:rsidRDefault="0041076B" w:rsidP="0041076B">
      <w:pPr>
        <w:pStyle w:val="ListParagraph"/>
        <w:tabs>
          <w:tab w:val="left" w:pos="426"/>
        </w:tabs>
        <w:spacing w:line="276" w:lineRule="auto"/>
        <w:ind w:left="0"/>
        <w:jc w:val="right"/>
        <w:rPr>
          <w:rFonts w:ascii="Times New Roman" w:hAnsi="Times New Roman" w:cs="Times New Roman"/>
          <w:b/>
          <w:sz w:val="24"/>
          <w:szCs w:val="24"/>
          <w:lang w:val="ro-RO"/>
        </w:rPr>
      </w:pPr>
    </w:p>
    <w:p w14:paraId="7F723757" w14:textId="77777777" w:rsidR="00BB3ACC" w:rsidRPr="00650D66" w:rsidRDefault="0041076B" w:rsidP="0041076B">
      <w:pPr>
        <w:pStyle w:val="ListParagraph"/>
        <w:tabs>
          <w:tab w:val="left" w:pos="426"/>
        </w:tabs>
        <w:spacing w:after="0" w:line="276" w:lineRule="auto"/>
        <w:ind w:left="0"/>
        <w:jc w:val="right"/>
        <w:rPr>
          <w:rFonts w:ascii="Times New Roman" w:hAnsi="Times New Roman" w:cs="Times New Roman"/>
          <w:b/>
          <w:sz w:val="24"/>
          <w:szCs w:val="24"/>
          <w:lang w:val="ro-RO"/>
        </w:rPr>
      </w:pPr>
      <w:r w:rsidRPr="00650D66">
        <w:rPr>
          <w:rFonts w:ascii="Times New Roman" w:hAnsi="Times New Roman" w:cs="Times New Roman"/>
          <w:b/>
          <w:sz w:val="24"/>
          <w:szCs w:val="24"/>
          <w:lang w:val="ro-RO"/>
        </w:rPr>
        <w:t>Tabelul nr.2</w:t>
      </w:r>
    </w:p>
    <w:p w14:paraId="5BC1FB4A" w14:textId="77777777" w:rsidR="0041076B" w:rsidRPr="00650D66" w:rsidRDefault="0041076B" w:rsidP="0041076B">
      <w:pPr>
        <w:pStyle w:val="ListParagraph"/>
        <w:tabs>
          <w:tab w:val="left" w:pos="426"/>
        </w:tabs>
        <w:spacing w:after="0" w:line="276" w:lineRule="auto"/>
        <w:ind w:left="0"/>
        <w:jc w:val="center"/>
        <w:rPr>
          <w:rFonts w:ascii="Times New Roman" w:hAnsi="Times New Roman" w:cs="Times New Roman"/>
          <w:b/>
          <w:sz w:val="24"/>
          <w:szCs w:val="24"/>
          <w:lang w:val="ro-RO"/>
        </w:rPr>
      </w:pPr>
      <w:r w:rsidRPr="00650D66">
        <w:rPr>
          <w:rFonts w:ascii="Times New Roman" w:hAnsi="Times New Roman" w:cs="Times New Roman"/>
          <w:b/>
          <w:sz w:val="24"/>
          <w:szCs w:val="24"/>
          <w:lang w:val="ro-RO"/>
        </w:rPr>
        <w:t>Cheltuielile selectate spre auditare din totalul alocațiilor pentru investiții executate de către BNM pe parcursul anilor 2019-2022</w:t>
      </w:r>
    </w:p>
    <w:p w14:paraId="3BD23B4C" w14:textId="77777777" w:rsidR="0041076B" w:rsidRPr="00650D66" w:rsidRDefault="00121062" w:rsidP="0041076B">
      <w:pPr>
        <w:pStyle w:val="ListParagraph"/>
        <w:tabs>
          <w:tab w:val="left" w:pos="426"/>
        </w:tabs>
        <w:spacing w:after="0" w:line="276" w:lineRule="auto"/>
        <w:ind w:left="0"/>
        <w:jc w:val="right"/>
        <w:rPr>
          <w:rFonts w:ascii="Times New Roman" w:hAnsi="Times New Roman" w:cs="Times New Roman"/>
          <w:b/>
          <w:sz w:val="24"/>
          <w:szCs w:val="24"/>
          <w:lang w:val="ro-RO"/>
        </w:rPr>
      </w:pPr>
      <w:r w:rsidRPr="00650D66">
        <w:rPr>
          <w:rFonts w:ascii="Times New Roman" w:hAnsi="Times New Roman" w:cs="Times New Roman"/>
          <w:b/>
          <w:sz w:val="24"/>
          <w:szCs w:val="24"/>
          <w:lang w:val="ro-RO"/>
        </w:rPr>
        <w:t>(m</w:t>
      </w:r>
      <w:r w:rsidR="0041076B" w:rsidRPr="00650D66">
        <w:rPr>
          <w:rFonts w:ascii="Times New Roman" w:hAnsi="Times New Roman" w:cs="Times New Roman"/>
          <w:b/>
          <w:sz w:val="24"/>
          <w:szCs w:val="24"/>
          <w:lang w:val="ro-RO"/>
        </w:rPr>
        <w:t>ii lei</w:t>
      </w:r>
      <w:r w:rsidRPr="00650D66">
        <w:rPr>
          <w:rFonts w:ascii="Times New Roman" w:hAnsi="Times New Roman" w:cs="Times New Roman"/>
          <w:b/>
          <w:sz w:val="24"/>
          <w:szCs w:val="24"/>
          <w:lang w:val="ro-RO"/>
        </w:rPr>
        <w:t>)</w:t>
      </w:r>
    </w:p>
    <w:tbl>
      <w:tblPr>
        <w:tblW w:w="14596" w:type="dxa"/>
        <w:tblLook w:val="04A0" w:firstRow="1" w:lastRow="0" w:firstColumn="1" w:lastColumn="0" w:noHBand="0" w:noVBand="1"/>
      </w:tblPr>
      <w:tblGrid>
        <w:gridCol w:w="482"/>
        <w:gridCol w:w="1999"/>
        <w:gridCol w:w="896"/>
        <w:gridCol w:w="946"/>
        <w:gridCol w:w="866"/>
        <w:gridCol w:w="896"/>
        <w:gridCol w:w="981"/>
        <w:gridCol w:w="866"/>
        <w:gridCol w:w="896"/>
        <w:gridCol w:w="981"/>
        <w:gridCol w:w="866"/>
        <w:gridCol w:w="896"/>
        <w:gridCol w:w="981"/>
        <w:gridCol w:w="866"/>
        <w:gridCol w:w="1178"/>
      </w:tblGrid>
      <w:tr w:rsidR="00080324" w:rsidRPr="00650D66" w14:paraId="4BD0255F" w14:textId="77777777" w:rsidTr="007E55D2">
        <w:trPr>
          <w:trHeight w:val="288"/>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399E4A"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Nr. d/o</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A41E4"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Denumirea</w:t>
            </w:r>
          </w:p>
        </w:tc>
        <w:tc>
          <w:tcPr>
            <w:tcW w:w="2591" w:type="dxa"/>
            <w:gridSpan w:val="3"/>
            <w:tcBorders>
              <w:top w:val="single" w:sz="4" w:space="0" w:color="auto"/>
              <w:left w:val="nil"/>
              <w:bottom w:val="single" w:sz="4" w:space="0" w:color="auto"/>
              <w:right w:val="single" w:sz="4" w:space="0" w:color="auto"/>
            </w:tcBorders>
            <w:shd w:val="clear" w:color="auto" w:fill="auto"/>
            <w:vAlign w:val="center"/>
            <w:hideMark/>
          </w:tcPr>
          <w:p w14:paraId="393EACD5"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2019</w:t>
            </w:r>
          </w:p>
        </w:tc>
        <w:tc>
          <w:tcPr>
            <w:tcW w:w="2667" w:type="dxa"/>
            <w:gridSpan w:val="3"/>
            <w:tcBorders>
              <w:top w:val="single" w:sz="4" w:space="0" w:color="auto"/>
              <w:left w:val="nil"/>
              <w:bottom w:val="single" w:sz="4" w:space="0" w:color="auto"/>
              <w:right w:val="single" w:sz="4" w:space="0" w:color="auto"/>
            </w:tcBorders>
            <w:shd w:val="clear" w:color="auto" w:fill="auto"/>
            <w:vAlign w:val="center"/>
            <w:hideMark/>
          </w:tcPr>
          <w:p w14:paraId="34793B86"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2020</w:t>
            </w:r>
          </w:p>
        </w:tc>
        <w:tc>
          <w:tcPr>
            <w:tcW w:w="2737" w:type="dxa"/>
            <w:gridSpan w:val="3"/>
            <w:tcBorders>
              <w:top w:val="single" w:sz="4" w:space="0" w:color="auto"/>
              <w:left w:val="nil"/>
              <w:bottom w:val="single" w:sz="4" w:space="0" w:color="auto"/>
              <w:right w:val="single" w:sz="4" w:space="0" w:color="auto"/>
            </w:tcBorders>
            <w:shd w:val="clear" w:color="auto" w:fill="auto"/>
            <w:vAlign w:val="center"/>
            <w:hideMark/>
          </w:tcPr>
          <w:p w14:paraId="29ED5CD9"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2021</w:t>
            </w:r>
          </w:p>
        </w:tc>
        <w:tc>
          <w:tcPr>
            <w:tcW w:w="2713" w:type="dxa"/>
            <w:gridSpan w:val="3"/>
            <w:tcBorders>
              <w:top w:val="single" w:sz="4" w:space="0" w:color="auto"/>
              <w:left w:val="nil"/>
              <w:bottom w:val="single" w:sz="4" w:space="0" w:color="auto"/>
              <w:right w:val="single" w:sz="4" w:space="0" w:color="auto"/>
            </w:tcBorders>
            <w:shd w:val="clear" w:color="auto" w:fill="auto"/>
            <w:vAlign w:val="center"/>
            <w:hideMark/>
          </w:tcPr>
          <w:p w14:paraId="120FAA28"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Anul 2022</w:t>
            </w:r>
          </w:p>
        </w:tc>
        <w:tc>
          <w:tcPr>
            <w:tcW w:w="1199" w:type="dxa"/>
            <w:vMerge w:val="restart"/>
            <w:tcBorders>
              <w:top w:val="single" w:sz="4" w:space="0" w:color="auto"/>
              <w:left w:val="single" w:sz="4" w:space="0" w:color="auto"/>
              <w:right w:val="single" w:sz="4" w:space="0" w:color="auto"/>
            </w:tcBorders>
            <w:shd w:val="clear" w:color="auto" w:fill="auto"/>
            <w:vAlign w:val="center"/>
            <w:hideMark/>
          </w:tcPr>
          <w:p w14:paraId="7DFF7248"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Executarea investițiilor în evoluție 2022/2019</w:t>
            </w:r>
          </w:p>
        </w:tc>
      </w:tr>
      <w:tr w:rsidR="00080324" w:rsidRPr="00650D66" w14:paraId="0FDE2AEF" w14:textId="77777777" w:rsidTr="007E55D2">
        <w:trPr>
          <w:trHeight w:val="984"/>
        </w:trPr>
        <w:tc>
          <w:tcPr>
            <w:tcW w:w="484" w:type="dxa"/>
            <w:vMerge/>
            <w:tcBorders>
              <w:top w:val="single" w:sz="4" w:space="0" w:color="auto"/>
              <w:left w:val="single" w:sz="4" w:space="0" w:color="auto"/>
              <w:bottom w:val="single" w:sz="4" w:space="0" w:color="000000"/>
              <w:right w:val="single" w:sz="4" w:space="0" w:color="auto"/>
            </w:tcBorders>
            <w:vAlign w:val="center"/>
            <w:hideMark/>
          </w:tcPr>
          <w:p w14:paraId="0B36990A" w14:textId="77777777" w:rsidR="00080324" w:rsidRPr="00650D66" w:rsidRDefault="00080324" w:rsidP="0041076B">
            <w:pPr>
              <w:spacing w:after="0" w:line="240" w:lineRule="auto"/>
              <w:rPr>
                <w:rFonts w:ascii="Times New Roman" w:eastAsia="Times New Roman" w:hAnsi="Times New Roman" w:cs="Times New Roman"/>
                <w:b/>
                <w:bCs/>
                <w:color w:val="000000"/>
                <w:sz w:val="18"/>
                <w:szCs w:val="18"/>
                <w:lang w:val="ro-RO"/>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14:paraId="4899BAD9" w14:textId="77777777" w:rsidR="00080324" w:rsidRPr="00650D66" w:rsidRDefault="00080324" w:rsidP="0041076B">
            <w:pPr>
              <w:spacing w:after="0" w:line="240" w:lineRule="auto"/>
              <w:rPr>
                <w:rFonts w:ascii="Times New Roman" w:eastAsia="Times New Roman" w:hAnsi="Times New Roman" w:cs="Times New Roman"/>
                <w:b/>
                <w:bCs/>
                <w:color w:val="000000"/>
                <w:sz w:val="18"/>
                <w:szCs w:val="18"/>
                <w:lang w:val="ro-RO"/>
              </w:rPr>
            </w:pPr>
          </w:p>
        </w:tc>
        <w:tc>
          <w:tcPr>
            <w:tcW w:w="853" w:type="dxa"/>
            <w:tcBorders>
              <w:top w:val="nil"/>
              <w:left w:val="nil"/>
              <w:bottom w:val="single" w:sz="4" w:space="0" w:color="auto"/>
              <w:right w:val="single" w:sz="4" w:space="0" w:color="auto"/>
            </w:tcBorders>
            <w:shd w:val="clear" w:color="000000" w:fill="FFFFFF"/>
            <w:vAlign w:val="center"/>
            <w:hideMark/>
          </w:tcPr>
          <w:p w14:paraId="4CA1E2BC"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Executat</w:t>
            </w:r>
          </w:p>
        </w:tc>
        <w:tc>
          <w:tcPr>
            <w:tcW w:w="914" w:type="dxa"/>
            <w:tcBorders>
              <w:top w:val="nil"/>
              <w:left w:val="nil"/>
              <w:bottom w:val="single" w:sz="4" w:space="0" w:color="auto"/>
              <w:right w:val="single" w:sz="4" w:space="0" w:color="auto"/>
            </w:tcBorders>
            <w:shd w:val="clear" w:color="auto" w:fill="auto"/>
            <w:vAlign w:val="center"/>
            <w:hideMark/>
          </w:tcPr>
          <w:p w14:paraId="79842035"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24" w:type="dxa"/>
            <w:tcBorders>
              <w:top w:val="nil"/>
              <w:left w:val="nil"/>
              <w:bottom w:val="single" w:sz="4" w:space="0" w:color="auto"/>
              <w:right w:val="single" w:sz="4" w:space="0" w:color="auto"/>
            </w:tcBorders>
            <w:shd w:val="clear" w:color="auto" w:fill="auto"/>
            <w:vAlign w:val="center"/>
            <w:hideMark/>
          </w:tcPr>
          <w:p w14:paraId="5CD49042"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Selectat spre auditare </w:t>
            </w:r>
          </w:p>
        </w:tc>
        <w:tc>
          <w:tcPr>
            <w:tcW w:w="853" w:type="dxa"/>
            <w:tcBorders>
              <w:top w:val="nil"/>
              <w:left w:val="nil"/>
              <w:bottom w:val="single" w:sz="4" w:space="0" w:color="auto"/>
              <w:right w:val="single" w:sz="4" w:space="0" w:color="auto"/>
            </w:tcBorders>
            <w:shd w:val="clear" w:color="000000" w:fill="FFFFFF"/>
            <w:vAlign w:val="center"/>
            <w:hideMark/>
          </w:tcPr>
          <w:p w14:paraId="61AF0951"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Executat</w:t>
            </w:r>
          </w:p>
        </w:tc>
        <w:tc>
          <w:tcPr>
            <w:tcW w:w="990" w:type="dxa"/>
            <w:tcBorders>
              <w:top w:val="nil"/>
              <w:left w:val="nil"/>
              <w:bottom w:val="single" w:sz="4" w:space="0" w:color="auto"/>
              <w:right w:val="single" w:sz="4" w:space="0" w:color="auto"/>
            </w:tcBorders>
            <w:shd w:val="clear" w:color="auto" w:fill="auto"/>
            <w:vAlign w:val="center"/>
            <w:hideMark/>
          </w:tcPr>
          <w:p w14:paraId="1305645C"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24" w:type="dxa"/>
            <w:tcBorders>
              <w:top w:val="nil"/>
              <w:left w:val="nil"/>
              <w:bottom w:val="single" w:sz="4" w:space="0" w:color="auto"/>
              <w:right w:val="single" w:sz="4" w:space="0" w:color="auto"/>
            </w:tcBorders>
            <w:shd w:val="clear" w:color="auto" w:fill="auto"/>
            <w:vAlign w:val="center"/>
            <w:hideMark/>
          </w:tcPr>
          <w:p w14:paraId="50E7E188"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Selectat spre auditare </w:t>
            </w:r>
          </w:p>
        </w:tc>
        <w:tc>
          <w:tcPr>
            <w:tcW w:w="896" w:type="dxa"/>
            <w:tcBorders>
              <w:top w:val="nil"/>
              <w:left w:val="nil"/>
              <w:bottom w:val="single" w:sz="4" w:space="0" w:color="auto"/>
              <w:right w:val="single" w:sz="4" w:space="0" w:color="auto"/>
            </w:tcBorders>
            <w:shd w:val="clear" w:color="000000" w:fill="FFFFFF"/>
            <w:vAlign w:val="center"/>
            <w:hideMark/>
          </w:tcPr>
          <w:p w14:paraId="6AC3FC84"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Executat</w:t>
            </w:r>
          </w:p>
        </w:tc>
        <w:tc>
          <w:tcPr>
            <w:tcW w:w="990" w:type="dxa"/>
            <w:tcBorders>
              <w:top w:val="nil"/>
              <w:left w:val="nil"/>
              <w:bottom w:val="single" w:sz="4" w:space="0" w:color="auto"/>
              <w:right w:val="single" w:sz="4" w:space="0" w:color="auto"/>
            </w:tcBorders>
            <w:shd w:val="clear" w:color="auto" w:fill="auto"/>
            <w:vAlign w:val="center"/>
            <w:hideMark/>
          </w:tcPr>
          <w:p w14:paraId="7BBB332F"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51" w:type="dxa"/>
            <w:tcBorders>
              <w:top w:val="nil"/>
              <w:left w:val="nil"/>
              <w:bottom w:val="single" w:sz="4" w:space="0" w:color="auto"/>
              <w:right w:val="single" w:sz="4" w:space="0" w:color="auto"/>
            </w:tcBorders>
            <w:shd w:val="clear" w:color="auto" w:fill="auto"/>
            <w:vAlign w:val="center"/>
            <w:hideMark/>
          </w:tcPr>
          <w:p w14:paraId="57A78D1B"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Selectat spre auditare </w:t>
            </w:r>
          </w:p>
        </w:tc>
        <w:tc>
          <w:tcPr>
            <w:tcW w:w="887" w:type="dxa"/>
            <w:tcBorders>
              <w:top w:val="nil"/>
              <w:left w:val="nil"/>
              <w:bottom w:val="single" w:sz="4" w:space="0" w:color="auto"/>
              <w:right w:val="single" w:sz="4" w:space="0" w:color="auto"/>
            </w:tcBorders>
            <w:shd w:val="clear" w:color="000000" w:fill="FFFFFF"/>
            <w:vAlign w:val="center"/>
            <w:hideMark/>
          </w:tcPr>
          <w:p w14:paraId="51DD288A"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Executat</w:t>
            </w:r>
          </w:p>
        </w:tc>
        <w:tc>
          <w:tcPr>
            <w:tcW w:w="990" w:type="dxa"/>
            <w:tcBorders>
              <w:top w:val="nil"/>
              <w:left w:val="nil"/>
              <w:bottom w:val="single" w:sz="4" w:space="0" w:color="auto"/>
              <w:right w:val="single" w:sz="4" w:space="0" w:color="auto"/>
            </w:tcBorders>
            <w:shd w:val="clear" w:color="auto" w:fill="auto"/>
            <w:vAlign w:val="center"/>
            <w:hideMark/>
          </w:tcPr>
          <w:p w14:paraId="2C6906E8"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Ponderea în total</w:t>
            </w:r>
          </w:p>
        </w:tc>
        <w:tc>
          <w:tcPr>
            <w:tcW w:w="836" w:type="dxa"/>
            <w:tcBorders>
              <w:top w:val="nil"/>
              <w:left w:val="nil"/>
              <w:bottom w:val="single" w:sz="4" w:space="0" w:color="auto"/>
              <w:right w:val="single" w:sz="4" w:space="0" w:color="auto"/>
            </w:tcBorders>
            <w:shd w:val="clear" w:color="auto" w:fill="auto"/>
            <w:vAlign w:val="center"/>
            <w:hideMark/>
          </w:tcPr>
          <w:p w14:paraId="543AC4C7" w14:textId="77777777" w:rsidR="00080324" w:rsidRPr="00650D66" w:rsidRDefault="00080324"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 Selectat spre auditare </w:t>
            </w:r>
          </w:p>
        </w:tc>
        <w:tc>
          <w:tcPr>
            <w:tcW w:w="1199" w:type="dxa"/>
            <w:vMerge/>
            <w:tcBorders>
              <w:left w:val="single" w:sz="4" w:space="0" w:color="auto"/>
              <w:bottom w:val="single" w:sz="4" w:space="0" w:color="000000"/>
              <w:right w:val="single" w:sz="4" w:space="0" w:color="auto"/>
            </w:tcBorders>
            <w:vAlign w:val="center"/>
            <w:hideMark/>
          </w:tcPr>
          <w:p w14:paraId="6D9BDF9B" w14:textId="77777777" w:rsidR="00080324" w:rsidRPr="00650D66" w:rsidRDefault="00080324" w:rsidP="0041076B">
            <w:pPr>
              <w:spacing w:after="0" w:line="240" w:lineRule="auto"/>
              <w:rPr>
                <w:rFonts w:ascii="Times New Roman" w:eastAsia="Times New Roman" w:hAnsi="Times New Roman" w:cs="Times New Roman"/>
                <w:b/>
                <w:bCs/>
                <w:color w:val="000000"/>
                <w:sz w:val="18"/>
                <w:szCs w:val="18"/>
                <w:lang w:val="ro-RO"/>
              </w:rPr>
            </w:pPr>
          </w:p>
        </w:tc>
      </w:tr>
      <w:tr w:rsidR="0041076B" w:rsidRPr="00650D66" w14:paraId="7679E403" w14:textId="77777777" w:rsidTr="00080324">
        <w:trPr>
          <w:trHeight w:val="228"/>
        </w:trPr>
        <w:tc>
          <w:tcPr>
            <w:tcW w:w="484" w:type="dxa"/>
            <w:vMerge/>
            <w:tcBorders>
              <w:top w:val="single" w:sz="4" w:space="0" w:color="auto"/>
              <w:left w:val="single" w:sz="4" w:space="0" w:color="auto"/>
              <w:bottom w:val="single" w:sz="4" w:space="0" w:color="000000"/>
              <w:right w:val="single" w:sz="4" w:space="0" w:color="auto"/>
            </w:tcBorders>
            <w:vAlign w:val="center"/>
            <w:hideMark/>
          </w:tcPr>
          <w:p w14:paraId="5921BC69" w14:textId="77777777" w:rsidR="0041076B" w:rsidRPr="00650D66" w:rsidRDefault="0041076B" w:rsidP="0041076B">
            <w:pPr>
              <w:spacing w:after="0" w:line="240" w:lineRule="auto"/>
              <w:rPr>
                <w:rFonts w:ascii="Times New Roman" w:eastAsia="Times New Roman" w:hAnsi="Times New Roman" w:cs="Times New Roman"/>
                <w:b/>
                <w:bCs/>
                <w:color w:val="000000"/>
                <w:sz w:val="18"/>
                <w:szCs w:val="18"/>
                <w:lang w:val="ro-RO"/>
              </w:rPr>
            </w:pPr>
          </w:p>
        </w:tc>
        <w:tc>
          <w:tcPr>
            <w:tcW w:w="2205" w:type="dxa"/>
            <w:tcBorders>
              <w:top w:val="nil"/>
              <w:left w:val="nil"/>
              <w:bottom w:val="single" w:sz="4" w:space="0" w:color="auto"/>
              <w:right w:val="single" w:sz="4" w:space="0" w:color="auto"/>
            </w:tcBorders>
            <w:shd w:val="clear" w:color="auto" w:fill="auto"/>
            <w:vAlign w:val="center"/>
            <w:hideMark/>
          </w:tcPr>
          <w:p w14:paraId="7E45DAB6"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w:t>
            </w:r>
          </w:p>
        </w:tc>
        <w:tc>
          <w:tcPr>
            <w:tcW w:w="853" w:type="dxa"/>
            <w:tcBorders>
              <w:top w:val="nil"/>
              <w:left w:val="nil"/>
              <w:bottom w:val="single" w:sz="4" w:space="0" w:color="auto"/>
              <w:right w:val="single" w:sz="4" w:space="0" w:color="auto"/>
            </w:tcBorders>
            <w:shd w:val="clear" w:color="000000" w:fill="FFFFFF"/>
            <w:vAlign w:val="center"/>
            <w:hideMark/>
          </w:tcPr>
          <w:p w14:paraId="58E47EC3"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2</w:t>
            </w:r>
          </w:p>
        </w:tc>
        <w:tc>
          <w:tcPr>
            <w:tcW w:w="914" w:type="dxa"/>
            <w:tcBorders>
              <w:top w:val="nil"/>
              <w:left w:val="nil"/>
              <w:bottom w:val="single" w:sz="4" w:space="0" w:color="auto"/>
              <w:right w:val="single" w:sz="4" w:space="0" w:color="auto"/>
            </w:tcBorders>
            <w:shd w:val="clear" w:color="auto" w:fill="auto"/>
            <w:vAlign w:val="center"/>
            <w:hideMark/>
          </w:tcPr>
          <w:p w14:paraId="50DFE86A"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3</w:t>
            </w:r>
          </w:p>
        </w:tc>
        <w:tc>
          <w:tcPr>
            <w:tcW w:w="824" w:type="dxa"/>
            <w:tcBorders>
              <w:top w:val="nil"/>
              <w:left w:val="nil"/>
              <w:bottom w:val="single" w:sz="4" w:space="0" w:color="auto"/>
              <w:right w:val="single" w:sz="4" w:space="0" w:color="auto"/>
            </w:tcBorders>
            <w:shd w:val="clear" w:color="auto" w:fill="auto"/>
            <w:vAlign w:val="center"/>
            <w:hideMark/>
          </w:tcPr>
          <w:p w14:paraId="38E401BA"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4</w:t>
            </w:r>
          </w:p>
        </w:tc>
        <w:tc>
          <w:tcPr>
            <w:tcW w:w="853" w:type="dxa"/>
            <w:tcBorders>
              <w:top w:val="nil"/>
              <w:left w:val="nil"/>
              <w:bottom w:val="single" w:sz="4" w:space="0" w:color="auto"/>
              <w:right w:val="single" w:sz="4" w:space="0" w:color="auto"/>
            </w:tcBorders>
            <w:shd w:val="clear" w:color="000000" w:fill="FFFFFF"/>
            <w:vAlign w:val="center"/>
            <w:hideMark/>
          </w:tcPr>
          <w:p w14:paraId="1E230088"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5</w:t>
            </w:r>
          </w:p>
        </w:tc>
        <w:tc>
          <w:tcPr>
            <w:tcW w:w="990" w:type="dxa"/>
            <w:tcBorders>
              <w:top w:val="nil"/>
              <w:left w:val="nil"/>
              <w:bottom w:val="single" w:sz="4" w:space="0" w:color="auto"/>
              <w:right w:val="single" w:sz="4" w:space="0" w:color="auto"/>
            </w:tcBorders>
            <w:shd w:val="clear" w:color="auto" w:fill="auto"/>
            <w:vAlign w:val="center"/>
            <w:hideMark/>
          </w:tcPr>
          <w:p w14:paraId="3FD83194"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6</w:t>
            </w:r>
          </w:p>
        </w:tc>
        <w:tc>
          <w:tcPr>
            <w:tcW w:w="824" w:type="dxa"/>
            <w:tcBorders>
              <w:top w:val="nil"/>
              <w:left w:val="nil"/>
              <w:bottom w:val="single" w:sz="4" w:space="0" w:color="auto"/>
              <w:right w:val="single" w:sz="4" w:space="0" w:color="auto"/>
            </w:tcBorders>
            <w:shd w:val="clear" w:color="auto" w:fill="auto"/>
            <w:vAlign w:val="center"/>
            <w:hideMark/>
          </w:tcPr>
          <w:p w14:paraId="63F2E23D"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7</w:t>
            </w:r>
          </w:p>
        </w:tc>
        <w:tc>
          <w:tcPr>
            <w:tcW w:w="896" w:type="dxa"/>
            <w:tcBorders>
              <w:top w:val="nil"/>
              <w:left w:val="nil"/>
              <w:bottom w:val="single" w:sz="4" w:space="0" w:color="auto"/>
              <w:right w:val="single" w:sz="4" w:space="0" w:color="auto"/>
            </w:tcBorders>
            <w:shd w:val="clear" w:color="000000" w:fill="FFFFFF"/>
            <w:vAlign w:val="center"/>
            <w:hideMark/>
          </w:tcPr>
          <w:p w14:paraId="77DE3871"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8</w:t>
            </w:r>
          </w:p>
        </w:tc>
        <w:tc>
          <w:tcPr>
            <w:tcW w:w="990" w:type="dxa"/>
            <w:tcBorders>
              <w:top w:val="nil"/>
              <w:left w:val="nil"/>
              <w:bottom w:val="single" w:sz="4" w:space="0" w:color="auto"/>
              <w:right w:val="single" w:sz="4" w:space="0" w:color="auto"/>
            </w:tcBorders>
            <w:shd w:val="clear" w:color="auto" w:fill="auto"/>
            <w:vAlign w:val="center"/>
            <w:hideMark/>
          </w:tcPr>
          <w:p w14:paraId="232831AD"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9</w:t>
            </w:r>
          </w:p>
        </w:tc>
        <w:tc>
          <w:tcPr>
            <w:tcW w:w="851" w:type="dxa"/>
            <w:tcBorders>
              <w:top w:val="nil"/>
              <w:left w:val="nil"/>
              <w:bottom w:val="single" w:sz="4" w:space="0" w:color="auto"/>
              <w:right w:val="single" w:sz="4" w:space="0" w:color="auto"/>
            </w:tcBorders>
            <w:shd w:val="clear" w:color="auto" w:fill="auto"/>
            <w:vAlign w:val="center"/>
            <w:hideMark/>
          </w:tcPr>
          <w:p w14:paraId="58067F9B"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10</w:t>
            </w:r>
          </w:p>
        </w:tc>
        <w:tc>
          <w:tcPr>
            <w:tcW w:w="887" w:type="dxa"/>
            <w:tcBorders>
              <w:top w:val="nil"/>
              <w:left w:val="nil"/>
              <w:bottom w:val="single" w:sz="4" w:space="0" w:color="auto"/>
              <w:right w:val="single" w:sz="4" w:space="0" w:color="auto"/>
            </w:tcBorders>
            <w:shd w:val="clear" w:color="000000" w:fill="FFFFFF"/>
            <w:vAlign w:val="center"/>
            <w:hideMark/>
          </w:tcPr>
          <w:p w14:paraId="0C5A3B46"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11</w:t>
            </w:r>
          </w:p>
        </w:tc>
        <w:tc>
          <w:tcPr>
            <w:tcW w:w="990" w:type="dxa"/>
            <w:tcBorders>
              <w:top w:val="nil"/>
              <w:left w:val="nil"/>
              <w:bottom w:val="single" w:sz="4" w:space="0" w:color="auto"/>
              <w:right w:val="single" w:sz="4" w:space="0" w:color="auto"/>
            </w:tcBorders>
            <w:shd w:val="clear" w:color="auto" w:fill="auto"/>
            <w:vAlign w:val="center"/>
            <w:hideMark/>
          </w:tcPr>
          <w:p w14:paraId="7CA0975C"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12</w:t>
            </w:r>
          </w:p>
        </w:tc>
        <w:tc>
          <w:tcPr>
            <w:tcW w:w="836" w:type="dxa"/>
            <w:tcBorders>
              <w:top w:val="nil"/>
              <w:left w:val="nil"/>
              <w:bottom w:val="single" w:sz="4" w:space="0" w:color="auto"/>
              <w:right w:val="single" w:sz="4" w:space="0" w:color="auto"/>
            </w:tcBorders>
            <w:shd w:val="clear" w:color="auto" w:fill="auto"/>
            <w:vAlign w:val="center"/>
            <w:hideMark/>
          </w:tcPr>
          <w:p w14:paraId="37DBA7B2"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13</w:t>
            </w:r>
          </w:p>
        </w:tc>
        <w:tc>
          <w:tcPr>
            <w:tcW w:w="1199" w:type="dxa"/>
            <w:tcBorders>
              <w:top w:val="nil"/>
              <w:left w:val="nil"/>
              <w:bottom w:val="single" w:sz="4" w:space="0" w:color="auto"/>
              <w:right w:val="single" w:sz="4" w:space="0" w:color="auto"/>
            </w:tcBorders>
            <w:shd w:val="clear" w:color="000000" w:fill="FFFFFF"/>
            <w:vAlign w:val="center"/>
            <w:hideMark/>
          </w:tcPr>
          <w:p w14:paraId="00BD3A80" w14:textId="77777777" w:rsidR="0041076B" w:rsidRPr="00650D66" w:rsidRDefault="0041076B" w:rsidP="0041076B">
            <w:pPr>
              <w:spacing w:after="0" w:line="240" w:lineRule="auto"/>
              <w:jc w:val="center"/>
              <w:rPr>
                <w:rFonts w:ascii="Times New Roman" w:eastAsia="Times New Roman" w:hAnsi="Times New Roman" w:cs="Times New Roman"/>
                <w:i/>
                <w:iCs/>
                <w:color w:val="000000"/>
                <w:sz w:val="18"/>
                <w:szCs w:val="18"/>
                <w:lang w:val="ro-RO"/>
              </w:rPr>
            </w:pPr>
            <w:r w:rsidRPr="00650D66">
              <w:rPr>
                <w:rFonts w:ascii="Times New Roman" w:eastAsia="Times New Roman" w:hAnsi="Times New Roman" w:cs="Times New Roman"/>
                <w:i/>
                <w:iCs/>
                <w:color w:val="000000"/>
                <w:sz w:val="18"/>
                <w:szCs w:val="18"/>
                <w:lang w:val="ro-RO"/>
              </w:rPr>
              <w:t>14=11-2</w:t>
            </w:r>
          </w:p>
        </w:tc>
      </w:tr>
      <w:tr w:rsidR="0041076B" w:rsidRPr="00650D66" w14:paraId="3E2664BF" w14:textId="77777777" w:rsidTr="00080324">
        <w:trPr>
          <w:trHeight w:val="27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3D2D4B0A"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w:t>
            </w:r>
          </w:p>
        </w:tc>
        <w:tc>
          <w:tcPr>
            <w:tcW w:w="2205" w:type="dxa"/>
            <w:tcBorders>
              <w:top w:val="nil"/>
              <w:left w:val="nil"/>
              <w:bottom w:val="single" w:sz="4" w:space="0" w:color="auto"/>
              <w:right w:val="single" w:sz="4" w:space="0" w:color="auto"/>
            </w:tcBorders>
            <w:shd w:val="clear" w:color="auto" w:fill="auto"/>
            <w:vAlign w:val="center"/>
            <w:hideMark/>
          </w:tcPr>
          <w:p w14:paraId="0DA49F12" w14:textId="77777777" w:rsidR="0041076B" w:rsidRPr="00650D66" w:rsidRDefault="0041076B" w:rsidP="0041076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Tehnică de calcul</w:t>
            </w:r>
          </w:p>
        </w:tc>
        <w:tc>
          <w:tcPr>
            <w:tcW w:w="853" w:type="dxa"/>
            <w:tcBorders>
              <w:top w:val="nil"/>
              <w:left w:val="nil"/>
              <w:bottom w:val="single" w:sz="4" w:space="0" w:color="auto"/>
              <w:right w:val="single" w:sz="4" w:space="0" w:color="auto"/>
            </w:tcBorders>
            <w:shd w:val="clear" w:color="000000" w:fill="FFFFFF"/>
            <w:vAlign w:val="center"/>
            <w:hideMark/>
          </w:tcPr>
          <w:p w14:paraId="7F77203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3.661,9</w:t>
            </w:r>
          </w:p>
        </w:tc>
        <w:tc>
          <w:tcPr>
            <w:tcW w:w="914" w:type="dxa"/>
            <w:tcBorders>
              <w:top w:val="nil"/>
              <w:left w:val="nil"/>
              <w:bottom w:val="single" w:sz="4" w:space="0" w:color="auto"/>
              <w:right w:val="single" w:sz="4" w:space="0" w:color="auto"/>
            </w:tcBorders>
            <w:shd w:val="clear" w:color="000000" w:fill="FFFFFF"/>
            <w:vAlign w:val="center"/>
            <w:hideMark/>
          </w:tcPr>
          <w:p w14:paraId="181CFF42"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27%</w:t>
            </w:r>
          </w:p>
        </w:tc>
        <w:tc>
          <w:tcPr>
            <w:tcW w:w="824" w:type="dxa"/>
            <w:tcBorders>
              <w:top w:val="nil"/>
              <w:left w:val="nil"/>
              <w:bottom w:val="single" w:sz="4" w:space="0" w:color="auto"/>
              <w:right w:val="single" w:sz="4" w:space="0" w:color="auto"/>
            </w:tcBorders>
            <w:shd w:val="clear" w:color="auto" w:fill="auto"/>
            <w:noWrap/>
            <w:vAlign w:val="center"/>
            <w:hideMark/>
          </w:tcPr>
          <w:p w14:paraId="2B794FE2"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53" w:type="dxa"/>
            <w:tcBorders>
              <w:top w:val="nil"/>
              <w:left w:val="nil"/>
              <w:bottom w:val="single" w:sz="4" w:space="0" w:color="auto"/>
              <w:right w:val="single" w:sz="4" w:space="0" w:color="auto"/>
            </w:tcBorders>
            <w:shd w:val="clear" w:color="000000" w:fill="FFFFFF"/>
            <w:vAlign w:val="center"/>
            <w:hideMark/>
          </w:tcPr>
          <w:p w14:paraId="67FA60D3"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3.860,7</w:t>
            </w:r>
          </w:p>
        </w:tc>
        <w:tc>
          <w:tcPr>
            <w:tcW w:w="990" w:type="dxa"/>
            <w:tcBorders>
              <w:top w:val="nil"/>
              <w:left w:val="nil"/>
              <w:bottom w:val="single" w:sz="4" w:space="0" w:color="auto"/>
              <w:right w:val="single" w:sz="4" w:space="0" w:color="auto"/>
            </w:tcBorders>
            <w:shd w:val="clear" w:color="000000" w:fill="FFFFFF"/>
            <w:vAlign w:val="center"/>
            <w:hideMark/>
          </w:tcPr>
          <w:p w14:paraId="0B6162A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33%</w:t>
            </w:r>
          </w:p>
        </w:tc>
        <w:tc>
          <w:tcPr>
            <w:tcW w:w="824" w:type="dxa"/>
            <w:tcBorders>
              <w:top w:val="nil"/>
              <w:left w:val="nil"/>
              <w:bottom w:val="single" w:sz="4" w:space="0" w:color="auto"/>
              <w:right w:val="single" w:sz="4" w:space="0" w:color="auto"/>
            </w:tcBorders>
            <w:shd w:val="clear" w:color="auto" w:fill="auto"/>
            <w:noWrap/>
            <w:vAlign w:val="center"/>
            <w:hideMark/>
          </w:tcPr>
          <w:p w14:paraId="321399DC"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96" w:type="dxa"/>
            <w:tcBorders>
              <w:top w:val="nil"/>
              <w:left w:val="nil"/>
              <w:bottom w:val="single" w:sz="4" w:space="0" w:color="auto"/>
              <w:right w:val="single" w:sz="4" w:space="0" w:color="auto"/>
            </w:tcBorders>
            <w:shd w:val="clear" w:color="000000" w:fill="FFFFFF"/>
            <w:vAlign w:val="center"/>
            <w:hideMark/>
          </w:tcPr>
          <w:p w14:paraId="35024EE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3.128,9</w:t>
            </w:r>
          </w:p>
        </w:tc>
        <w:tc>
          <w:tcPr>
            <w:tcW w:w="990" w:type="dxa"/>
            <w:tcBorders>
              <w:top w:val="nil"/>
              <w:left w:val="nil"/>
              <w:bottom w:val="single" w:sz="4" w:space="0" w:color="auto"/>
              <w:right w:val="single" w:sz="4" w:space="0" w:color="auto"/>
            </w:tcBorders>
            <w:shd w:val="clear" w:color="000000" w:fill="FFFFFF"/>
            <w:vAlign w:val="center"/>
            <w:hideMark/>
          </w:tcPr>
          <w:p w14:paraId="349B01A3"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w:t>
            </w:r>
          </w:p>
        </w:tc>
        <w:tc>
          <w:tcPr>
            <w:tcW w:w="851" w:type="dxa"/>
            <w:tcBorders>
              <w:top w:val="nil"/>
              <w:left w:val="nil"/>
              <w:bottom w:val="single" w:sz="4" w:space="0" w:color="auto"/>
              <w:right w:val="single" w:sz="4" w:space="0" w:color="auto"/>
            </w:tcBorders>
            <w:shd w:val="clear" w:color="auto" w:fill="auto"/>
            <w:noWrap/>
            <w:vAlign w:val="center"/>
            <w:hideMark/>
          </w:tcPr>
          <w:p w14:paraId="399AA9C0"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87" w:type="dxa"/>
            <w:tcBorders>
              <w:top w:val="nil"/>
              <w:left w:val="nil"/>
              <w:bottom w:val="single" w:sz="4" w:space="0" w:color="auto"/>
              <w:right w:val="single" w:sz="4" w:space="0" w:color="auto"/>
            </w:tcBorders>
            <w:shd w:val="clear" w:color="000000" w:fill="FFFFFF"/>
            <w:vAlign w:val="center"/>
            <w:hideMark/>
          </w:tcPr>
          <w:p w14:paraId="7D6EF4ED"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7.801,3</w:t>
            </w:r>
          </w:p>
        </w:tc>
        <w:tc>
          <w:tcPr>
            <w:tcW w:w="990" w:type="dxa"/>
            <w:tcBorders>
              <w:top w:val="nil"/>
              <w:left w:val="nil"/>
              <w:bottom w:val="single" w:sz="4" w:space="0" w:color="auto"/>
              <w:right w:val="single" w:sz="4" w:space="0" w:color="auto"/>
            </w:tcBorders>
            <w:shd w:val="clear" w:color="000000" w:fill="FFFFFF"/>
            <w:vAlign w:val="center"/>
            <w:hideMark/>
          </w:tcPr>
          <w:p w14:paraId="24B7218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24%</w:t>
            </w:r>
          </w:p>
        </w:tc>
        <w:tc>
          <w:tcPr>
            <w:tcW w:w="836" w:type="dxa"/>
            <w:tcBorders>
              <w:top w:val="nil"/>
              <w:left w:val="nil"/>
              <w:bottom w:val="single" w:sz="4" w:space="0" w:color="auto"/>
              <w:right w:val="single" w:sz="4" w:space="0" w:color="auto"/>
            </w:tcBorders>
            <w:shd w:val="clear" w:color="auto" w:fill="auto"/>
            <w:noWrap/>
            <w:vAlign w:val="center"/>
            <w:hideMark/>
          </w:tcPr>
          <w:p w14:paraId="208F2F5C"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199" w:type="dxa"/>
            <w:tcBorders>
              <w:top w:val="nil"/>
              <w:left w:val="nil"/>
              <w:bottom w:val="single" w:sz="4" w:space="0" w:color="auto"/>
              <w:right w:val="single" w:sz="4" w:space="0" w:color="auto"/>
            </w:tcBorders>
            <w:shd w:val="clear" w:color="auto" w:fill="auto"/>
            <w:vAlign w:val="center"/>
            <w:hideMark/>
          </w:tcPr>
          <w:p w14:paraId="3018B00B"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4.139,4</w:t>
            </w:r>
          </w:p>
        </w:tc>
      </w:tr>
      <w:tr w:rsidR="0041076B" w:rsidRPr="00650D66" w14:paraId="1C7469C4" w14:textId="77777777" w:rsidTr="00080324">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61F3C98D"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w:t>
            </w:r>
          </w:p>
        </w:tc>
        <w:tc>
          <w:tcPr>
            <w:tcW w:w="2205" w:type="dxa"/>
            <w:tcBorders>
              <w:top w:val="nil"/>
              <w:left w:val="nil"/>
              <w:bottom w:val="single" w:sz="4" w:space="0" w:color="auto"/>
              <w:right w:val="single" w:sz="4" w:space="0" w:color="auto"/>
            </w:tcBorders>
            <w:shd w:val="clear" w:color="auto" w:fill="auto"/>
            <w:vAlign w:val="center"/>
            <w:hideMark/>
          </w:tcPr>
          <w:p w14:paraId="60882214" w14:textId="77777777" w:rsidR="0041076B" w:rsidRPr="00650D66" w:rsidRDefault="0041076B" w:rsidP="0041076B">
            <w:pPr>
              <w:spacing w:after="0" w:line="240" w:lineRule="auto"/>
              <w:rPr>
                <w:rFonts w:ascii="Times New Roman" w:eastAsia="Times New Roman" w:hAnsi="Times New Roman" w:cs="Times New Roman"/>
                <w:color w:val="000000"/>
                <w:sz w:val="18"/>
                <w:szCs w:val="18"/>
                <w:lang w:val="ro-RO"/>
              </w:rPr>
            </w:pPr>
            <w:r w:rsidRPr="003652D5">
              <w:rPr>
                <w:rFonts w:ascii="Times New Roman" w:eastAsia="Times New Roman" w:hAnsi="Times New Roman" w:cs="Times New Roman"/>
                <w:color w:val="000000"/>
                <w:sz w:val="18"/>
                <w:szCs w:val="18"/>
                <w:lang w:val="ro-RO"/>
              </w:rPr>
              <w:t>Produse programate</w:t>
            </w:r>
          </w:p>
        </w:tc>
        <w:tc>
          <w:tcPr>
            <w:tcW w:w="853" w:type="dxa"/>
            <w:tcBorders>
              <w:top w:val="nil"/>
              <w:left w:val="nil"/>
              <w:bottom w:val="single" w:sz="4" w:space="0" w:color="auto"/>
              <w:right w:val="single" w:sz="4" w:space="0" w:color="auto"/>
            </w:tcBorders>
            <w:shd w:val="clear" w:color="000000" w:fill="FFFFFF"/>
            <w:vAlign w:val="center"/>
            <w:hideMark/>
          </w:tcPr>
          <w:p w14:paraId="61903CC5"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6.249,4</w:t>
            </w:r>
          </w:p>
        </w:tc>
        <w:tc>
          <w:tcPr>
            <w:tcW w:w="914" w:type="dxa"/>
            <w:tcBorders>
              <w:top w:val="nil"/>
              <w:left w:val="nil"/>
              <w:bottom w:val="single" w:sz="4" w:space="0" w:color="auto"/>
              <w:right w:val="single" w:sz="4" w:space="0" w:color="auto"/>
            </w:tcBorders>
            <w:shd w:val="clear" w:color="000000" w:fill="FFFFFF"/>
            <w:vAlign w:val="center"/>
            <w:hideMark/>
          </w:tcPr>
          <w:p w14:paraId="757833CB"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45%</w:t>
            </w:r>
          </w:p>
        </w:tc>
        <w:tc>
          <w:tcPr>
            <w:tcW w:w="824" w:type="dxa"/>
            <w:tcBorders>
              <w:top w:val="nil"/>
              <w:left w:val="nil"/>
              <w:bottom w:val="single" w:sz="4" w:space="0" w:color="auto"/>
              <w:right w:val="single" w:sz="4" w:space="0" w:color="auto"/>
            </w:tcBorders>
            <w:shd w:val="clear" w:color="auto" w:fill="auto"/>
            <w:noWrap/>
            <w:vAlign w:val="center"/>
            <w:hideMark/>
          </w:tcPr>
          <w:p w14:paraId="1F67F7F9"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53" w:type="dxa"/>
            <w:tcBorders>
              <w:top w:val="nil"/>
              <w:left w:val="nil"/>
              <w:bottom w:val="single" w:sz="4" w:space="0" w:color="auto"/>
              <w:right w:val="single" w:sz="4" w:space="0" w:color="auto"/>
            </w:tcBorders>
            <w:shd w:val="clear" w:color="000000" w:fill="FFFFFF"/>
            <w:vAlign w:val="center"/>
            <w:hideMark/>
          </w:tcPr>
          <w:p w14:paraId="72A0BD6E"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2.066,1</w:t>
            </w:r>
          </w:p>
        </w:tc>
        <w:tc>
          <w:tcPr>
            <w:tcW w:w="990" w:type="dxa"/>
            <w:tcBorders>
              <w:top w:val="nil"/>
              <w:left w:val="nil"/>
              <w:bottom w:val="single" w:sz="4" w:space="0" w:color="auto"/>
              <w:right w:val="single" w:sz="4" w:space="0" w:color="auto"/>
            </w:tcBorders>
            <w:shd w:val="clear" w:color="000000" w:fill="FFFFFF"/>
            <w:vAlign w:val="center"/>
            <w:hideMark/>
          </w:tcPr>
          <w:p w14:paraId="1B902B16"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w:t>
            </w:r>
          </w:p>
        </w:tc>
        <w:tc>
          <w:tcPr>
            <w:tcW w:w="824" w:type="dxa"/>
            <w:tcBorders>
              <w:top w:val="nil"/>
              <w:left w:val="nil"/>
              <w:bottom w:val="single" w:sz="4" w:space="0" w:color="auto"/>
              <w:right w:val="single" w:sz="4" w:space="0" w:color="auto"/>
            </w:tcBorders>
            <w:shd w:val="clear" w:color="auto" w:fill="auto"/>
            <w:noWrap/>
            <w:vAlign w:val="center"/>
            <w:hideMark/>
          </w:tcPr>
          <w:p w14:paraId="04D1A3DE"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96" w:type="dxa"/>
            <w:tcBorders>
              <w:top w:val="nil"/>
              <w:left w:val="nil"/>
              <w:bottom w:val="single" w:sz="4" w:space="0" w:color="auto"/>
              <w:right w:val="single" w:sz="4" w:space="0" w:color="auto"/>
            </w:tcBorders>
            <w:shd w:val="clear" w:color="000000" w:fill="FFFFFF"/>
            <w:vAlign w:val="center"/>
            <w:hideMark/>
          </w:tcPr>
          <w:p w14:paraId="798829F3"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7.106,5</w:t>
            </w:r>
          </w:p>
        </w:tc>
        <w:tc>
          <w:tcPr>
            <w:tcW w:w="990" w:type="dxa"/>
            <w:tcBorders>
              <w:top w:val="nil"/>
              <w:left w:val="nil"/>
              <w:bottom w:val="single" w:sz="4" w:space="0" w:color="auto"/>
              <w:right w:val="single" w:sz="4" w:space="0" w:color="auto"/>
            </w:tcBorders>
            <w:shd w:val="clear" w:color="000000" w:fill="FFFFFF"/>
            <w:vAlign w:val="center"/>
            <w:hideMark/>
          </w:tcPr>
          <w:p w14:paraId="77BE5938"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35%</w:t>
            </w:r>
          </w:p>
        </w:tc>
        <w:tc>
          <w:tcPr>
            <w:tcW w:w="851" w:type="dxa"/>
            <w:tcBorders>
              <w:top w:val="nil"/>
              <w:left w:val="nil"/>
              <w:bottom w:val="single" w:sz="4" w:space="0" w:color="auto"/>
              <w:right w:val="single" w:sz="4" w:space="0" w:color="auto"/>
            </w:tcBorders>
            <w:shd w:val="clear" w:color="auto" w:fill="auto"/>
            <w:noWrap/>
            <w:vAlign w:val="center"/>
            <w:hideMark/>
          </w:tcPr>
          <w:p w14:paraId="5C71A29E"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87" w:type="dxa"/>
            <w:tcBorders>
              <w:top w:val="nil"/>
              <w:left w:val="nil"/>
              <w:bottom w:val="single" w:sz="4" w:space="0" w:color="auto"/>
              <w:right w:val="single" w:sz="4" w:space="0" w:color="auto"/>
            </w:tcBorders>
            <w:shd w:val="clear" w:color="000000" w:fill="FFFFFF"/>
            <w:vAlign w:val="center"/>
            <w:hideMark/>
          </w:tcPr>
          <w:p w14:paraId="0E78692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8.029,9</w:t>
            </w:r>
          </w:p>
        </w:tc>
        <w:tc>
          <w:tcPr>
            <w:tcW w:w="990" w:type="dxa"/>
            <w:tcBorders>
              <w:top w:val="nil"/>
              <w:left w:val="nil"/>
              <w:bottom w:val="single" w:sz="4" w:space="0" w:color="auto"/>
              <w:right w:val="single" w:sz="4" w:space="0" w:color="auto"/>
            </w:tcBorders>
            <w:shd w:val="clear" w:color="000000" w:fill="FFFFFF"/>
            <w:vAlign w:val="center"/>
            <w:hideMark/>
          </w:tcPr>
          <w:p w14:paraId="3C67E520"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25%</w:t>
            </w:r>
          </w:p>
        </w:tc>
        <w:tc>
          <w:tcPr>
            <w:tcW w:w="836" w:type="dxa"/>
            <w:tcBorders>
              <w:top w:val="nil"/>
              <w:left w:val="nil"/>
              <w:bottom w:val="single" w:sz="4" w:space="0" w:color="auto"/>
              <w:right w:val="single" w:sz="4" w:space="0" w:color="auto"/>
            </w:tcBorders>
            <w:shd w:val="clear" w:color="auto" w:fill="auto"/>
            <w:noWrap/>
            <w:vAlign w:val="center"/>
            <w:hideMark/>
          </w:tcPr>
          <w:p w14:paraId="78CDC72D"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199" w:type="dxa"/>
            <w:tcBorders>
              <w:top w:val="nil"/>
              <w:left w:val="nil"/>
              <w:bottom w:val="single" w:sz="4" w:space="0" w:color="auto"/>
              <w:right w:val="single" w:sz="4" w:space="0" w:color="auto"/>
            </w:tcBorders>
            <w:shd w:val="clear" w:color="auto" w:fill="auto"/>
            <w:vAlign w:val="center"/>
            <w:hideMark/>
          </w:tcPr>
          <w:p w14:paraId="095EFF4A"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1.780,5</w:t>
            </w:r>
          </w:p>
        </w:tc>
      </w:tr>
      <w:tr w:rsidR="0041076B" w:rsidRPr="00650D66" w14:paraId="01A1798A" w14:textId="77777777" w:rsidTr="00080324">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390A3A4D"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3</w:t>
            </w:r>
          </w:p>
        </w:tc>
        <w:tc>
          <w:tcPr>
            <w:tcW w:w="2205" w:type="dxa"/>
            <w:tcBorders>
              <w:top w:val="nil"/>
              <w:left w:val="nil"/>
              <w:bottom w:val="single" w:sz="4" w:space="0" w:color="auto"/>
              <w:right w:val="single" w:sz="4" w:space="0" w:color="auto"/>
            </w:tcBorders>
            <w:shd w:val="clear" w:color="auto" w:fill="auto"/>
            <w:vAlign w:val="center"/>
            <w:hideMark/>
          </w:tcPr>
          <w:p w14:paraId="586B7B5B" w14:textId="77777777" w:rsidR="0041076B" w:rsidRPr="00650D66" w:rsidRDefault="0041076B" w:rsidP="0041076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Utilaj și echipament</w:t>
            </w:r>
          </w:p>
        </w:tc>
        <w:tc>
          <w:tcPr>
            <w:tcW w:w="853" w:type="dxa"/>
            <w:tcBorders>
              <w:top w:val="nil"/>
              <w:left w:val="nil"/>
              <w:bottom w:val="single" w:sz="4" w:space="0" w:color="auto"/>
              <w:right w:val="single" w:sz="4" w:space="0" w:color="auto"/>
            </w:tcBorders>
            <w:shd w:val="clear" w:color="000000" w:fill="FFFFFF"/>
            <w:vAlign w:val="center"/>
            <w:hideMark/>
          </w:tcPr>
          <w:p w14:paraId="2E6834AA"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152,0</w:t>
            </w:r>
          </w:p>
        </w:tc>
        <w:tc>
          <w:tcPr>
            <w:tcW w:w="914" w:type="dxa"/>
            <w:tcBorders>
              <w:top w:val="nil"/>
              <w:left w:val="nil"/>
              <w:bottom w:val="single" w:sz="4" w:space="0" w:color="auto"/>
              <w:right w:val="single" w:sz="4" w:space="0" w:color="auto"/>
            </w:tcBorders>
            <w:shd w:val="clear" w:color="000000" w:fill="FFFFFF"/>
            <w:vAlign w:val="center"/>
            <w:hideMark/>
          </w:tcPr>
          <w:p w14:paraId="6EB93918"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24" w:type="dxa"/>
            <w:tcBorders>
              <w:top w:val="nil"/>
              <w:left w:val="nil"/>
              <w:bottom w:val="single" w:sz="4" w:space="0" w:color="auto"/>
              <w:right w:val="single" w:sz="4" w:space="0" w:color="auto"/>
            </w:tcBorders>
            <w:shd w:val="clear" w:color="auto" w:fill="auto"/>
            <w:noWrap/>
            <w:vAlign w:val="center"/>
            <w:hideMark/>
          </w:tcPr>
          <w:p w14:paraId="52D037AB"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53" w:type="dxa"/>
            <w:tcBorders>
              <w:top w:val="nil"/>
              <w:left w:val="nil"/>
              <w:bottom w:val="single" w:sz="4" w:space="0" w:color="auto"/>
              <w:right w:val="single" w:sz="4" w:space="0" w:color="auto"/>
            </w:tcBorders>
            <w:shd w:val="clear" w:color="000000" w:fill="FFFFFF"/>
            <w:vAlign w:val="center"/>
            <w:hideMark/>
          </w:tcPr>
          <w:p w14:paraId="18F46EF8"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50,6</w:t>
            </w:r>
          </w:p>
        </w:tc>
        <w:tc>
          <w:tcPr>
            <w:tcW w:w="990" w:type="dxa"/>
            <w:tcBorders>
              <w:top w:val="nil"/>
              <w:left w:val="nil"/>
              <w:bottom w:val="single" w:sz="4" w:space="0" w:color="auto"/>
              <w:right w:val="single" w:sz="4" w:space="0" w:color="auto"/>
            </w:tcBorders>
            <w:shd w:val="clear" w:color="000000" w:fill="FFFFFF"/>
            <w:vAlign w:val="center"/>
            <w:hideMark/>
          </w:tcPr>
          <w:p w14:paraId="7451DD62"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24" w:type="dxa"/>
            <w:tcBorders>
              <w:top w:val="nil"/>
              <w:left w:val="nil"/>
              <w:bottom w:val="single" w:sz="4" w:space="0" w:color="auto"/>
              <w:right w:val="single" w:sz="4" w:space="0" w:color="auto"/>
            </w:tcBorders>
            <w:shd w:val="clear" w:color="auto" w:fill="auto"/>
            <w:noWrap/>
            <w:vAlign w:val="center"/>
            <w:hideMark/>
          </w:tcPr>
          <w:p w14:paraId="03A6E8C6"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96" w:type="dxa"/>
            <w:tcBorders>
              <w:top w:val="nil"/>
              <w:left w:val="nil"/>
              <w:bottom w:val="single" w:sz="4" w:space="0" w:color="auto"/>
              <w:right w:val="single" w:sz="4" w:space="0" w:color="auto"/>
            </w:tcBorders>
            <w:shd w:val="clear" w:color="000000" w:fill="FFFFFF"/>
            <w:vAlign w:val="center"/>
            <w:hideMark/>
          </w:tcPr>
          <w:p w14:paraId="353CA442"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37,5</w:t>
            </w:r>
          </w:p>
        </w:tc>
        <w:tc>
          <w:tcPr>
            <w:tcW w:w="990" w:type="dxa"/>
            <w:tcBorders>
              <w:top w:val="nil"/>
              <w:left w:val="nil"/>
              <w:bottom w:val="single" w:sz="4" w:space="0" w:color="auto"/>
              <w:right w:val="single" w:sz="4" w:space="0" w:color="auto"/>
            </w:tcBorders>
            <w:shd w:val="clear" w:color="000000" w:fill="FFFFFF"/>
            <w:vAlign w:val="center"/>
            <w:hideMark/>
          </w:tcPr>
          <w:p w14:paraId="727657E2"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1" w:type="dxa"/>
            <w:tcBorders>
              <w:top w:val="nil"/>
              <w:left w:val="nil"/>
              <w:bottom w:val="single" w:sz="4" w:space="0" w:color="auto"/>
              <w:right w:val="single" w:sz="4" w:space="0" w:color="auto"/>
            </w:tcBorders>
            <w:shd w:val="clear" w:color="auto" w:fill="auto"/>
            <w:noWrap/>
            <w:vAlign w:val="center"/>
            <w:hideMark/>
          </w:tcPr>
          <w:p w14:paraId="4116661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87" w:type="dxa"/>
            <w:tcBorders>
              <w:top w:val="nil"/>
              <w:left w:val="nil"/>
              <w:bottom w:val="single" w:sz="4" w:space="0" w:color="auto"/>
              <w:right w:val="single" w:sz="4" w:space="0" w:color="auto"/>
            </w:tcBorders>
            <w:shd w:val="clear" w:color="000000" w:fill="FFFFFF"/>
            <w:vAlign w:val="center"/>
            <w:hideMark/>
          </w:tcPr>
          <w:p w14:paraId="13589831"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512,2</w:t>
            </w:r>
          </w:p>
        </w:tc>
        <w:tc>
          <w:tcPr>
            <w:tcW w:w="990" w:type="dxa"/>
            <w:tcBorders>
              <w:top w:val="nil"/>
              <w:left w:val="nil"/>
              <w:bottom w:val="single" w:sz="4" w:space="0" w:color="auto"/>
              <w:right w:val="single" w:sz="4" w:space="0" w:color="auto"/>
            </w:tcBorders>
            <w:shd w:val="clear" w:color="000000" w:fill="FFFFFF"/>
            <w:vAlign w:val="center"/>
            <w:hideMark/>
          </w:tcPr>
          <w:p w14:paraId="48D35CFA"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36" w:type="dxa"/>
            <w:tcBorders>
              <w:top w:val="nil"/>
              <w:left w:val="nil"/>
              <w:bottom w:val="single" w:sz="4" w:space="0" w:color="auto"/>
              <w:right w:val="single" w:sz="4" w:space="0" w:color="auto"/>
            </w:tcBorders>
            <w:shd w:val="clear" w:color="auto" w:fill="auto"/>
            <w:noWrap/>
            <w:vAlign w:val="center"/>
            <w:hideMark/>
          </w:tcPr>
          <w:p w14:paraId="6FA2C01A"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199" w:type="dxa"/>
            <w:tcBorders>
              <w:top w:val="nil"/>
              <w:left w:val="nil"/>
              <w:bottom w:val="single" w:sz="4" w:space="0" w:color="auto"/>
              <w:right w:val="single" w:sz="4" w:space="0" w:color="auto"/>
            </w:tcBorders>
            <w:shd w:val="clear" w:color="auto" w:fill="auto"/>
            <w:vAlign w:val="center"/>
            <w:hideMark/>
          </w:tcPr>
          <w:p w14:paraId="51B0AB1E"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360,2</w:t>
            </w:r>
          </w:p>
        </w:tc>
      </w:tr>
      <w:tr w:rsidR="0041076B" w:rsidRPr="00650D66" w14:paraId="5D0CACD7" w14:textId="77777777" w:rsidTr="00080324">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AC05C3B"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4</w:t>
            </w:r>
          </w:p>
        </w:tc>
        <w:tc>
          <w:tcPr>
            <w:tcW w:w="2205" w:type="dxa"/>
            <w:tcBorders>
              <w:top w:val="nil"/>
              <w:left w:val="nil"/>
              <w:bottom w:val="single" w:sz="4" w:space="0" w:color="auto"/>
              <w:right w:val="single" w:sz="4" w:space="0" w:color="auto"/>
            </w:tcBorders>
            <w:shd w:val="clear" w:color="auto" w:fill="auto"/>
            <w:vAlign w:val="center"/>
            <w:hideMark/>
          </w:tcPr>
          <w:p w14:paraId="309F06A6" w14:textId="77777777" w:rsidR="0041076B" w:rsidRPr="00650D66" w:rsidRDefault="0041076B" w:rsidP="0041076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Mijloace fixe de gospodărie</w:t>
            </w:r>
          </w:p>
        </w:tc>
        <w:tc>
          <w:tcPr>
            <w:tcW w:w="853" w:type="dxa"/>
            <w:tcBorders>
              <w:top w:val="nil"/>
              <w:left w:val="nil"/>
              <w:bottom w:val="single" w:sz="4" w:space="0" w:color="auto"/>
              <w:right w:val="single" w:sz="4" w:space="0" w:color="auto"/>
            </w:tcBorders>
            <w:shd w:val="clear" w:color="000000" w:fill="FFFFFF"/>
            <w:vAlign w:val="center"/>
            <w:hideMark/>
          </w:tcPr>
          <w:p w14:paraId="5FCECAA8"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279,7</w:t>
            </w:r>
          </w:p>
        </w:tc>
        <w:tc>
          <w:tcPr>
            <w:tcW w:w="914" w:type="dxa"/>
            <w:tcBorders>
              <w:top w:val="nil"/>
              <w:left w:val="nil"/>
              <w:bottom w:val="single" w:sz="4" w:space="0" w:color="auto"/>
              <w:right w:val="single" w:sz="4" w:space="0" w:color="auto"/>
            </w:tcBorders>
            <w:shd w:val="clear" w:color="000000" w:fill="FFFFFF"/>
            <w:vAlign w:val="center"/>
            <w:hideMark/>
          </w:tcPr>
          <w:p w14:paraId="1B418801"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24" w:type="dxa"/>
            <w:tcBorders>
              <w:top w:val="nil"/>
              <w:left w:val="nil"/>
              <w:bottom w:val="single" w:sz="4" w:space="0" w:color="auto"/>
              <w:right w:val="single" w:sz="4" w:space="0" w:color="auto"/>
            </w:tcBorders>
            <w:shd w:val="clear" w:color="auto" w:fill="auto"/>
            <w:noWrap/>
            <w:vAlign w:val="center"/>
            <w:hideMark/>
          </w:tcPr>
          <w:p w14:paraId="3C0B5EFD"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53" w:type="dxa"/>
            <w:tcBorders>
              <w:top w:val="nil"/>
              <w:left w:val="nil"/>
              <w:bottom w:val="single" w:sz="4" w:space="0" w:color="auto"/>
              <w:right w:val="single" w:sz="4" w:space="0" w:color="auto"/>
            </w:tcBorders>
            <w:shd w:val="clear" w:color="000000" w:fill="FFFFFF"/>
            <w:vAlign w:val="center"/>
            <w:hideMark/>
          </w:tcPr>
          <w:p w14:paraId="1B47D479"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1.691,2</w:t>
            </w:r>
          </w:p>
        </w:tc>
        <w:tc>
          <w:tcPr>
            <w:tcW w:w="990" w:type="dxa"/>
            <w:tcBorders>
              <w:top w:val="nil"/>
              <w:left w:val="nil"/>
              <w:bottom w:val="single" w:sz="4" w:space="0" w:color="auto"/>
              <w:right w:val="single" w:sz="4" w:space="0" w:color="auto"/>
            </w:tcBorders>
            <w:shd w:val="clear" w:color="000000" w:fill="FFFFFF"/>
            <w:vAlign w:val="center"/>
            <w:hideMark/>
          </w:tcPr>
          <w:p w14:paraId="2DAEE127"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14%</w:t>
            </w:r>
          </w:p>
        </w:tc>
        <w:tc>
          <w:tcPr>
            <w:tcW w:w="824" w:type="dxa"/>
            <w:tcBorders>
              <w:top w:val="nil"/>
              <w:left w:val="nil"/>
              <w:bottom w:val="single" w:sz="4" w:space="0" w:color="auto"/>
              <w:right w:val="single" w:sz="4" w:space="0" w:color="auto"/>
            </w:tcBorders>
            <w:shd w:val="clear" w:color="auto" w:fill="auto"/>
            <w:noWrap/>
            <w:vAlign w:val="center"/>
            <w:hideMark/>
          </w:tcPr>
          <w:p w14:paraId="29005BAD"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96" w:type="dxa"/>
            <w:tcBorders>
              <w:top w:val="nil"/>
              <w:left w:val="nil"/>
              <w:bottom w:val="single" w:sz="4" w:space="0" w:color="auto"/>
              <w:right w:val="single" w:sz="4" w:space="0" w:color="auto"/>
            </w:tcBorders>
            <w:shd w:val="clear" w:color="000000" w:fill="FFFFFF"/>
            <w:vAlign w:val="center"/>
            <w:hideMark/>
          </w:tcPr>
          <w:p w14:paraId="0DC9D2C5"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304,8</w:t>
            </w:r>
          </w:p>
        </w:tc>
        <w:tc>
          <w:tcPr>
            <w:tcW w:w="990" w:type="dxa"/>
            <w:tcBorders>
              <w:top w:val="nil"/>
              <w:left w:val="nil"/>
              <w:bottom w:val="single" w:sz="4" w:space="0" w:color="auto"/>
              <w:right w:val="single" w:sz="4" w:space="0" w:color="auto"/>
            </w:tcBorders>
            <w:shd w:val="clear" w:color="000000" w:fill="FFFFFF"/>
            <w:vAlign w:val="center"/>
            <w:hideMark/>
          </w:tcPr>
          <w:p w14:paraId="12A777A8"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w:t>
            </w:r>
          </w:p>
        </w:tc>
        <w:tc>
          <w:tcPr>
            <w:tcW w:w="851" w:type="dxa"/>
            <w:tcBorders>
              <w:top w:val="nil"/>
              <w:left w:val="nil"/>
              <w:bottom w:val="single" w:sz="4" w:space="0" w:color="auto"/>
              <w:right w:val="single" w:sz="4" w:space="0" w:color="auto"/>
            </w:tcBorders>
            <w:shd w:val="clear" w:color="auto" w:fill="auto"/>
            <w:noWrap/>
            <w:vAlign w:val="center"/>
            <w:hideMark/>
          </w:tcPr>
          <w:p w14:paraId="3DA62253"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87" w:type="dxa"/>
            <w:tcBorders>
              <w:top w:val="nil"/>
              <w:left w:val="nil"/>
              <w:bottom w:val="single" w:sz="4" w:space="0" w:color="auto"/>
              <w:right w:val="single" w:sz="4" w:space="0" w:color="auto"/>
            </w:tcBorders>
            <w:shd w:val="clear" w:color="000000" w:fill="FFFFFF"/>
            <w:vAlign w:val="center"/>
            <w:hideMark/>
          </w:tcPr>
          <w:p w14:paraId="297FB022"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466,1</w:t>
            </w:r>
          </w:p>
        </w:tc>
        <w:tc>
          <w:tcPr>
            <w:tcW w:w="990" w:type="dxa"/>
            <w:tcBorders>
              <w:top w:val="nil"/>
              <w:left w:val="nil"/>
              <w:bottom w:val="single" w:sz="4" w:space="0" w:color="auto"/>
              <w:right w:val="single" w:sz="4" w:space="0" w:color="auto"/>
            </w:tcBorders>
            <w:shd w:val="clear" w:color="000000" w:fill="FFFFFF"/>
            <w:vAlign w:val="center"/>
            <w:hideMark/>
          </w:tcPr>
          <w:p w14:paraId="2294C3F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w:t>
            </w:r>
          </w:p>
        </w:tc>
        <w:tc>
          <w:tcPr>
            <w:tcW w:w="836" w:type="dxa"/>
            <w:tcBorders>
              <w:top w:val="nil"/>
              <w:left w:val="nil"/>
              <w:bottom w:val="single" w:sz="4" w:space="0" w:color="auto"/>
              <w:right w:val="single" w:sz="4" w:space="0" w:color="auto"/>
            </w:tcBorders>
            <w:shd w:val="clear" w:color="auto" w:fill="auto"/>
            <w:noWrap/>
            <w:vAlign w:val="center"/>
            <w:hideMark/>
          </w:tcPr>
          <w:p w14:paraId="402FD797"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14:paraId="066EA06A"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186,4</w:t>
            </w:r>
          </w:p>
        </w:tc>
      </w:tr>
      <w:tr w:rsidR="0041076B" w:rsidRPr="00650D66" w14:paraId="437DFA76" w14:textId="77777777" w:rsidTr="00DD57E8">
        <w:trPr>
          <w:trHeight w:val="437"/>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4A4FA5FF"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5</w:t>
            </w:r>
          </w:p>
        </w:tc>
        <w:tc>
          <w:tcPr>
            <w:tcW w:w="2205" w:type="dxa"/>
            <w:tcBorders>
              <w:top w:val="nil"/>
              <w:left w:val="nil"/>
              <w:bottom w:val="single" w:sz="4" w:space="0" w:color="auto"/>
              <w:right w:val="single" w:sz="4" w:space="0" w:color="auto"/>
            </w:tcBorders>
            <w:shd w:val="clear" w:color="auto" w:fill="auto"/>
            <w:vAlign w:val="center"/>
            <w:hideMark/>
          </w:tcPr>
          <w:p w14:paraId="6CA00512" w14:textId="77777777" w:rsidR="0041076B" w:rsidRPr="00650D66" w:rsidRDefault="0041076B" w:rsidP="0041076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Lucrări de reconstrucție, construcție</w:t>
            </w:r>
          </w:p>
        </w:tc>
        <w:tc>
          <w:tcPr>
            <w:tcW w:w="853" w:type="dxa"/>
            <w:tcBorders>
              <w:top w:val="nil"/>
              <w:left w:val="nil"/>
              <w:bottom w:val="single" w:sz="4" w:space="0" w:color="auto"/>
              <w:right w:val="single" w:sz="4" w:space="0" w:color="auto"/>
            </w:tcBorders>
            <w:shd w:val="clear" w:color="000000" w:fill="FFFFFF"/>
            <w:vAlign w:val="center"/>
            <w:hideMark/>
          </w:tcPr>
          <w:p w14:paraId="51EF70C9"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w:t>
            </w:r>
          </w:p>
        </w:tc>
        <w:tc>
          <w:tcPr>
            <w:tcW w:w="914" w:type="dxa"/>
            <w:tcBorders>
              <w:top w:val="nil"/>
              <w:left w:val="nil"/>
              <w:bottom w:val="single" w:sz="4" w:space="0" w:color="auto"/>
              <w:right w:val="single" w:sz="4" w:space="0" w:color="auto"/>
            </w:tcBorders>
            <w:shd w:val="clear" w:color="000000" w:fill="FFFFFF"/>
            <w:vAlign w:val="center"/>
            <w:hideMark/>
          </w:tcPr>
          <w:p w14:paraId="69C6A290"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24" w:type="dxa"/>
            <w:tcBorders>
              <w:top w:val="nil"/>
              <w:left w:val="nil"/>
              <w:bottom w:val="single" w:sz="4" w:space="0" w:color="auto"/>
              <w:right w:val="single" w:sz="4" w:space="0" w:color="auto"/>
            </w:tcBorders>
            <w:shd w:val="clear" w:color="auto" w:fill="auto"/>
            <w:noWrap/>
            <w:vAlign w:val="center"/>
            <w:hideMark/>
          </w:tcPr>
          <w:p w14:paraId="04575C76"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53" w:type="dxa"/>
            <w:tcBorders>
              <w:top w:val="nil"/>
              <w:left w:val="nil"/>
              <w:bottom w:val="single" w:sz="4" w:space="0" w:color="auto"/>
              <w:right w:val="single" w:sz="4" w:space="0" w:color="auto"/>
            </w:tcBorders>
            <w:shd w:val="clear" w:color="000000" w:fill="FFFFFF"/>
            <w:vAlign w:val="center"/>
            <w:hideMark/>
          </w:tcPr>
          <w:p w14:paraId="2682CECB"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w:t>
            </w:r>
          </w:p>
        </w:tc>
        <w:tc>
          <w:tcPr>
            <w:tcW w:w="990" w:type="dxa"/>
            <w:tcBorders>
              <w:top w:val="nil"/>
              <w:left w:val="nil"/>
              <w:bottom w:val="single" w:sz="4" w:space="0" w:color="auto"/>
              <w:right w:val="single" w:sz="4" w:space="0" w:color="auto"/>
            </w:tcBorders>
            <w:shd w:val="clear" w:color="000000" w:fill="FFFFFF"/>
            <w:vAlign w:val="center"/>
            <w:hideMark/>
          </w:tcPr>
          <w:p w14:paraId="034416DE"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24" w:type="dxa"/>
            <w:tcBorders>
              <w:top w:val="nil"/>
              <w:left w:val="nil"/>
              <w:bottom w:val="single" w:sz="4" w:space="0" w:color="auto"/>
              <w:right w:val="single" w:sz="4" w:space="0" w:color="auto"/>
            </w:tcBorders>
            <w:shd w:val="clear" w:color="auto" w:fill="auto"/>
            <w:noWrap/>
            <w:vAlign w:val="center"/>
            <w:hideMark/>
          </w:tcPr>
          <w:p w14:paraId="662E034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96" w:type="dxa"/>
            <w:tcBorders>
              <w:top w:val="nil"/>
              <w:left w:val="nil"/>
              <w:bottom w:val="single" w:sz="4" w:space="0" w:color="auto"/>
              <w:right w:val="single" w:sz="4" w:space="0" w:color="auto"/>
            </w:tcBorders>
            <w:shd w:val="clear" w:color="000000" w:fill="FFFFFF"/>
            <w:vAlign w:val="center"/>
            <w:hideMark/>
          </w:tcPr>
          <w:p w14:paraId="0E41E48B"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w:t>
            </w:r>
          </w:p>
        </w:tc>
        <w:tc>
          <w:tcPr>
            <w:tcW w:w="990" w:type="dxa"/>
            <w:tcBorders>
              <w:top w:val="nil"/>
              <w:left w:val="nil"/>
              <w:bottom w:val="single" w:sz="4" w:space="0" w:color="auto"/>
              <w:right w:val="single" w:sz="4" w:space="0" w:color="auto"/>
            </w:tcBorders>
            <w:shd w:val="clear" w:color="000000" w:fill="FFFFFF"/>
            <w:vAlign w:val="center"/>
            <w:hideMark/>
          </w:tcPr>
          <w:p w14:paraId="10E94FC3"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51" w:type="dxa"/>
            <w:tcBorders>
              <w:top w:val="nil"/>
              <w:left w:val="nil"/>
              <w:bottom w:val="single" w:sz="4" w:space="0" w:color="auto"/>
              <w:right w:val="single" w:sz="4" w:space="0" w:color="auto"/>
            </w:tcBorders>
            <w:shd w:val="clear" w:color="auto" w:fill="auto"/>
            <w:noWrap/>
            <w:vAlign w:val="center"/>
            <w:hideMark/>
          </w:tcPr>
          <w:p w14:paraId="61A5A635"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887" w:type="dxa"/>
            <w:tcBorders>
              <w:top w:val="nil"/>
              <w:left w:val="nil"/>
              <w:bottom w:val="single" w:sz="4" w:space="0" w:color="auto"/>
              <w:right w:val="single" w:sz="4" w:space="0" w:color="auto"/>
            </w:tcBorders>
            <w:shd w:val="clear" w:color="000000" w:fill="FFFFFF"/>
            <w:vAlign w:val="center"/>
            <w:hideMark/>
          </w:tcPr>
          <w:p w14:paraId="2AE62C34"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90" w:type="dxa"/>
            <w:tcBorders>
              <w:top w:val="nil"/>
              <w:left w:val="nil"/>
              <w:bottom w:val="single" w:sz="4" w:space="0" w:color="auto"/>
              <w:right w:val="single" w:sz="4" w:space="0" w:color="auto"/>
            </w:tcBorders>
            <w:shd w:val="clear" w:color="000000" w:fill="FFFFFF"/>
            <w:vAlign w:val="center"/>
            <w:hideMark/>
          </w:tcPr>
          <w:p w14:paraId="5B3A7E69"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w:t>
            </w:r>
          </w:p>
        </w:tc>
        <w:tc>
          <w:tcPr>
            <w:tcW w:w="836" w:type="dxa"/>
            <w:tcBorders>
              <w:top w:val="nil"/>
              <w:left w:val="nil"/>
              <w:bottom w:val="single" w:sz="4" w:space="0" w:color="auto"/>
              <w:right w:val="single" w:sz="4" w:space="0" w:color="auto"/>
            </w:tcBorders>
            <w:shd w:val="clear" w:color="auto" w:fill="auto"/>
            <w:noWrap/>
            <w:vAlign w:val="center"/>
            <w:hideMark/>
          </w:tcPr>
          <w:p w14:paraId="6E1072D6"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14:paraId="08125CC7"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0,0</w:t>
            </w:r>
          </w:p>
        </w:tc>
      </w:tr>
      <w:tr w:rsidR="0041076B" w:rsidRPr="00650D66" w14:paraId="63D31B56" w14:textId="77777777" w:rsidTr="00987715">
        <w:trPr>
          <w:trHeight w:val="421"/>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52FE553C"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6</w:t>
            </w:r>
          </w:p>
        </w:tc>
        <w:tc>
          <w:tcPr>
            <w:tcW w:w="2205" w:type="dxa"/>
            <w:tcBorders>
              <w:top w:val="nil"/>
              <w:left w:val="nil"/>
              <w:bottom w:val="single" w:sz="4" w:space="0" w:color="auto"/>
              <w:right w:val="single" w:sz="4" w:space="0" w:color="auto"/>
            </w:tcBorders>
            <w:shd w:val="clear" w:color="auto" w:fill="auto"/>
            <w:vAlign w:val="center"/>
            <w:hideMark/>
          </w:tcPr>
          <w:p w14:paraId="0218CCDF" w14:textId="77777777" w:rsidR="0041076B" w:rsidRPr="00650D66" w:rsidRDefault="0041076B" w:rsidP="0041076B">
            <w:pPr>
              <w:spacing w:after="0" w:line="240" w:lineRule="auto"/>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Alte bunuri, servicii și lucrări</w:t>
            </w:r>
          </w:p>
        </w:tc>
        <w:tc>
          <w:tcPr>
            <w:tcW w:w="853" w:type="dxa"/>
            <w:tcBorders>
              <w:top w:val="nil"/>
              <w:left w:val="nil"/>
              <w:bottom w:val="single" w:sz="4" w:space="0" w:color="auto"/>
              <w:right w:val="single" w:sz="4" w:space="0" w:color="auto"/>
            </w:tcBorders>
            <w:shd w:val="clear" w:color="000000" w:fill="FFFFFF"/>
            <w:vAlign w:val="center"/>
            <w:hideMark/>
          </w:tcPr>
          <w:p w14:paraId="0C7833F9"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3.444,0</w:t>
            </w:r>
          </w:p>
        </w:tc>
        <w:tc>
          <w:tcPr>
            <w:tcW w:w="914" w:type="dxa"/>
            <w:tcBorders>
              <w:top w:val="nil"/>
              <w:left w:val="nil"/>
              <w:bottom w:val="single" w:sz="4" w:space="0" w:color="auto"/>
              <w:right w:val="single" w:sz="4" w:space="0" w:color="auto"/>
            </w:tcBorders>
            <w:shd w:val="clear" w:color="000000" w:fill="FFFFFF"/>
            <w:vAlign w:val="center"/>
            <w:hideMark/>
          </w:tcPr>
          <w:p w14:paraId="7A6E8A55"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25%</w:t>
            </w:r>
          </w:p>
        </w:tc>
        <w:tc>
          <w:tcPr>
            <w:tcW w:w="824" w:type="dxa"/>
            <w:tcBorders>
              <w:top w:val="nil"/>
              <w:left w:val="nil"/>
              <w:bottom w:val="single" w:sz="4" w:space="0" w:color="auto"/>
              <w:right w:val="single" w:sz="4" w:space="0" w:color="auto"/>
            </w:tcBorders>
            <w:shd w:val="clear" w:color="auto" w:fill="auto"/>
            <w:noWrap/>
            <w:vAlign w:val="center"/>
            <w:hideMark/>
          </w:tcPr>
          <w:p w14:paraId="7DBDDC85"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53" w:type="dxa"/>
            <w:tcBorders>
              <w:top w:val="nil"/>
              <w:left w:val="nil"/>
              <w:bottom w:val="single" w:sz="4" w:space="0" w:color="auto"/>
              <w:right w:val="single" w:sz="4" w:space="0" w:color="auto"/>
            </w:tcBorders>
            <w:shd w:val="clear" w:color="000000" w:fill="FFFFFF"/>
            <w:vAlign w:val="center"/>
            <w:hideMark/>
          </w:tcPr>
          <w:p w14:paraId="77C1E2C2"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4.147,6</w:t>
            </w:r>
          </w:p>
        </w:tc>
        <w:tc>
          <w:tcPr>
            <w:tcW w:w="990" w:type="dxa"/>
            <w:tcBorders>
              <w:top w:val="nil"/>
              <w:left w:val="nil"/>
              <w:bottom w:val="single" w:sz="4" w:space="0" w:color="auto"/>
              <w:right w:val="single" w:sz="4" w:space="0" w:color="auto"/>
            </w:tcBorders>
            <w:shd w:val="clear" w:color="000000" w:fill="FFFFFF"/>
            <w:vAlign w:val="center"/>
            <w:hideMark/>
          </w:tcPr>
          <w:p w14:paraId="642523D6"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35%</w:t>
            </w:r>
          </w:p>
        </w:tc>
        <w:tc>
          <w:tcPr>
            <w:tcW w:w="824" w:type="dxa"/>
            <w:tcBorders>
              <w:top w:val="nil"/>
              <w:left w:val="nil"/>
              <w:bottom w:val="single" w:sz="4" w:space="0" w:color="auto"/>
              <w:right w:val="single" w:sz="4" w:space="0" w:color="auto"/>
            </w:tcBorders>
            <w:shd w:val="clear" w:color="auto" w:fill="auto"/>
            <w:noWrap/>
            <w:vAlign w:val="center"/>
            <w:hideMark/>
          </w:tcPr>
          <w:p w14:paraId="7FDCB037"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96" w:type="dxa"/>
            <w:tcBorders>
              <w:top w:val="nil"/>
              <w:left w:val="nil"/>
              <w:bottom w:val="single" w:sz="4" w:space="0" w:color="auto"/>
              <w:right w:val="single" w:sz="4" w:space="0" w:color="auto"/>
            </w:tcBorders>
            <w:shd w:val="clear" w:color="000000" w:fill="FFFFFF"/>
            <w:vAlign w:val="center"/>
            <w:hideMark/>
          </w:tcPr>
          <w:p w14:paraId="50612843"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9.742,5</w:t>
            </w:r>
          </w:p>
        </w:tc>
        <w:tc>
          <w:tcPr>
            <w:tcW w:w="990" w:type="dxa"/>
            <w:tcBorders>
              <w:top w:val="nil"/>
              <w:left w:val="nil"/>
              <w:bottom w:val="single" w:sz="4" w:space="0" w:color="auto"/>
              <w:right w:val="single" w:sz="4" w:space="0" w:color="auto"/>
            </w:tcBorders>
            <w:shd w:val="clear" w:color="000000" w:fill="FFFFFF"/>
            <w:vAlign w:val="center"/>
            <w:hideMark/>
          </w:tcPr>
          <w:p w14:paraId="3A527CF7"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w:t>
            </w:r>
          </w:p>
        </w:tc>
        <w:tc>
          <w:tcPr>
            <w:tcW w:w="851" w:type="dxa"/>
            <w:tcBorders>
              <w:top w:val="nil"/>
              <w:left w:val="nil"/>
              <w:bottom w:val="single" w:sz="4" w:space="0" w:color="auto"/>
              <w:right w:val="single" w:sz="4" w:space="0" w:color="auto"/>
            </w:tcBorders>
            <w:shd w:val="clear" w:color="auto" w:fill="auto"/>
            <w:noWrap/>
            <w:vAlign w:val="center"/>
            <w:hideMark/>
          </w:tcPr>
          <w:p w14:paraId="0990D56B"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887" w:type="dxa"/>
            <w:tcBorders>
              <w:top w:val="nil"/>
              <w:left w:val="nil"/>
              <w:bottom w:val="single" w:sz="4" w:space="0" w:color="auto"/>
              <w:right w:val="single" w:sz="4" w:space="0" w:color="auto"/>
            </w:tcBorders>
            <w:shd w:val="clear" w:color="000000" w:fill="FFFFFF"/>
            <w:vAlign w:val="center"/>
            <w:hideMark/>
          </w:tcPr>
          <w:p w14:paraId="14581A81"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15.466,7</w:t>
            </w:r>
          </w:p>
        </w:tc>
        <w:tc>
          <w:tcPr>
            <w:tcW w:w="990" w:type="dxa"/>
            <w:tcBorders>
              <w:top w:val="nil"/>
              <w:left w:val="nil"/>
              <w:bottom w:val="single" w:sz="4" w:space="0" w:color="auto"/>
              <w:right w:val="single" w:sz="4" w:space="0" w:color="auto"/>
            </w:tcBorders>
            <w:shd w:val="clear" w:color="000000" w:fill="FFFFFF"/>
            <w:vAlign w:val="center"/>
            <w:hideMark/>
          </w:tcPr>
          <w:p w14:paraId="12FD75EC"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48%</w:t>
            </w:r>
          </w:p>
        </w:tc>
        <w:tc>
          <w:tcPr>
            <w:tcW w:w="836" w:type="dxa"/>
            <w:tcBorders>
              <w:top w:val="nil"/>
              <w:left w:val="nil"/>
              <w:bottom w:val="single" w:sz="4" w:space="0" w:color="auto"/>
              <w:right w:val="single" w:sz="4" w:space="0" w:color="auto"/>
            </w:tcBorders>
            <w:shd w:val="clear" w:color="auto" w:fill="auto"/>
            <w:noWrap/>
            <w:vAlign w:val="center"/>
            <w:hideMark/>
          </w:tcPr>
          <w:p w14:paraId="20A194E9" w14:textId="77777777" w:rsidR="0041076B" w:rsidRPr="00650D66" w:rsidRDefault="0041076B" w:rsidP="0041076B">
            <w:pPr>
              <w:spacing w:after="0" w:line="240" w:lineRule="auto"/>
              <w:jc w:val="center"/>
              <w:rPr>
                <w:rFonts w:ascii="Times New Roman" w:eastAsia="Times New Roman" w:hAnsi="Times New Roman" w:cs="Times New Roman"/>
                <w:b/>
                <w:bCs/>
                <w:i/>
                <w:iCs/>
                <w:color w:val="000000"/>
                <w:sz w:val="18"/>
                <w:szCs w:val="18"/>
                <w:lang w:val="ro-RO"/>
              </w:rPr>
            </w:pPr>
            <w:r w:rsidRPr="00650D66">
              <w:rPr>
                <w:rFonts w:ascii="Times New Roman" w:eastAsia="Times New Roman" w:hAnsi="Times New Roman" w:cs="Times New Roman"/>
                <w:b/>
                <w:bCs/>
                <w:i/>
                <w:iCs/>
                <w:color w:val="000000"/>
                <w:sz w:val="18"/>
                <w:szCs w:val="18"/>
                <w:lang w:val="ro-RO"/>
              </w:rPr>
              <w:t xml:space="preserve"> V </w:t>
            </w:r>
          </w:p>
        </w:tc>
        <w:tc>
          <w:tcPr>
            <w:tcW w:w="1199" w:type="dxa"/>
            <w:tcBorders>
              <w:top w:val="nil"/>
              <w:left w:val="nil"/>
              <w:bottom w:val="single" w:sz="4" w:space="0" w:color="auto"/>
              <w:right w:val="single" w:sz="4" w:space="0" w:color="auto"/>
            </w:tcBorders>
            <w:shd w:val="clear" w:color="auto" w:fill="auto"/>
            <w:vAlign w:val="center"/>
            <w:hideMark/>
          </w:tcPr>
          <w:p w14:paraId="71DA6EA1"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12.022,7</w:t>
            </w:r>
          </w:p>
        </w:tc>
      </w:tr>
      <w:tr w:rsidR="0041076B" w:rsidRPr="00650D66" w14:paraId="301BF248" w14:textId="77777777" w:rsidTr="00080324">
        <w:trPr>
          <w:trHeight w:val="27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34CC8E08"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w:t>
            </w:r>
          </w:p>
        </w:tc>
        <w:tc>
          <w:tcPr>
            <w:tcW w:w="2205" w:type="dxa"/>
            <w:tcBorders>
              <w:top w:val="nil"/>
              <w:left w:val="nil"/>
              <w:bottom w:val="single" w:sz="4" w:space="0" w:color="auto"/>
              <w:right w:val="single" w:sz="4" w:space="0" w:color="auto"/>
            </w:tcBorders>
            <w:shd w:val="clear" w:color="auto" w:fill="auto"/>
            <w:vAlign w:val="center"/>
            <w:hideMark/>
          </w:tcPr>
          <w:p w14:paraId="26718FF1"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Total</w:t>
            </w:r>
          </w:p>
        </w:tc>
        <w:tc>
          <w:tcPr>
            <w:tcW w:w="853" w:type="dxa"/>
            <w:tcBorders>
              <w:top w:val="nil"/>
              <w:left w:val="nil"/>
              <w:bottom w:val="single" w:sz="4" w:space="0" w:color="auto"/>
              <w:right w:val="single" w:sz="4" w:space="0" w:color="auto"/>
            </w:tcBorders>
            <w:shd w:val="clear" w:color="000000" w:fill="FFFFFF"/>
            <w:vAlign w:val="center"/>
            <w:hideMark/>
          </w:tcPr>
          <w:p w14:paraId="6DABCB84"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13.786,9</w:t>
            </w:r>
          </w:p>
        </w:tc>
        <w:tc>
          <w:tcPr>
            <w:tcW w:w="914" w:type="dxa"/>
            <w:tcBorders>
              <w:top w:val="nil"/>
              <w:left w:val="nil"/>
              <w:bottom w:val="single" w:sz="4" w:space="0" w:color="auto"/>
              <w:right w:val="single" w:sz="4" w:space="0" w:color="auto"/>
            </w:tcBorders>
            <w:shd w:val="clear" w:color="000000" w:fill="FFFFFF"/>
            <w:vAlign w:val="center"/>
            <w:hideMark/>
          </w:tcPr>
          <w:p w14:paraId="72AB8548"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4" w:type="dxa"/>
            <w:tcBorders>
              <w:top w:val="nil"/>
              <w:left w:val="nil"/>
              <w:bottom w:val="single" w:sz="4" w:space="0" w:color="auto"/>
              <w:right w:val="single" w:sz="4" w:space="0" w:color="auto"/>
            </w:tcBorders>
            <w:shd w:val="clear" w:color="000000" w:fill="FFFFFF"/>
            <w:vAlign w:val="center"/>
            <w:hideMark/>
          </w:tcPr>
          <w:p w14:paraId="3924FE96"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97%</w:t>
            </w:r>
          </w:p>
        </w:tc>
        <w:tc>
          <w:tcPr>
            <w:tcW w:w="853" w:type="dxa"/>
            <w:tcBorders>
              <w:top w:val="nil"/>
              <w:left w:val="nil"/>
              <w:bottom w:val="single" w:sz="4" w:space="0" w:color="auto"/>
              <w:right w:val="single" w:sz="4" w:space="0" w:color="auto"/>
            </w:tcBorders>
            <w:shd w:val="clear" w:color="000000" w:fill="FFFFFF"/>
            <w:vAlign w:val="center"/>
            <w:hideMark/>
          </w:tcPr>
          <w:p w14:paraId="5B479BD4"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11.816,1</w:t>
            </w:r>
          </w:p>
        </w:tc>
        <w:tc>
          <w:tcPr>
            <w:tcW w:w="990" w:type="dxa"/>
            <w:tcBorders>
              <w:top w:val="nil"/>
              <w:left w:val="nil"/>
              <w:bottom w:val="single" w:sz="4" w:space="0" w:color="auto"/>
              <w:right w:val="single" w:sz="4" w:space="0" w:color="auto"/>
            </w:tcBorders>
            <w:shd w:val="clear" w:color="000000" w:fill="FFFFFF"/>
            <w:vAlign w:val="center"/>
            <w:hideMark/>
          </w:tcPr>
          <w:p w14:paraId="6531FDF6"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24" w:type="dxa"/>
            <w:tcBorders>
              <w:top w:val="nil"/>
              <w:left w:val="nil"/>
              <w:bottom w:val="single" w:sz="4" w:space="0" w:color="auto"/>
              <w:right w:val="single" w:sz="4" w:space="0" w:color="auto"/>
            </w:tcBorders>
            <w:shd w:val="clear" w:color="000000" w:fill="FFFFFF"/>
            <w:vAlign w:val="center"/>
            <w:hideMark/>
          </w:tcPr>
          <w:p w14:paraId="49E8C06D"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96" w:type="dxa"/>
            <w:tcBorders>
              <w:top w:val="nil"/>
              <w:left w:val="nil"/>
              <w:bottom w:val="single" w:sz="4" w:space="0" w:color="auto"/>
              <w:right w:val="single" w:sz="4" w:space="0" w:color="auto"/>
            </w:tcBorders>
            <w:shd w:val="clear" w:color="000000" w:fill="FFFFFF"/>
            <w:vAlign w:val="center"/>
            <w:hideMark/>
          </w:tcPr>
          <w:p w14:paraId="012AEB52"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20.320,3</w:t>
            </w:r>
          </w:p>
        </w:tc>
        <w:tc>
          <w:tcPr>
            <w:tcW w:w="990" w:type="dxa"/>
            <w:tcBorders>
              <w:top w:val="nil"/>
              <w:left w:val="nil"/>
              <w:bottom w:val="single" w:sz="4" w:space="0" w:color="auto"/>
              <w:right w:val="single" w:sz="4" w:space="0" w:color="auto"/>
            </w:tcBorders>
            <w:shd w:val="clear" w:color="000000" w:fill="FFFFFF"/>
            <w:vAlign w:val="center"/>
            <w:hideMark/>
          </w:tcPr>
          <w:p w14:paraId="66925478"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51" w:type="dxa"/>
            <w:tcBorders>
              <w:top w:val="nil"/>
              <w:left w:val="nil"/>
              <w:bottom w:val="single" w:sz="4" w:space="0" w:color="auto"/>
              <w:right w:val="single" w:sz="4" w:space="0" w:color="auto"/>
            </w:tcBorders>
            <w:shd w:val="clear" w:color="000000" w:fill="FFFFFF"/>
            <w:vAlign w:val="center"/>
            <w:hideMark/>
          </w:tcPr>
          <w:p w14:paraId="16BF7BD4"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98%</w:t>
            </w:r>
          </w:p>
        </w:tc>
        <w:tc>
          <w:tcPr>
            <w:tcW w:w="887" w:type="dxa"/>
            <w:tcBorders>
              <w:top w:val="nil"/>
              <w:left w:val="nil"/>
              <w:bottom w:val="single" w:sz="4" w:space="0" w:color="auto"/>
              <w:right w:val="single" w:sz="4" w:space="0" w:color="auto"/>
            </w:tcBorders>
            <w:shd w:val="clear" w:color="000000" w:fill="FFFFFF"/>
            <w:vAlign w:val="center"/>
            <w:hideMark/>
          </w:tcPr>
          <w:p w14:paraId="4AFE3919"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32.276,3</w:t>
            </w:r>
          </w:p>
        </w:tc>
        <w:tc>
          <w:tcPr>
            <w:tcW w:w="990" w:type="dxa"/>
            <w:tcBorders>
              <w:top w:val="nil"/>
              <w:left w:val="nil"/>
              <w:bottom w:val="single" w:sz="4" w:space="0" w:color="auto"/>
              <w:right w:val="single" w:sz="4" w:space="0" w:color="auto"/>
            </w:tcBorders>
            <w:shd w:val="clear" w:color="000000" w:fill="FFFFFF"/>
            <w:vAlign w:val="center"/>
            <w:hideMark/>
          </w:tcPr>
          <w:p w14:paraId="15E1600E"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100%</w:t>
            </w:r>
          </w:p>
        </w:tc>
        <w:tc>
          <w:tcPr>
            <w:tcW w:w="836" w:type="dxa"/>
            <w:tcBorders>
              <w:top w:val="nil"/>
              <w:left w:val="nil"/>
              <w:bottom w:val="single" w:sz="4" w:space="0" w:color="auto"/>
              <w:right w:val="single" w:sz="4" w:space="0" w:color="auto"/>
            </w:tcBorders>
            <w:shd w:val="clear" w:color="000000" w:fill="FFFFFF"/>
            <w:vAlign w:val="center"/>
            <w:hideMark/>
          </w:tcPr>
          <w:p w14:paraId="022EC91D"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97%</w:t>
            </w:r>
          </w:p>
        </w:tc>
        <w:tc>
          <w:tcPr>
            <w:tcW w:w="1199" w:type="dxa"/>
            <w:tcBorders>
              <w:top w:val="nil"/>
              <w:left w:val="nil"/>
              <w:bottom w:val="single" w:sz="4" w:space="0" w:color="auto"/>
              <w:right w:val="single" w:sz="4" w:space="0" w:color="auto"/>
            </w:tcBorders>
            <w:shd w:val="clear" w:color="auto" w:fill="auto"/>
            <w:vAlign w:val="center"/>
            <w:hideMark/>
          </w:tcPr>
          <w:p w14:paraId="57E610B6" w14:textId="77777777" w:rsidR="0041076B" w:rsidRPr="00650D66" w:rsidRDefault="0041076B" w:rsidP="0041076B">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18.489,4</w:t>
            </w:r>
          </w:p>
        </w:tc>
      </w:tr>
      <w:tr w:rsidR="0041076B" w:rsidRPr="00650D66" w14:paraId="322D7D45" w14:textId="77777777" w:rsidTr="00080324">
        <w:trPr>
          <w:trHeight w:val="276"/>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2A8EAC" w14:textId="77777777" w:rsidR="0041076B" w:rsidRPr="00650D66" w:rsidRDefault="0041076B" w:rsidP="0041076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Criteriu de selecție</w:t>
            </w:r>
          </w:p>
        </w:tc>
        <w:tc>
          <w:tcPr>
            <w:tcW w:w="853" w:type="dxa"/>
            <w:tcBorders>
              <w:top w:val="nil"/>
              <w:left w:val="nil"/>
              <w:bottom w:val="single" w:sz="4" w:space="0" w:color="auto"/>
              <w:right w:val="single" w:sz="4" w:space="0" w:color="auto"/>
            </w:tcBorders>
            <w:shd w:val="clear" w:color="auto" w:fill="auto"/>
            <w:vAlign w:val="center"/>
            <w:hideMark/>
          </w:tcPr>
          <w:p w14:paraId="6AB02024"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14" w:type="dxa"/>
            <w:tcBorders>
              <w:top w:val="nil"/>
              <w:left w:val="nil"/>
              <w:bottom w:val="single" w:sz="4" w:space="0" w:color="auto"/>
              <w:right w:val="single" w:sz="4" w:space="0" w:color="auto"/>
            </w:tcBorders>
            <w:shd w:val="clear" w:color="auto" w:fill="auto"/>
            <w:vAlign w:val="center"/>
            <w:hideMark/>
          </w:tcPr>
          <w:p w14:paraId="01CE061C"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24" w:type="dxa"/>
            <w:tcBorders>
              <w:top w:val="nil"/>
              <w:left w:val="nil"/>
              <w:bottom w:val="single" w:sz="4" w:space="0" w:color="auto"/>
              <w:right w:val="single" w:sz="4" w:space="0" w:color="auto"/>
            </w:tcBorders>
            <w:shd w:val="clear" w:color="auto" w:fill="auto"/>
            <w:noWrap/>
            <w:vAlign w:val="bottom"/>
            <w:hideMark/>
          </w:tcPr>
          <w:p w14:paraId="57CD0B68" w14:textId="77777777" w:rsidR="0041076B" w:rsidRPr="00650D66" w:rsidRDefault="0041076B" w:rsidP="0041076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&gt;25%</w:t>
            </w:r>
          </w:p>
        </w:tc>
        <w:tc>
          <w:tcPr>
            <w:tcW w:w="853" w:type="dxa"/>
            <w:tcBorders>
              <w:top w:val="nil"/>
              <w:left w:val="nil"/>
              <w:bottom w:val="single" w:sz="4" w:space="0" w:color="auto"/>
              <w:right w:val="single" w:sz="4" w:space="0" w:color="auto"/>
            </w:tcBorders>
            <w:shd w:val="clear" w:color="auto" w:fill="auto"/>
            <w:vAlign w:val="center"/>
            <w:hideMark/>
          </w:tcPr>
          <w:p w14:paraId="703B6734"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90" w:type="dxa"/>
            <w:tcBorders>
              <w:top w:val="nil"/>
              <w:left w:val="nil"/>
              <w:bottom w:val="single" w:sz="4" w:space="0" w:color="auto"/>
              <w:right w:val="single" w:sz="4" w:space="0" w:color="auto"/>
            </w:tcBorders>
            <w:shd w:val="clear" w:color="auto" w:fill="auto"/>
            <w:vAlign w:val="center"/>
            <w:hideMark/>
          </w:tcPr>
          <w:p w14:paraId="31F31F3E"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24" w:type="dxa"/>
            <w:tcBorders>
              <w:top w:val="nil"/>
              <w:left w:val="nil"/>
              <w:bottom w:val="single" w:sz="4" w:space="0" w:color="auto"/>
              <w:right w:val="single" w:sz="4" w:space="0" w:color="auto"/>
            </w:tcBorders>
            <w:shd w:val="clear" w:color="auto" w:fill="auto"/>
            <w:noWrap/>
            <w:vAlign w:val="bottom"/>
            <w:hideMark/>
          </w:tcPr>
          <w:p w14:paraId="57024FFC" w14:textId="77777777" w:rsidR="0041076B" w:rsidRPr="00650D66" w:rsidRDefault="0041076B" w:rsidP="0041076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&gt;14%</w:t>
            </w:r>
          </w:p>
        </w:tc>
        <w:tc>
          <w:tcPr>
            <w:tcW w:w="896" w:type="dxa"/>
            <w:tcBorders>
              <w:top w:val="nil"/>
              <w:left w:val="nil"/>
              <w:bottom w:val="single" w:sz="4" w:space="0" w:color="auto"/>
              <w:right w:val="single" w:sz="4" w:space="0" w:color="auto"/>
            </w:tcBorders>
            <w:shd w:val="clear" w:color="auto" w:fill="auto"/>
            <w:vAlign w:val="center"/>
            <w:hideMark/>
          </w:tcPr>
          <w:p w14:paraId="0EC354C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90" w:type="dxa"/>
            <w:tcBorders>
              <w:top w:val="nil"/>
              <w:left w:val="nil"/>
              <w:bottom w:val="single" w:sz="4" w:space="0" w:color="auto"/>
              <w:right w:val="single" w:sz="4" w:space="0" w:color="auto"/>
            </w:tcBorders>
            <w:shd w:val="clear" w:color="auto" w:fill="auto"/>
            <w:vAlign w:val="center"/>
            <w:hideMark/>
          </w:tcPr>
          <w:p w14:paraId="76995001"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51" w:type="dxa"/>
            <w:tcBorders>
              <w:top w:val="nil"/>
              <w:left w:val="nil"/>
              <w:bottom w:val="single" w:sz="4" w:space="0" w:color="auto"/>
              <w:right w:val="single" w:sz="4" w:space="0" w:color="auto"/>
            </w:tcBorders>
            <w:shd w:val="clear" w:color="auto" w:fill="auto"/>
            <w:noWrap/>
            <w:vAlign w:val="bottom"/>
            <w:hideMark/>
          </w:tcPr>
          <w:p w14:paraId="729F2927" w14:textId="77777777" w:rsidR="0041076B" w:rsidRPr="00650D66" w:rsidRDefault="0041076B" w:rsidP="0041076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&gt;15%</w:t>
            </w:r>
          </w:p>
        </w:tc>
        <w:tc>
          <w:tcPr>
            <w:tcW w:w="887" w:type="dxa"/>
            <w:tcBorders>
              <w:top w:val="nil"/>
              <w:left w:val="nil"/>
              <w:bottom w:val="single" w:sz="4" w:space="0" w:color="auto"/>
              <w:right w:val="single" w:sz="4" w:space="0" w:color="auto"/>
            </w:tcBorders>
            <w:shd w:val="clear" w:color="auto" w:fill="auto"/>
            <w:vAlign w:val="center"/>
            <w:hideMark/>
          </w:tcPr>
          <w:p w14:paraId="5EFAA17F"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990" w:type="dxa"/>
            <w:tcBorders>
              <w:top w:val="nil"/>
              <w:left w:val="nil"/>
              <w:bottom w:val="single" w:sz="4" w:space="0" w:color="auto"/>
              <w:right w:val="single" w:sz="4" w:space="0" w:color="auto"/>
            </w:tcBorders>
            <w:shd w:val="clear" w:color="auto" w:fill="auto"/>
            <w:vAlign w:val="center"/>
            <w:hideMark/>
          </w:tcPr>
          <w:p w14:paraId="5012675E"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c>
          <w:tcPr>
            <w:tcW w:w="836" w:type="dxa"/>
            <w:tcBorders>
              <w:top w:val="nil"/>
              <w:left w:val="nil"/>
              <w:bottom w:val="single" w:sz="4" w:space="0" w:color="auto"/>
              <w:right w:val="single" w:sz="4" w:space="0" w:color="auto"/>
            </w:tcBorders>
            <w:shd w:val="clear" w:color="auto" w:fill="auto"/>
            <w:noWrap/>
            <w:vAlign w:val="bottom"/>
            <w:hideMark/>
          </w:tcPr>
          <w:p w14:paraId="6D146001" w14:textId="77777777" w:rsidR="0041076B" w:rsidRPr="00650D66" w:rsidRDefault="0041076B" w:rsidP="0041076B">
            <w:pPr>
              <w:spacing w:after="0" w:line="240" w:lineRule="auto"/>
              <w:jc w:val="center"/>
              <w:rPr>
                <w:rFonts w:ascii="Times New Roman" w:eastAsia="Times New Roman" w:hAnsi="Times New Roman" w:cs="Times New Roman"/>
                <w:b/>
                <w:bCs/>
                <w:color w:val="FF0000"/>
                <w:sz w:val="18"/>
                <w:szCs w:val="18"/>
                <w:lang w:val="ro-RO"/>
              </w:rPr>
            </w:pPr>
            <w:r w:rsidRPr="00650D66">
              <w:rPr>
                <w:rFonts w:ascii="Times New Roman" w:eastAsia="Times New Roman" w:hAnsi="Times New Roman" w:cs="Times New Roman"/>
                <w:b/>
                <w:bCs/>
                <w:color w:val="FF0000"/>
                <w:sz w:val="18"/>
                <w:szCs w:val="18"/>
                <w:lang w:val="ro-RO"/>
              </w:rPr>
              <w:t>&gt;2%</w:t>
            </w:r>
          </w:p>
        </w:tc>
        <w:tc>
          <w:tcPr>
            <w:tcW w:w="1199" w:type="dxa"/>
            <w:tcBorders>
              <w:top w:val="nil"/>
              <w:left w:val="nil"/>
              <w:bottom w:val="single" w:sz="4" w:space="0" w:color="auto"/>
              <w:right w:val="single" w:sz="4" w:space="0" w:color="auto"/>
            </w:tcBorders>
            <w:shd w:val="clear" w:color="auto" w:fill="auto"/>
            <w:vAlign w:val="center"/>
            <w:hideMark/>
          </w:tcPr>
          <w:p w14:paraId="41B404EB" w14:textId="77777777" w:rsidR="0041076B" w:rsidRPr="00650D66" w:rsidRDefault="0041076B" w:rsidP="0041076B">
            <w:pPr>
              <w:spacing w:after="0" w:line="240" w:lineRule="auto"/>
              <w:jc w:val="center"/>
              <w:rPr>
                <w:rFonts w:ascii="Times New Roman" w:eastAsia="Times New Roman" w:hAnsi="Times New Roman" w:cs="Times New Roman"/>
                <w:color w:val="000000"/>
                <w:sz w:val="18"/>
                <w:szCs w:val="18"/>
                <w:lang w:val="ro-RO"/>
              </w:rPr>
            </w:pPr>
            <w:r w:rsidRPr="00650D66">
              <w:rPr>
                <w:rFonts w:ascii="Times New Roman" w:eastAsia="Times New Roman" w:hAnsi="Times New Roman" w:cs="Times New Roman"/>
                <w:color w:val="000000"/>
                <w:sz w:val="18"/>
                <w:szCs w:val="18"/>
                <w:lang w:val="ro-RO"/>
              </w:rPr>
              <w:t> </w:t>
            </w:r>
          </w:p>
        </w:tc>
      </w:tr>
    </w:tbl>
    <w:p w14:paraId="162B8800" w14:textId="77777777" w:rsidR="0041076B" w:rsidRPr="00650D66" w:rsidRDefault="0041076B" w:rsidP="0041076B">
      <w:pPr>
        <w:pStyle w:val="ListParagraph"/>
        <w:tabs>
          <w:tab w:val="left" w:pos="426"/>
        </w:tabs>
        <w:spacing w:line="276" w:lineRule="auto"/>
        <w:ind w:left="0"/>
        <w:jc w:val="right"/>
        <w:rPr>
          <w:rFonts w:ascii="Times New Roman" w:hAnsi="Times New Roman" w:cs="Times New Roman"/>
          <w:b/>
          <w:sz w:val="24"/>
          <w:szCs w:val="24"/>
          <w:lang w:val="ro-RO"/>
        </w:rPr>
      </w:pPr>
    </w:p>
    <w:p w14:paraId="1F0D29DD" w14:textId="77777777" w:rsidR="001512B2" w:rsidRPr="00650D66" w:rsidRDefault="001512B2" w:rsidP="0061045B">
      <w:pPr>
        <w:pStyle w:val="ListParagraph"/>
        <w:tabs>
          <w:tab w:val="left" w:pos="426"/>
        </w:tabs>
        <w:spacing w:line="276" w:lineRule="auto"/>
        <w:ind w:left="0"/>
        <w:jc w:val="right"/>
        <w:rPr>
          <w:rFonts w:ascii="Times New Roman" w:hAnsi="Times New Roman" w:cs="Times New Roman"/>
          <w:b/>
          <w:sz w:val="24"/>
          <w:szCs w:val="24"/>
          <w:lang w:val="ro-RO"/>
        </w:rPr>
      </w:pPr>
    </w:p>
    <w:p w14:paraId="570BD029" w14:textId="77777777" w:rsidR="001512B2" w:rsidRPr="00650D66" w:rsidRDefault="001512B2" w:rsidP="0061045B">
      <w:pPr>
        <w:pStyle w:val="ListParagraph"/>
        <w:tabs>
          <w:tab w:val="left" w:pos="426"/>
        </w:tabs>
        <w:spacing w:line="276" w:lineRule="auto"/>
        <w:ind w:left="0"/>
        <w:jc w:val="right"/>
        <w:rPr>
          <w:rFonts w:ascii="Times New Roman" w:hAnsi="Times New Roman" w:cs="Times New Roman"/>
          <w:b/>
          <w:sz w:val="24"/>
          <w:szCs w:val="24"/>
          <w:lang w:val="ro-RO"/>
        </w:rPr>
      </w:pPr>
    </w:p>
    <w:p w14:paraId="7B3D9CAB" w14:textId="77777777" w:rsidR="001512B2" w:rsidRPr="00650D66" w:rsidRDefault="001512B2" w:rsidP="0061045B">
      <w:pPr>
        <w:pStyle w:val="ListParagraph"/>
        <w:tabs>
          <w:tab w:val="left" w:pos="426"/>
        </w:tabs>
        <w:spacing w:line="276" w:lineRule="auto"/>
        <w:ind w:left="0"/>
        <w:jc w:val="right"/>
        <w:rPr>
          <w:rFonts w:ascii="Times New Roman" w:hAnsi="Times New Roman" w:cs="Times New Roman"/>
          <w:b/>
          <w:sz w:val="24"/>
          <w:szCs w:val="24"/>
          <w:lang w:val="ro-RO"/>
        </w:rPr>
      </w:pPr>
    </w:p>
    <w:p w14:paraId="05B03BEB" w14:textId="77777777" w:rsidR="00720D2A" w:rsidRPr="00650D66" w:rsidRDefault="00720D2A" w:rsidP="0061045B">
      <w:pPr>
        <w:pStyle w:val="ListParagraph"/>
        <w:tabs>
          <w:tab w:val="left" w:pos="426"/>
        </w:tabs>
        <w:spacing w:line="276" w:lineRule="auto"/>
        <w:ind w:left="0"/>
        <w:jc w:val="right"/>
        <w:rPr>
          <w:rFonts w:ascii="Times New Roman" w:hAnsi="Times New Roman" w:cs="Times New Roman"/>
          <w:b/>
          <w:sz w:val="24"/>
          <w:szCs w:val="24"/>
          <w:lang w:val="ro-RO"/>
        </w:rPr>
      </w:pPr>
    </w:p>
    <w:p w14:paraId="54F75A25" w14:textId="38D422B8" w:rsidR="00255C09" w:rsidRPr="00EA0E29" w:rsidRDefault="00010E32" w:rsidP="00EA0E29">
      <w:pPr>
        <w:jc w:val="center"/>
        <w:rPr>
          <w:rFonts w:ascii="Times New Roman" w:eastAsia="Times New Roman" w:hAnsi="Times New Roman" w:cs="Times New Roman"/>
          <w:b/>
          <w:sz w:val="24"/>
          <w:szCs w:val="24"/>
          <w:lang w:val="ro-RO"/>
        </w:rPr>
      </w:pPr>
      <w:r w:rsidRPr="00EA0E29">
        <w:rPr>
          <w:rFonts w:ascii="Times New Roman" w:eastAsia="Times New Roman" w:hAnsi="Times New Roman" w:cs="Times New Roman"/>
          <w:b/>
          <w:sz w:val="24"/>
          <w:szCs w:val="24"/>
          <w:lang w:val="ro-RO"/>
        </w:rPr>
        <w:lastRenderedPageBreak/>
        <w:t>Anexa nr.3</w:t>
      </w:r>
      <w:r w:rsidR="009B7BB6" w:rsidRPr="00EA0E29">
        <w:rPr>
          <w:rFonts w:ascii="Times New Roman" w:eastAsia="Times New Roman" w:hAnsi="Times New Roman" w:cs="Times New Roman"/>
          <w:b/>
          <w:sz w:val="24"/>
          <w:szCs w:val="24"/>
          <w:lang w:val="ro-RO"/>
        </w:rPr>
        <w:t xml:space="preserve"> </w:t>
      </w:r>
      <w:r w:rsidRPr="00EA0E29">
        <w:rPr>
          <w:rFonts w:ascii="Times New Roman" w:hAnsi="Times New Roman" w:cs="Times New Roman"/>
          <w:b/>
          <w:sz w:val="24"/>
          <w:szCs w:val="24"/>
          <w:lang w:val="ro-RO"/>
        </w:rPr>
        <w:t>Sinteza alocațiilor pentru investiții aprobate și executate în perioada 2019-2022 pentru</w:t>
      </w:r>
      <w:r w:rsidR="009B7BB6" w:rsidRPr="00EA0E29">
        <w:rPr>
          <w:rFonts w:ascii="Times New Roman" w:hAnsi="Times New Roman" w:cs="Times New Roman"/>
          <w:b/>
          <w:sz w:val="24"/>
          <w:szCs w:val="24"/>
          <w:lang w:val="ro-RO"/>
        </w:rPr>
        <w:t xml:space="preserve"> proiecte cu termenul de execuție mai mar</w:t>
      </w:r>
      <w:r w:rsidR="008B504B" w:rsidRPr="00EA0E29">
        <w:rPr>
          <w:rFonts w:ascii="Times New Roman" w:hAnsi="Times New Roman" w:cs="Times New Roman"/>
          <w:b/>
          <w:sz w:val="24"/>
          <w:szCs w:val="24"/>
          <w:lang w:val="ro-RO"/>
        </w:rPr>
        <w:t>e</w:t>
      </w:r>
      <w:r w:rsidR="009B7BB6" w:rsidRPr="00EA0E29">
        <w:rPr>
          <w:rFonts w:ascii="Times New Roman" w:hAnsi="Times New Roman" w:cs="Times New Roman"/>
          <w:b/>
          <w:sz w:val="24"/>
          <w:szCs w:val="24"/>
          <w:lang w:val="ro-RO"/>
        </w:rPr>
        <w:t xml:space="preserve"> de un an</w:t>
      </w:r>
    </w:p>
    <w:tbl>
      <w:tblPr>
        <w:tblW w:w="14341" w:type="dxa"/>
        <w:tblLook w:val="04A0" w:firstRow="1" w:lastRow="0" w:firstColumn="1" w:lastColumn="0" w:noHBand="0" w:noVBand="1"/>
      </w:tblPr>
      <w:tblGrid>
        <w:gridCol w:w="1811"/>
        <w:gridCol w:w="1026"/>
        <w:gridCol w:w="846"/>
        <w:gridCol w:w="930"/>
        <w:gridCol w:w="1026"/>
        <w:gridCol w:w="936"/>
        <w:gridCol w:w="924"/>
        <w:gridCol w:w="1026"/>
        <w:gridCol w:w="936"/>
        <w:gridCol w:w="905"/>
        <w:gridCol w:w="1026"/>
        <w:gridCol w:w="937"/>
        <w:gridCol w:w="1014"/>
        <w:gridCol w:w="998"/>
      </w:tblGrid>
      <w:tr w:rsidR="00255C09" w:rsidRPr="00650D66" w14:paraId="00B336FA" w14:textId="77777777" w:rsidTr="00C56304">
        <w:trPr>
          <w:trHeight w:val="288"/>
        </w:trPr>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A2AFD" w14:textId="695407A8" w:rsidR="00255C09" w:rsidRPr="00650D66" w:rsidRDefault="00255C09" w:rsidP="008B504B">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Proiecte noi, cu termenul de execuție mai mare de 1 an</w:t>
            </w:r>
          </w:p>
        </w:tc>
        <w:tc>
          <w:tcPr>
            <w:tcW w:w="28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5FF4D1"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2019</w:t>
            </w:r>
          </w:p>
        </w:tc>
        <w:tc>
          <w:tcPr>
            <w:tcW w:w="288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3FC5A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2020</w:t>
            </w:r>
          </w:p>
        </w:tc>
        <w:tc>
          <w:tcPr>
            <w:tcW w:w="28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8E5556"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2021</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6C8A86"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2022</w:t>
            </w:r>
          </w:p>
        </w:tc>
        <w:tc>
          <w:tcPr>
            <w:tcW w:w="998" w:type="dxa"/>
            <w:vMerge w:val="restart"/>
            <w:tcBorders>
              <w:top w:val="single" w:sz="4" w:space="0" w:color="auto"/>
              <w:left w:val="single" w:sz="4" w:space="0" w:color="auto"/>
              <w:right w:val="single" w:sz="4" w:space="0" w:color="auto"/>
            </w:tcBorders>
            <w:shd w:val="clear" w:color="auto" w:fill="auto"/>
            <w:vAlign w:val="center"/>
            <w:hideMark/>
          </w:tcPr>
          <w:p w14:paraId="770B1F0D"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Total executat pe proiect</w:t>
            </w:r>
          </w:p>
        </w:tc>
      </w:tr>
      <w:tr w:rsidR="00255C09" w:rsidRPr="00650D66" w14:paraId="51B20A79" w14:textId="77777777" w:rsidTr="00C56304">
        <w:trPr>
          <w:trHeight w:val="803"/>
        </w:trPr>
        <w:tc>
          <w:tcPr>
            <w:tcW w:w="1811" w:type="dxa"/>
            <w:vMerge/>
            <w:tcBorders>
              <w:top w:val="single" w:sz="4" w:space="0" w:color="auto"/>
              <w:left w:val="single" w:sz="4" w:space="0" w:color="auto"/>
              <w:bottom w:val="single" w:sz="4" w:space="0" w:color="auto"/>
              <w:right w:val="single" w:sz="4" w:space="0" w:color="auto"/>
            </w:tcBorders>
            <w:vAlign w:val="center"/>
            <w:hideMark/>
          </w:tcPr>
          <w:p w14:paraId="7650D508" w14:textId="77777777" w:rsidR="00255C09" w:rsidRPr="00650D66" w:rsidRDefault="00255C09" w:rsidP="00C56304">
            <w:pPr>
              <w:spacing w:after="0"/>
              <w:rPr>
                <w:rFonts w:ascii="Times New Roman" w:hAnsi="Times New Roman" w:cs="Times New Roman"/>
                <w:b/>
                <w:bCs/>
                <w:color w:val="000000"/>
                <w:sz w:val="18"/>
                <w:szCs w:val="18"/>
                <w:lang w:val="ro-RO"/>
              </w:rPr>
            </w:pPr>
          </w:p>
        </w:tc>
        <w:tc>
          <w:tcPr>
            <w:tcW w:w="1026" w:type="dxa"/>
            <w:tcBorders>
              <w:top w:val="nil"/>
              <w:left w:val="nil"/>
              <w:bottom w:val="single" w:sz="4" w:space="0" w:color="auto"/>
              <w:right w:val="single" w:sz="4" w:space="0" w:color="auto"/>
            </w:tcBorders>
            <w:shd w:val="clear" w:color="auto" w:fill="auto"/>
            <w:vAlign w:val="center"/>
            <w:hideMark/>
          </w:tcPr>
          <w:p w14:paraId="1609874D" w14:textId="77777777" w:rsidR="00255C09" w:rsidRPr="00650D66" w:rsidRDefault="00255C09" w:rsidP="00C56304">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Alocații pentru investiții aprobate</w:t>
            </w:r>
          </w:p>
        </w:tc>
        <w:tc>
          <w:tcPr>
            <w:tcW w:w="846" w:type="dxa"/>
            <w:tcBorders>
              <w:top w:val="nil"/>
              <w:left w:val="nil"/>
              <w:bottom w:val="single" w:sz="4" w:space="0" w:color="auto"/>
              <w:right w:val="single" w:sz="4" w:space="0" w:color="auto"/>
            </w:tcBorders>
            <w:shd w:val="clear" w:color="auto" w:fill="auto"/>
            <w:vAlign w:val="center"/>
            <w:hideMark/>
          </w:tcPr>
          <w:p w14:paraId="06984980" w14:textId="77777777" w:rsidR="00255C09" w:rsidRPr="00650D66" w:rsidRDefault="00255C09" w:rsidP="00C56304">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Suma spre achitare în 2019</w:t>
            </w:r>
          </w:p>
        </w:tc>
        <w:tc>
          <w:tcPr>
            <w:tcW w:w="930" w:type="dxa"/>
            <w:tcBorders>
              <w:top w:val="nil"/>
              <w:left w:val="nil"/>
              <w:bottom w:val="single" w:sz="4" w:space="0" w:color="auto"/>
              <w:right w:val="single" w:sz="4" w:space="0" w:color="auto"/>
            </w:tcBorders>
            <w:shd w:val="clear" w:color="auto" w:fill="auto"/>
            <w:vAlign w:val="center"/>
            <w:hideMark/>
          </w:tcPr>
          <w:p w14:paraId="1B4873A4" w14:textId="77777777" w:rsidR="00255C09" w:rsidRPr="00650D66" w:rsidRDefault="00255C09" w:rsidP="00C56304">
            <w:pPr>
              <w:spacing w:after="0" w:line="240" w:lineRule="auto"/>
              <w:ind w:left="-96" w:right="-93"/>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Efectiv la 31.12.2019 (achitări)</w:t>
            </w:r>
          </w:p>
        </w:tc>
        <w:tc>
          <w:tcPr>
            <w:tcW w:w="1026" w:type="dxa"/>
            <w:tcBorders>
              <w:top w:val="nil"/>
              <w:left w:val="nil"/>
              <w:bottom w:val="single" w:sz="4" w:space="0" w:color="auto"/>
              <w:right w:val="single" w:sz="4" w:space="0" w:color="auto"/>
            </w:tcBorders>
            <w:shd w:val="clear" w:color="auto" w:fill="auto"/>
            <w:vAlign w:val="center"/>
            <w:hideMark/>
          </w:tcPr>
          <w:p w14:paraId="458920A3" w14:textId="77777777" w:rsidR="00255C09" w:rsidRPr="00650D66" w:rsidRDefault="00255C09" w:rsidP="00C56304">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Alocații pentru investiții aprobate</w:t>
            </w:r>
          </w:p>
        </w:tc>
        <w:tc>
          <w:tcPr>
            <w:tcW w:w="936" w:type="dxa"/>
            <w:tcBorders>
              <w:top w:val="nil"/>
              <w:left w:val="nil"/>
              <w:bottom w:val="single" w:sz="4" w:space="0" w:color="auto"/>
              <w:right w:val="single" w:sz="4" w:space="0" w:color="auto"/>
            </w:tcBorders>
            <w:shd w:val="clear" w:color="auto" w:fill="auto"/>
            <w:vAlign w:val="center"/>
            <w:hideMark/>
          </w:tcPr>
          <w:p w14:paraId="38B5E0B0" w14:textId="77777777" w:rsidR="00255C09" w:rsidRPr="00650D66" w:rsidRDefault="00255C09" w:rsidP="00C56304">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Suma spre achitare în 2020</w:t>
            </w:r>
          </w:p>
        </w:tc>
        <w:tc>
          <w:tcPr>
            <w:tcW w:w="924" w:type="dxa"/>
            <w:tcBorders>
              <w:top w:val="nil"/>
              <w:left w:val="nil"/>
              <w:bottom w:val="single" w:sz="4" w:space="0" w:color="auto"/>
              <w:right w:val="single" w:sz="4" w:space="0" w:color="auto"/>
            </w:tcBorders>
            <w:shd w:val="clear" w:color="auto" w:fill="auto"/>
            <w:vAlign w:val="center"/>
            <w:hideMark/>
          </w:tcPr>
          <w:p w14:paraId="347980C0" w14:textId="77777777" w:rsidR="00255C09" w:rsidRPr="00650D66" w:rsidRDefault="00255C09" w:rsidP="00C56304">
            <w:pPr>
              <w:spacing w:after="0" w:line="240" w:lineRule="auto"/>
              <w:ind w:left="-102" w:right="-98"/>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Efectiv la 31.12.2020 </w:t>
            </w:r>
          </w:p>
        </w:tc>
        <w:tc>
          <w:tcPr>
            <w:tcW w:w="1026" w:type="dxa"/>
            <w:tcBorders>
              <w:top w:val="nil"/>
              <w:left w:val="nil"/>
              <w:bottom w:val="single" w:sz="4" w:space="0" w:color="auto"/>
              <w:right w:val="single" w:sz="4" w:space="0" w:color="auto"/>
            </w:tcBorders>
            <w:shd w:val="clear" w:color="auto" w:fill="auto"/>
            <w:vAlign w:val="center"/>
            <w:hideMark/>
          </w:tcPr>
          <w:p w14:paraId="344D2429" w14:textId="77777777" w:rsidR="00255C09" w:rsidRPr="00650D66" w:rsidRDefault="00255C09" w:rsidP="00C56304">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Alocații pentru investiții aprobate</w:t>
            </w:r>
          </w:p>
        </w:tc>
        <w:tc>
          <w:tcPr>
            <w:tcW w:w="936" w:type="dxa"/>
            <w:tcBorders>
              <w:top w:val="nil"/>
              <w:left w:val="nil"/>
              <w:bottom w:val="single" w:sz="4" w:space="0" w:color="auto"/>
              <w:right w:val="single" w:sz="4" w:space="0" w:color="auto"/>
            </w:tcBorders>
            <w:shd w:val="clear" w:color="auto" w:fill="auto"/>
            <w:vAlign w:val="center"/>
            <w:hideMark/>
          </w:tcPr>
          <w:p w14:paraId="0E710DA4" w14:textId="77777777" w:rsidR="00255C09" w:rsidRPr="00650D66" w:rsidRDefault="00255C09" w:rsidP="00C56304">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Suma spre achitare în 2021</w:t>
            </w:r>
          </w:p>
        </w:tc>
        <w:tc>
          <w:tcPr>
            <w:tcW w:w="905" w:type="dxa"/>
            <w:tcBorders>
              <w:top w:val="nil"/>
              <w:left w:val="nil"/>
              <w:bottom w:val="single" w:sz="4" w:space="0" w:color="auto"/>
              <w:right w:val="single" w:sz="4" w:space="0" w:color="auto"/>
            </w:tcBorders>
            <w:shd w:val="clear" w:color="auto" w:fill="auto"/>
            <w:vAlign w:val="center"/>
            <w:hideMark/>
          </w:tcPr>
          <w:p w14:paraId="222510C4" w14:textId="77777777" w:rsidR="00255C09" w:rsidRPr="00650D66" w:rsidRDefault="00255C09" w:rsidP="00C56304">
            <w:pPr>
              <w:spacing w:after="0" w:line="240" w:lineRule="auto"/>
              <w:ind w:left="-121" w:right="-67"/>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 xml:space="preserve">Efectiv la 31.12.2021 </w:t>
            </w:r>
          </w:p>
        </w:tc>
        <w:tc>
          <w:tcPr>
            <w:tcW w:w="1026" w:type="dxa"/>
            <w:tcBorders>
              <w:top w:val="nil"/>
              <w:left w:val="nil"/>
              <w:bottom w:val="single" w:sz="4" w:space="0" w:color="auto"/>
              <w:right w:val="single" w:sz="4" w:space="0" w:color="auto"/>
            </w:tcBorders>
            <w:shd w:val="clear" w:color="auto" w:fill="auto"/>
            <w:vAlign w:val="center"/>
            <w:hideMark/>
          </w:tcPr>
          <w:p w14:paraId="0300EDEC" w14:textId="77777777" w:rsidR="00255C09" w:rsidRPr="00650D66" w:rsidRDefault="00255C09" w:rsidP="00C56304">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Alocații pentru investiții aprobate</w:t>
            </w:r>
          </w:p>
        </w:tc>
        <w:tc>
          <w:tcPr>
            <w:tcW w:w="937" w:type="dxa"/>
            <w:tcBorders>
              <w:top w:val="nil"/>
              <w:left w:val="nil"/>
              <w:bottom w:val="single" w:sz="4" w:space="0" w:color="auto"/>
              <w:right w:val="single" w:sz="4" w:space="0" w:color="auto"/>
            </w:tcBorders>
            <w:shd w:val="clear" w:color="auto" w:fill="auto"/>
            <w:vAlign w:val="center"/>
            <w:hideMark/>
          </w:tcPr>
          <w:p w14:paraId="55B42B7C" w14:textId="77777777" w:rsidR="00255C09" w:rsidRPr="00650D66" w:rsidRDefault="00255C09" w:rsidP="00C56304">
            <w:pPr>
              <w:spacing w:after="0" w:line="240" w:lineRule="auto"/>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Suma spre achitare în 2022</w:t>
            </w:r>
          </w:p>
        </w:tc>
        <w:tc>
          <w:tcPr>
            <w:tcW w:w="1014" w:type="dxa"/>
            <w:tcBorders>
              <w:top w:val="nil"/>
              <w:left w:val="nil"/>
              <w:bottom w:val="single" w:sz="4" w:space="0" w:color="auto"/>
              <w:right w:val="single" w:sz="4" w:space="0" w:color="auto"/>
            </w:tcBorders>
            <w:shd w:val="clear" w:color="auto" w:fill="auto"/>
            <w:vAlign w:val="center"/>
            <w:hideMark/>
          </w:tcPr>
          <w:p w14:paraId="7BF50917" w14:textId="77777777" w:rsidR="00255C09" w:rsidRPr="00650D66" w:rsidRDefault="00255C09" w:rsidP="00C56304">
            <w:pPr>
              <w:spacing w:after="0" w:line="240" w:lineRule="auto"/>
              <w:ind w:left="-12" w:right="-87"/>
              <w:jc w:val="center"/>
              <w:rPr>
                <w:rFonts w:ascii="Times New Roman" w:eastAsia="Times New Roman" w:hAnsi="Times New Roman" w:cs="Times New Roman"/>
                <w:b/>
                <w:bCs/>
                <w:color w:val="000000"/>
                <w:sz w:val="18"/>
                <w:szCs w:val="18"/>
                <w:lang w:val="ro-RO"/>
              </w:rPr>
            </w:pPr>
            <w:r w:rsidRPr="00650D66">
              <w:rPr>
                <w:rFonts w:ascii="Times New Roman" w:eastAsia="Times New Roman" w:hAnsi="Times New Roman" w:cs="Times New Roman"/>
                <w:b/>
                <w:bCs/>
                <w:color w:val="000000"/>
                <w:sz w:val="18"/>
                <w:szCs w:val="18"/>
                <w:lang w:val="ro-RO"/>
              </w:rPr>
              <w:t>Efectiv la 31.12.2022 (achitări)</w:t>
            </w:r>
          </w:p>
        </w:tc>
        <w:tc>
          <w:tcPr>
            <w:tcW w:w="998" w:type="dxa"/>
            <w:vMerge/>
            <w:tcBorders>
              <w:left w:val="single" w:sz="4" w:space="0" w:color="auto"/>
              <w:bottom w:val="single" w:sz="4" w:space="0" w:color="auto"/>
              <w:right w:val="single" w:sz="4" w:space="0" w:color="auto"/>
            </w:tcBorders>
            <w:vAlign w:val="center"/>
            <w:hideMark/>
          </w:tcPr>
          <w:p w14:paraId="026AAE6C" w14:textId="77777777" w:rsidR="00255C09" w:rsidRPr="00650D66" w:rsidRDefault="00255C09" w:rsidP="00C56304">
            <w:pPr>
              <w:spacing w:after="0"/>
              <w:rPr>
                <w:rFonts w:ascii="Times New Roman" w:hAnsi="Times New Roman" w:cs="Times New Roman"/>
                <w:b/>
                <w:bCs/>
                <w:color w:val="000000"/>
                <w:sz w:val="18"/>
                <w:szCs w:val="18"/>
                <w:lang w:val="ro-RO"/>
              </w:rPr>
            </w:pPr>
          </w:p>
        </w:tc>
      </w:tr>
      <w:tr w:rsidR="00255C09" w:rsidRPr="00650D66" w14:paraId="1A505F96" w14:textId="77777777" w:rsidTr="00C56304">
        <w:trPr>
          <w:trHeight w:val="288"/>
        </w:trPr>
        <w:tc>
          <w:tcPr>
            <w:tcW w:w="1811" w:type="dxa"/>
            <w:tcBorders>
              <w:top w:val="nil"/>
              <w:left w:val="single" w:sz="4" w:space="0" w:color="auto"/>
              <w:bottom w:val="single" w:sz="4" w:space="0" w:color="auto"/>
              <w:right w:val="single" w:sz="4" w:space="0" w:color="auto"/>
            </w:tcBorders>
            <w:shd w:val="clear" w:color="000000" w:fill="EDEDED"/>
            <w:vAlign w:val="center"/>
            <w:hideMark/>
          </w:tcPr>
          <w:p w14:paraId="3648A85D" w14:textId="77777777" w:rsidR="00255C09" w:rsidRPr="00650D66" w:rsidRDefault="00255C09" w:rsidP="00C56304">
            <w:pPr>
              <w:spacing w:after="0"/>
              <w:rPr>
                <w:rFonts w:ascii="Times New Roman" w:hAnsi="Times New Roman" w:cs="Times New Roman"/>
                <w:b/>
                <w:bCs/>
                <w:i/>
                <w:iCs/>
                <w:color w:val="000000"/>
                <w:sz w:val="18"/>
                <w:szCs w:val="18"/>
                <w:lang w:val="ro-RO"/>
              </w:rPr>
            </w:pPr>
            <w:r w:rsidRPr="00650D66">
              <w:rPr>
                <w:rFonts w:ascii="Times New Roman" w:hAnsi="Times New Roman" w:cs="Times New Roman"/>
                <w:b/>
                <w:bCs/>
                <w:i/>
                <w:iCs/>
                <w:color w:val="000000"/>
                <w:sz w:val="18"/>
                <w:szCs w:val="18"/>
                <w:lang w:val="ro-RO"/>
              </w:rPr>
              <w:t>TOTAL</w:t>
            </w:r>
          </w:p>
        </w:tc>
        <w:tc>
          <w:tcPr>
            <w:tcW w:w="1026" w:type="dxa"/>
            <w:tcBorders>
              <w:top w:val="nil"/>
              <w:left w:val="nil"/>
              <w:bottom w:val="single" w:sz="4" w:space="0" w:color="auto"/>
              <w:right w:val="single" w:sz="4" w:space="0" w:color="auto"/>
            </w:tcBorders>
            <w:shd w:val="clear" w:color="000000" w:fill="EDEDED"/>
            <w:vAlign w:val="center"/>
            <w:hideMark/>
          </w:tcPr>
          <w:p w14:paraId="1C6FD18D"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151.802,00</w:t>
            </w:r>
          </w:p>
        </w:tc>
        <w:tc>
          <w:tcPr>
            <w:tcW w:w="846" w:type="dxa"/>
            <w:tcBorders>
              <w:top w:val="nil"/>
              <w:left w:val="nil"/>
              <w:bottom w:val="single" w:sz="4" w:space="0" w:color="auto"/>
              <w:right w:val="single" w:sz="4" w:space="0" w:color="auto"/>
            </w:tcBorders>
            <w:shd w:val="clear" w:color="000000" w:fill="EDEDED"/>
            <w:vAlign w:val="center"/>
            <w:hideMark/>
          </w:tcPr>
          <w:p w14:paraId="08C6D8EE"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6.616,00</w:t>
            </w:r>
          </w:p>
        </w:tc>
        <w:tc>
          <w:tcPr>
            <w:tcW w:w="930" w:type="dxa"/>
            <w:tcBorders>
              <w:top w:val="nil"/>
              <w:left w:val="nil"/>
              <w:bottom w:val="single" w:sz="4" w:space="0" w:color="auto"/>
              <w:right w:val="single" w:sz="4" w:space="0" w:color="auto"/>
            </w:tcBorders>
            <w:shd w:val="clear" w:color="000000" w:fill="EDEDED"/>
            <w:vAlign w:val="center"/>
            <w:hideMark/>
          </w:tcPr>
          <w:p w14:paraId="4F7CD99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3.444,01</w:t>
            </w:r>
          </w:p>
        </w:tc>
        <w:tc>
          <w:tcPr>
            <w:tcW w:w="1026" w:type="dxa"/>
            <w:tcBorders>
              <w:top w:val="nil"/>
              <w:left w:val="nil"/>
              <w:bottom w:val="single" w:sz="4" w:space="0" w:color="auto"/>
              <w:right w:val="single" w:sz="4" w:space="0" w:color="auto"/>
            </w:tcBorders>
            <w:shd w:val="clear" w:color="000000" w:fill="EDEDED"/>
            <w:vAlign w:val="center"/>
            <w:hideMark/>
          </w:tcPr>
          <w:p w14:paraId="03B5038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144.630,00</w:t>
            </w:r>
          </w:p>
        </w:tc>
        <w:tc>
          <w:tcPr>
            <w:tcW w:w="936" w:type="dxa"/>
            <w:tcBorders>
              <w:top w:val="nil"/>
              <w:left w:val="nil"/>
              <w:bottom w:val="single" w:sz="4" w:space="0" w:color="auto"/>
              <w:right w:val="single" w:sz="4" w:space="0" w:color="auto"/>
            </w:tcBorders>
            <w:shd w:val="clear" w:color="000000" w:fill="EDEDED"/>
            <w:vAlign w:val="center"/>
            <w:hideMark/>
          </w:tcPr>
          <w:p w14:paraId="5254FAF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30.325,00</w:t>
            </w:r>
          </w:p>
        </w:tc>
        <w:tc>
          <w:tcPr>
            <w:tcW w:w="924" w:type="dxa"/>
            <w:tcBorders>
              <w:top w:val="nil"/>
              <w:left w:val="nil"/>
              <w:bottom w:val="single" w:sz="4" w:space="0" w:color="auto"/>
              <w:right w:val="single" w:sz="4" w:space="0" w:color="auto"/>
            </w:tcBorders>
            <w:shd w:val="clear" w:color="000000" w:fill="EDEDED"/>
            <w:vAlign w:val="center"/>
            <w:hideMark/>
          </w:tcPr>
          <w:p w14:paraId="212C433A"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4.147,58</w:t>
            </w:r>
          </w:p>
        </w:tc>
        <w:tc>
          <w:tcPr>
            <w:tcW w:w="1026" w:type="dxa"/>
            <w:tcBorders>
              <w:top w:val="nil"/>
              <w:left w:val="nil"/>
              <w:bottom w:val="single" w:sz="4" w:space="0" w:color="auto"/>
              <w:right w:val="single" w:sz="4" w:space="0" w:color="auto"/>
            </w:tcBorders>
            <w:shd w:val="clear" w:color="000000" w:fill="EDEDED"/>
            <w:vAlign w:val="center"/>
            <w:hideMark/>
          </w:tcPr>
          <w:p w14:paraId="3A1BC0B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157.866,00</w:t>
            </w:r>
          </w:p>
        </w:tc>
        <w:tc>
          <w:tcPr>
            <w:tcW w:w="936" w:type="dxa"/>
            <w:tcBorders>
              <w:top w:val="nil"/>
              <w:left w:val="nil"/>
              <w:bottom w:val="single" w:sz="4" w:space="0" w:color="auto"/>
              <w:right w:val="single" w:sz="4" w:space="0" w:color="auto"/>
            </w:tcBorders>
            <w:shd w:val="clear" w:color="000000" w:fill="EDEDED"/>
            <w:vAlign w:val="center"/>
            <w:hideMark/>
          </w:tcPr>
          <w:p w14:paraId="55BD129B"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56.276,00</w:t>
            </w:r>
          </w:p>
        </w:tc>
        <w:tc>
          <w:tcPr>
            <w:tcW w:w="905" w:type="dxa"/>
            <w:tcBorders>
              <w:top w:val="nil"/>
              <w:left w:val="nil"/>
              <w:bottom w:val="single" w:sz="4" w:space="0" w:color="auto"/>
              <w:right w:val="single" w:sz="4" w:space="0" w:color="auto"/>
            </w:tcBorders>
            <w:shd w:val="clear" w:color="000000" w:fill="EDEDED"/>
            <w:vAlign w:val="center"/>
            <w:hideMark/>
          </w:tcPr>
          <w:p w14:paraId="517FB44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9.742,75</w:t>
            </w:r>
          </w:p>
        </w:tc>
        <w:tc>
          <w:tcPr>
            <w:tcW w:w="1026" w:type="dxa"/>
            <w:tcBorders>
              <w:top w:val="nil"/>
              <w:left w:val="nil"/>
              <w:bottom w:val="single" w:sz="4" w:space="0" w:color="auto"/>
              <w:right w:val="single" w:sz="4" w:space="0" w:color="auto"/>
            </w:tcBorders>
            <w:shd w:val="clear" w:color="000000" w:fill="EDEDED"/>
            <w:vAlign w:val="center"/>
            <w:hideMark/>
          </w:tcPr>
          <w:p w14:paraId="2B32E35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175.898,00</w:t>
            </w:r>
          </w:p>
        </w:tc>
        <w:tc>
          <w:tcPr>
            <w:tcW w:w="937" w:type="dxa"/>
            <w:tcBorders>
              <w:top w:val="nil"/>
              <w:left w:val="nil"/>
              <w:bottom w:val="single" w:sz="4" w:space="0" w:color="auto"/>
              <w:right w:val="single" w:sz="4" w:space="0" w:color="auto"/>
            </w:tcBorders>
            <w:shd w:val="clear" w:color="000000" w:fill="EDEDED"/>
            <w:vAlign w:val="center"/>
            <w:hideMark/>
          </w:tcPr>
          <w:p w14:paraId="5A47CC7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54.141,00</w:t>
            </w:r>
          </w:p>
        </w:tc>
        <w:tc>
          <w:tcPr>
            <w:tcW w:w="1014" w:type="dxa"/>
            <w:tcBorders>
              <w:top w:val="nil"/>
              <w:left w:val="nil"/>
              <w:bottom w:val="single" w:sz="4" w:space="0" w:color="auto"/>
              <w:right w:val="single" w:sz="4" w:space="0" w:color="auto"/>
            </w:tcBorders>
            <w:shd w:val="clear" w:color="000000" w:fill="EDEDED"/>
            <w:vAlign w:val="center"/>
            <w:hideMark/>
          </w:tcPr>
          <w:p w14:paraId="0F7B6E29"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15.466,72</w:t>
            </w:r>
          </w:p>
        </w:tc>
        <w:tc>
          <w:tcPr>
            <w:tcW w:w="998" w:type="dxa"/>
            <w:tcBorders>
              <w:top w:val="nil"/>
              <w:left w:val="nil"/>
              <w:bottom w:val="single" w:sz="4" w:space="0" w:color="auto"/>
              <w:right w:val="single" w:sz="4" w:space="0" w:color="auto"/>
            </w:tcBorders>
            <w:shd w:val="clear" w:color="000000" w:fill="F2F2F2"/>
            <w:vAlign w:val="center"/>
            <w:hideMark/>
          </w:tcPr>
          <w:p w14:paraId="0D3DE394" w14:textId="77777777" w:rsidR="00255C09" w:rsidRPr="00650D66" w:rsidRDefault="00255C09" w:rsidP="00C56304">
            <w:pPr>
              <w:spacing w:after="0"/>
              <w:ind w:left="-127" w:right="-85"/>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32.801,06</w:t>
            </w:r>
          </w:p>
        </w:tc>
      </w:tr>
      <w:tr w:rsidR="00255C09" w:rsidRPr="00650D66" w14:paraId="184DE2BD" w14:textId="77777777" w:rsidTr="00C56304">
        <w:trPr>
          <w:trHeight w:val="312"/>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186FC786"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Sistem de gestionare a resurselor corporative și operațiuni bancare (Transform BNM)</w:t>
            </w:r>
          </w:p>
        </w:tc>
        <w:tc>
          <w:tcPr>
            <w:tcW w:w="1026" w:type="dxa"/>
            <w:tcBorders>
              <w:top w:val="nil"/>
              <w:left w:val="nil"/>
              <w:bottom w:val="single" w:sz="4" w:space="0" w:color="auto"/>
              <w:right w:val="single" w:sz="4" w:space="0" w:color="auto"/>
            </w:tcBorders>
            <w:shd w:val="clear" w:color="auto" w:fill="auto"/>
            <w:vAlign w:val="center"/>
            <w:hideMark/>
          </w:tcPr>
          <w:p w14:paraId="134624D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88.068,00</w:t>
            </w:r>
          </w:p>
        </w:tc>
        <w:tc>
          <w:tcPr>
            <w:tcW w:w="846" w:type="dxa"/>
            <w:tcBorders>
              <w:top w:val="nil"/>
              <w:left w:val="nil"/>
              <w:bottom w:val="single" w:sz="4" w:space="0" w:color="auto"/>
              <w:right w:val="single" w:sz="4" w:space="0" w:color="auto"/>
            </w:tcBorders>
            <w:shd w:val="clear" w:color="auto" w:fill="auto"/>
            <w:vAlign w:val="center"/>
            <w:hideMark/>
          </w:tcPr>
          <w:p w14:paraId="050018B0"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14:paraId="6FBFBD79"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29D4CB3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89.496,00</w:t>
            </w:r>
          </w:p>
        </w:tc>
        <w:tc>
          <w:tcPr>
            <w:tcW w:w="936" w:type="dxa"/>
            <w:tcBorders>
              <w:top w:val="nil"/>
              <w:left w:val="nil"/>
              <w:bottom w:val="single" w:sz="4" w:space="0" w:color="auto"/>
              <w:right w:val="single" w:sz="4" w:space="0" w:color="auto"/>
            </w:tcBorders>
            <w:shd w:val="clear" w:color="auto" w:fill="auto"/>
            <w:vAlign w:val="center"/>
            <w:hideMark/>
          </w:tcPr>
          <w:p w14:paraId="6385956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4.440,00</w:t>
            </w:r>
          </w:p>
        </w:tc>
        <w:tc>
          <w:tcPr>
            <w:tcW w:w="924" w:type="dxa"/>
            <w:tcBorders>
              <w:top w:val="nil"/>
              <w:left w:val="nil"/>
              <w:bottom w:val="single" w:sz="4" w:space="0" w:color="auto"/>
              <w:right w:val="single" w:sz="4" w:space="0" w:color="auto"/>
            </w:tcBorders>
            <w:shd w:val="clear" w:color="auto" w:fill="auto"/>
            <w:vAlign w:val="center"/>
            <w:hideMark/>
          </w:tcPr>
          <w:p w14:paraId="16C2BEF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48248B9A"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93.441,00</w:t>
            </w:r>
          </w:p>
        </w:tc>
        <w:tc>
          <w:tcPr>
            <w:tcW w:w="936" w:type="dxa"/>
            <w:tcBorders>
              <w:top w:val="nil"/>
              <w:left w:val="nil"/>
              <w:bottom w:val="single" w:sz="4" w:space="0" w:color="auto"/>
              <w:right w:val="single" w:sz="4" w:space="0" w:color="auto"/>
            </w:tcBorders>
            <w:shd w:val="clear" w:color="auto" w:fill="auto"/>
            <w:vAlign w:val="center"/>
            <w:hideMark/>
          </w:tcPr>
          <w:p w14:paraId="3D0C818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14.311,00</w:t>
            </w:r>
          </w:p>
        </w:tc>
        <w:tc>
          <w:tcPr>
            <w:tcW w:w="905" w:type="dxa"/>
            <w:tcBorders>
              <w:top w:val="nil"/>
              <w:left w:val="nil"/>
              <w:bottom w:val="single" w:sz="4" w:space="0" w:color="auto"/>
              <w:right w:val="single" w:sz="4" w:space="0" w:color="auto"/>
            </w:tcBorders>
            <w:shd w:val="clear" w:color="auto" w:fill="auto"/>
            <w:vAlign w:val="center"/>
            <w:hideMark/>
          </w:tcPr>
          <w:p w14:paraId="23D268D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5A0DEF6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97.229,00</w:t>
            </w:r>
          </w:p>
        </w:tc>
        <w:tc>
          <w:tcPr>
            <w:tcW w:w="937" w:type="dxa"/>
            <w:tcBorders>
              <w:top w:val="nil"/>
              <w:left w:val="nil"/>
              <w:bottom w:val="single" w:sz="4" w:space="0" w:color="auto"/>
              <w:right w:val="single" w:sz="4" w:space="0" w:color="auto"/>
            </w:tcBorders>
            <w:shd w:val="clear" w:color="auto" w:fill="auto"/>
            <w:vAlign w:val="center"/>
            <w:hideMark/>
          </w:tcPr>
          <w:p w14:paraId="63A62BB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13.376,00</w:t>
            </w:r>
          </w:p>
        </w:tc>
        <w:tc>
          <w:tcPr>
            <w:tcW w:w="1014" w:type="dxa"/>
            <w:tcBorders>
              <w:top w:val="nil"/>
              <w:left w:val="nil"/>
              <w:bottom w:val="single" w:sz="4" w:space="0" w:color="auto"/>
              <w:right w:val="single" w:sz="4" w:space="0" w:color="auto"/>
            </w:tcBorders>
            <w:shd w:val="clear" w:color="auto" w:fill="auto"/>
            <w:vAlign w:val="center"/>
            <w:hideMark/>
          </w:tcPr>
          <w:p w14:paraId="78E7070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14:paraId="5204AC2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3312DE65" w14:textId="77777777" w:rsidTr="00C56304">
        <w:trPr>
          <w:trHeight w:val="289"/>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F001C76"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Modernizarea sistemului automatizat de plăți interbancare (SAPI)</w:t>
            </w:r>
          </w:p>
        </w:tc>
        <w:tc>
          <w:tcPr>
            <w:tcW w:w="1026" w:type="dxa"/>
            <w:tcBorders>
              <w:top w:val="nil"/>
              <w:left w:val="nil"/>
              <w:bottom w:val="single" w:sz="4" w:space="0" w:color="auto"/>
              <w:right w:val="single" w:sz="4" w:space="0" w:color="auto"/>
            </w:tcBorders>
            <w:shd w:val="clear" w:color="auto" w:fill="auto"/>
            <w:vAlign w:val="center"/>
            <w:hideMark/>
          </w:tcPr>
          <w:p w14:paraId="4250D6B9"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14:paraId="324A5AC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14:paraId="6989BA3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63B9D11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6.328,00</w:t>
            </w:r>
          </w:p>
        </w:tc>
        <w:tc>
          <w:tcPr>
            <w:tcW w:w="936" w:type="dxa"/>
            <w:tcBorders>
              <w:top w:val="nil"/>
              <w:left w:val="nil"/>
              <w:bottom w:val="single" w:sz="4" w:space="0" w:color="auto"/>
              <w:right w:val="single" w:sz="4" w:space="0" w:color="auto"/>
            </w:tcBorders>
            <w:shd w:val="clear" w:color="auto" w:fill="auto"/>
            <w:vAlign w:val="center"/>
            <w:hideMark/>
          </w:tcPr>
          <w:p w14:paraId="6A96EB3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6.328,00</w:t>
            </w:r>
          </w:p>
        </w:tc>
        <w:tc>
          <w:tcPr>
            <w:tcW w:w="924" w:type="dxa"/>
            <w:tcBorders>
              <w:top w:val="nil"/>
              <w:left w:val="nil"/>
              <w:bottom w:val="single" w:sz="4" w:space="0" w:color="auto"/>
              <w:right w:val="single" w:sz="4" w:space="0" w:color="auto"/>
            </w:tcBorders>
            <w:shd w:val="clear" w:color="auto" w:fill="auto"/>
            <w:vAlign w:val="center"/>
            <w:hideMark/>
          </w:tcPr>
          <w:p w14:paraId="3AC9AB7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65C3C6F3"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6.617,00</w:t>
            </w:r>
          </w:p>
        </w:tc>
        <w:tc>
          <w:tcPr>
            <w:tcW w:w="936" w:type="dxa"/>
            <w:tcBorders>
              <w:top w:val="nil"/>
              <w:left w:val="nil"/>
              <w:bottom w:val="single" w:sz="4" w:space="0" w:color="auto"/>
              <w:right w:val="single" w:sz="4" w:space="0" w:color="auto"/>
            </w:tcBorders>
            <w:shd w:val="clear" w:color="auto" w:fill="auto"/>
            <w:vAlign w:val="center"/>
            <w:hideMark/>
          </w:tcPr>
          <w:p w14:paraId="22B44680"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6.617,00</w:t>
            </w:r>
          </w:p>
        </w:tc>
        <w:tc>
          <w:tcPr>
            <w:tcW w:w="905" w:type="dxa"/>
            <w:tcBorders>
              <w:top w:val="nil"/>
              <w:left w:val="nil"/>
              <w:bottom w:val="single" w:sz="4" w:space="0" w:color="auto"/>
              <w:right w:val="single" w:sz="4" w:space="0" w:color="auto"/>
            </w:tcBorders>
            <w:shd w:val="clear" w:color="auto" w:fill="auto"/>
            <w:vAlign w:val="center"/>
            <w:hideMark/>
          </w:tcPr>
          <w:p w14:paraId="79015764"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2.649,00</w:t>
            </w:r>
          </w:p>
        </w:tc>
        <w:tc>
          <w:tcPr>
            <w:tcW w:w="1026" w:type="dxa"/>
            <w:tcBorders>
              <w:top w:val="nil"/>
              <w:left w:val="nil"/>
              <w:bottom w:val="single" w:sz="4" w:space="0" w:color="auto"/>
              <w:right w:val="single" w:sz="4" w:space="0" w:color="auto"/>
            </w:tcBorders>
            <w:shd w:val="clear" w:color="auto" w:fill="auto"/>
            <w:vAlign w:val="center"/>
            <w:hideMark/>
          </w:tcPr>
          <w:p w14:paraId="43828EB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4.076,00</w:t>
            </w:r>
          </w:p>
        </w:tc>
        <w:tc>
          <w:tcPr>
            <w:tcW w:w="937" w:type="dxa"/>
            <w:tcBorders>
              <w:top w:val="nil"/>
              <w:left w:val="nil"/>
              <w:bottom w:val="single" w:sz="4" w:space="0" w:color="auto"/>
              <w:right w:val="single" w:sz="4" w:space="0" w:color="auto"/>
            </w:tcBorders>
            <w:shd w:val="clear" w:color="auto" w:fill="auto"/>
            <w:vAlign w:val="center"/>
            <w:hideMark/>
          </w:tcPr>
          <w:p w14:paraId="02A8DD6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4.076,00</w:t>
            </w:r>
          </w:p>
        </w:tc>
        <w:tc>
          <w:tcPr>
            <w:tcW w:w="1014" w:type="dxa"/>
            <w:tcBorders>
              <w:top w:val="nil"/>
              <w:left w:val="nil"/>
              <w:bottom w:val="single" w:sz="4" w:space="0" w:color="auto"/>
              <w:right w:val="single" w:sz="4" w:space="0" w:color="auto"/>
            </w:tcBorders>
            <w:shd w:val="clear" w:color="auto" w:fill="auto"/>
            <w:vAlign w:val="center"/>
            <w:hideMark/>
          </w:tcPr>
          <w:p w14:paraId="2342FF6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4.067,31</w:t>
            </w:r>
          </w:p>
        </w:tc>
        <w:tc>
          <w:tcPr>
            <w:tcW w:w="998" w:type="dxa"/>
            <w:tcBorders>
              <w:top w:val="nil"/>
              <w:left w:val="nil"/>
              <w:bottom w:val="single" w:sz="4" w:space="0" w:color="auto"/>
              <w:right w:val="single" w:sz="4" w:space="0" w:color="auto"/>
            </w:tcBorders>
            <w:shd w:val="clear" w:color="auto" w:fill="auto"/>
            <w:vAlign w:val="center"/>
            <w:hideMark/>
          </w:tcPr>
          <w:p w14:paraId="5C4DE339"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6.716,31</w:t>
            </w:r>
          </w:p>
        </w:tc>
      </w:tr>
      <w:tr w:rsidR="00255C09" w:rsidRPr="00650D66" w14:paraId="0E376415" w14:textId="77777777" w:rsidTr="00C56304">
        <w:trPr>
          <w:trHeight w:val="111"/>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5EA969D"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Infrastructura pentru modernizarea sistemului automatizat de plăți interbancare (SAPI)</w:t>
            </w:r>
          </w:p>
        </w:tc>
        <w:tc>
          <w:tcPr>
            <w:tcW w:w="1026" w:type="dxa"/>
            <w:tcBorders>
              <w:top w:val="nil"/>
              <w:left w:val="nil"/>
              <w:bottom w:val="single" w:sz="4" w:space="0" w:color="auto"/>
              <w:right w:val="single" w:sz="4" w:space="0" w:color="auto"/>
            </w:tcBorders>
            <w:shd w:val="clear" w:color="auto" w:fill="auto"/>
            <w:vAlign w:val="center"/>
            <w:hideMark/>
          </w:tcPr>
          <w:p w14:paraId="43A101A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14:paraId="12C8CD1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14:paraId="3C71B7E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71A85DF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1.029,00</w:t>
            </w:r>
          </w:p>
        </w:tc>
        <w:tc>
          <w:tcPr>
            <w:tcW w:w="936" w:type="dxa"/>
            <w:tcBorders>
              <w:top w:val="nil"/>
              <w:left w:val="nil"/>
              <w:bottom w:val="single" w:sz="4" w:space="0" w:color="auto"/>
              <w:right w:val="single" w:sz="4" w:space="0" w:color="auto"/>
            </w:tcBorders>
            <w:shd w:val="clear" w:color="auto" w:fill="auto"/>
            <w:vAlign w:val="center"/>
            <w:hideMark/>
          </w:tcPr>
          <w:p w14:paraId="63290EFD"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1.029,00</w:t>
            </w:r>
          </w:p>
        </w:tc>
        <w:tc>
          <w:tcPr>
            <w:tcW w:w="924" w:type="dxa"/>
            <w:tcBorders>
              <w:top w:val="nil"/>
              <w:left w:val="nil"/>
              <w:bottom w:val="single" w:sz="4" w:space="0" w:color="auto"/>
              <w:right w:val="single" w:sz="4" w:space="0" w:color="auto"/>
            </w:tcBorders>
            <w:shd w:val="clear" w:color="auto" w:fill="auto"/>
            <w:vAlign w:val="center"/>
            <w:hideMark/>
          </w:tcPr>
          <w:p w14:paraId="3930E656"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240156B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2.676,00</w:t>
            </w:r>
          </w:p>
        </w:tc>
        <w:tc>
          <w:tcPr>
            <w:tcW w:w="936" w:type="dxa"/>
            <w:tcBorders>
              <w:top w:val="nil"/>
              <w:left w:val="nil"/>
              <w:bottom w:val="single" w:sz="4" w:space="0" w:color="auto"/>
              <w:right w:val="single" w:sz="4" w:space="0" w:color="auto"/>
            </w:tcBorders>
            <w:shd w:val="clear" w:color="auto" w:fill="auto"/>
            <w:vAlign w:val="center"/>
            <w:hideMark/>
          </w:tcPr>
          <w:p w14:paraId="6267C24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2.676,00</w:t>
            </w:r>
          </w:p>
        </w:tc>
        <w:tc>
          <w:tcPr>
            <w:tcW w:w="905" w:type="dxa"/>
            <w:tcBorders>
              <w:top w:val="nil"/>
              <w:left w:val="nil"/>
              <w:bottom w:val="single" w:sz="4" w:space="0" w:color="auto"/>
              <w:right w:val="single" w:sz="4" w:space="0" w:color="auto"/>
            </w:tcBorders>
            <w:shd w:val="clear" w:color="auto" w:fill="auto"/>
            <w:vAlign w:val="center"/>
            <w:hideMark/>
          </w:tcPr>
          <w:p w14:paraId="41941E6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2.675,16</w:t>
            </w:r>
          </w:p>
        </w:tc>
        <w:tc>
          <w:tcPr>
            <w:tcW w:w="1026" w:type="dxa"/>
            <w:tcBorders>
              <w:top w:val="nil"/>
              <w:left w:val="nil"/>
              <w:bottom w:val="single" w:sz="4" w:space="0" w:color="auto"/>
              <w:right w:val="single" w:sz="4" w:space="0" w:color="auto"/>
            </w:tcBorders>
            <w:shd w:val="clear" w:color="auto" w:fill="auto"/>
            <w:vAlign w:val="center"/>
            <w:hideMark/>
          </w:tcPr>
          <w:p w14:paraId="6A5FAA7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731A7409"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58E265F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006DC551"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2.675,16</w:t>
            </w:r>
          </w:p>
        </w:tc>
      </w:tr>
      <w:tr w:rsidR="00255C09" w:rsidRPr="00650D66" w14:paraId="52FAC8EA" w14:textId="77777777" w:rsidTr="00C56304">
        <w:trPr>
          <w:trHeight w:val="76"/>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E07412F"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Soluția de plăți instant</w:t>
            </w:r>
          </w:p>
        </w:tc>
        <w:tc>
          <w:tcPr>
            <w:tcW w:w="1026" w:type="dxa"/>
            <w:tcBorders>
              <w:top w:val="nil"/>
              <w:left w:val="nil"/>
              <w:bottom w:val="single" w:sz="4" w:space="0" w:color="auto"/>
              <w:right w:val="single" w:sz="4" w:space="0" w:color="auto"/>
            </w:tcBorders>
            <w:shd w:val="clear" w:color="auto" w:fill="auto"/>
            <w:vAlign w:val="center"/>
            <w:hideMark/>
          </w:tcPr>
          <w:p w14:paraId="775C9F5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13.856,00</w:t>
            </w:r>
          </w:p>
        </w:tc>
        <w:tc>
          <w:tcPr>
            <w:tcW w:w="846" w:type="dxa"/>
            <w:tcBorders>
              <w:top w:val="nil"/>
              <w:left w:val="nil"/>
              <w:bottom w:val="single" w:sz="4" w:space="0" w:color="auto"/>
              <w:right w:val="single" w:sz="4" w:space="0" w:color="auto"/>
            </w:tcBorders>
            <w:shd w:val="clear" w:color="auto" w:fill="auto"/>
            <w:vAlign w:val="center"/>
            <w:hideMark/>
          </w:tcPr>
          <w:p w14:paraId="3758FCF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14:paraId="6BED19B2"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01FFA19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17.530,00</w:t>
            </w:r>
          </w:p>
        </w:tc>
        <w:tc>
          <w:tcPr>
            <w:tcW w:w="936" w:type="dxa"/>
            <w:tcBorders>
              <w:top w:val="nil"/>
              <w:left w:val="nil"/>
              <w:bottom w:val="single" w:sz="4" w:space="0" w:color="auto"/>
              <w:right w:val="single" w:sz="4" w:space="0" w:color="auto"/>
            </w:tcBorders>
            <w:shd w:val="clear" w:color="auto" w:fill="auto"/>
            <w:vAlign w:val="center"/>
            <w:hideMark/>
          </w:tcPr>
          <w:p w14:paraId="46E64B0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5.280,00</w:t>
            </w:r>
          </w:p>
        </w:tc>
        <w:tc>
          <w:tcPr>
            <w:tcW w:w="924" w:type="dxa"/>
            <w:tcBorders>
              <w:top w:val="nil"/>
              <w:left w:val="nil"/>
              <w:bottom w:val="single" w:sz="4" w:space="0" w:color="auto"/>
              <w:right w:val="single" w:sz="4" w:space="0" w:color="auto"/>
            </w:tcBorders>
            <w:shd w:val="clear" w:color="auto" w:fill="auto"/>
            <w:vAlign w:val="center"/>
            <w:hideMark/>
          </w:tcPr>
          <w:p w14:paraId="0BDA634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5420848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17.482,00</w:t>
            </w:r>
          </w:p>
        </w:tc>
        <w:tc>
          <w:tcPr>
            <w:tcW w:w="936" w:type="dxa"/>
            <w:tcBorders>
              <w:top w:val="nil"/>
              <w:left w:val="nil"/>
              <w:bottom w:val="single" w:sz="4" w:space="0" w:color="auto"/>
              <w:right w:val="single" w:sz="4" w:space="0" w:color="auto"/>
            </w:tcBorders>
            <w:shd w:val="clear" w:color="auto" w:fill="auto"/>
            <w:vAlign w:val="center"/>
            <w:hideMark/>
          </w:tcPr>
          <w:p w14:paraId="7E89C732"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7.139,00</w:t>
            </w:r>
          </w:p>
        </w:tc>
        <w:tc>
          <w:tcPr>
            <w:tcW w:w="905" w:type="dxa"/>
            <w:tcBorders>
              <w:top w:val="nil"/>
              <w:left w:val="nil"/>
              <w:bottom w:val="single" w:sz="4" w:space="0" w:color="auto"/>
              <w:right w:val="single" w:sz="4" w:space="0" w:color="auto"/>
            </w:tcBorders>
            <w:shd w:val="clear" w:color="auto" w:fill="auto"/>
            <w:vAlign w:val="center"/>
            <w:hideMark/>
          </w:tcPr>
          <w:p w14:paraId="06ABCF4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083C02C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16.429,00</w:t>
            </w:r>
          </w:p>
        </w:tc>
        <w:tc>
          <w:tcPr>
            <w:tcW w:w="937" w:type="dxa"/>
            <w:tcBorders>
              <w:top w:val="nil"/>
              <w:left w:val="nil"/>
              <w:bottom w:val="single" w:sz="4" w:space="0" w:color="auto"/>
              <w:right w:val="single" w:sz="4" w:space="0" w:color="auto"/>
            </w:tcBorders>
            <w:shd w:val="clear" w:color="auto" w:fill="auto"/>
            <w:vAlign w:val="center"/>
            <w:hideMark/>
          </w:tcPr>
          <w:p w14:paraId="01427AC9"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5.898,00</w:t>
            </w:r>
          </w:p>
        </w:tc>
        <w:tc>
          <w:tcPr>
            <w:tcW w:w="1014" w:type="dxa"/>
            <w:tcBorders>
              <w:top w:val="nil"/>
              <w:left w:val="nil"/>
              <w:bottom w:val="single" w:sz="4" w:space="0" w:color="auto"/>
              <w:right w:val="single" w:sz="4" w:space="0" w:color="auto"/>
            </w:tcBorders>
            <w:shd w:val="clear" w:color="auto" w:fill="auto"/>
            <w:vAlign w:val="center"/>
            <w:hideMark/>
          </w:tcPr>
          <w:p w14:paraId="6E6D2E3C"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14:paraId="6D939CFF"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788C2824" w14:textId="77777777" w:rsidTr="00C56304">
        <w:trPr>
          <w:trHeight w:val="58"/>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9FA9099"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Infrastructura pentru soluția de plăți instant</w:t>
            </w:r>
          </w:p>
        </w:tc>
        <w:tc>
          <w:tcPr>
            <w:tcW w:w="1026" w:type="dxa"/>
            <w:tcBorders>
              <w:top w:val="nil"/>
              <w:left w:val="nil"/>
              <w:bottom w:val="single" w:sz="4" w:space="0" w:color="auto"/>
              <w:right w:val="single" w:sz="4" w:space="0" w:color="auto"/>
            </w:tcBorders>
            <w:shd w:val="clear" w:color="auto" w:fill="auto"/>
            <w:vAlign w:val="center"/>
            <w:hideMark/>
          </w:tcPr>
          <w:p w14:paraId="1C8A2463"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3.520,00</w:t>
            </w:r>
          </w:p>
        </w:tc>
        <w:tc>
          <w:tcPr>
            <w:tcW w:w="846" w:type="dxa"/>
            <w:tcBorders>
              <w:top w:val="nil"/>
              <w:left w:val="nil"/>
              <w:bottom w:val="single" w:sz="4" w:space="0" w:color="auto"/>
              <w:right w:val="single" w:sz="4" w:space="0" w:color="auto"/>
            </w:tcBorders>
            <w:shd w:val="clear" w:color="auto" w:fill="auto"/>
            <w:vAlign w:val="center"/>
            <w:hideMark/>
          </w:tcPr>
          <w:p w14:paraId="7AA2A58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14:paraId="4CB53BC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5FC243F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3.287,00</w:t>
            </w:r>
          </w:p>
        </w:tc>
        <w:tc>
          <w:tcPr>
            <w:tcW w:w="936" w:type="dxa"/>
            <w:tcBorders>
              <w:top w:val="nil"/>
              <w:left w:val="nil"/>
              <w:bottom w:val="single" w:sz="4" w:space="0" w:color="auto"/>
              <w:right w:val="single" w:sz="4" w:space="0" w:color="auto"/>
            </w:tcBorders>
            <w:shd w:val="clear" w:color="auto" w:fill="auto"/>
            <w:vAlign w:val="center"/>
            <w:hideMark/>
          </w:tcPr>
          <w:p w14:paraId="3AB52C7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24" w:type="dxa"/>
            <w:tcBorders>
              <w:top w:val="nil"/>
              <w:left w:val="nil"/>
              <w:bottom w:val="single" w:sz="4" w:space="0" w:color="auto"/>
              <w:right w:val="single" w:sz="4" w:space="0" w:color="auto"/>
            </w:tcBorders>
            <w:shd w:val="clear" w:color="auto" w:fill="auto"/>
            <w:vAlign w:val="center"/>
            <w:hideMark/>
          </w:tcPr>
          <w:p w14:paraId="5376FE9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17118CE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3.347,00</w:t>
            </w:r>
          </w:p>
        </w:tc>
        <w:tc>
          <w:tcPr>
            <w:tcW w:w="936" w:type="dxa"/>
            <w:tcBorders>
              <w:top w:val="nil"/>
              <w:left w:val="nil"/>
              <w:bottom w:val="single" w:sz="4" w:space="0" w:color="auto"/>
              <w:right w:val="single" w:sz="4" w:space="0" w:color="auto"/>
            </w:tcBorders>
            <w:shd w:val="clear" w:color="auto" w:fill="auto"/>
            <w:vAlign w:val="center"/>
            <w:hideMark/>
          </w:tcPr>
          <w:p w14:paraId="1757F7B4"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3.347,00</w:t>
            </w:r>
          </w:p>
        </w:tc>
        <w:tc>
          <w:tcPr>
            <w:tcW w:w="905" w:type="dxa"/>
            <w:tcBorders>
              <w:top w:val="nil"/>
              <w:left w:val="nil"/>
              <w:bottom w:val="single" w:sz="4" w:space="0" w:color="auto"/>
              <w:right w:val="single" w:sz="4" w:space="0" w:color="auto"/>
            </w:tcBorders>
            <w:shd w:val="clear" w:color="auto" w:fill="auto"/>
            <w:vAlign w:val="center"/>
            <w:hideMark/>
          </w:tcPr>
          <w:p w14:paraId="24C6702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6BCA92F6"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7.268,00</w:t>
            </w:r>
          </w:p>
        </w:tc>
        <w:tc>
          <w:tcPr>
            <w:tcW w:w="937" w:type="dxa"/>
            <w:tcBorders>
              <w:top w:val="nil"/>
              <w:left w:val="nil"/>
              <w:bottom w:val="single" w:sz="4" w:space="0" w:color="auto"/>
              <w:right w:val="single" w:sz="4" w:space="0" w:color="auto"/>
            </w:tcBorders>
            <w:shd w:val="clear" w:color="auto" w:fill="auto"/>
            <w:vAlign w:val="center"/>
            <w:hideMark/>
          </w:tcPr>
          <w:p w14:paraId="5574EA0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7.268,00</w:t>
            </w:r>
          </w:p>
        </w:tc>
        <w:tc>
          <w:tcPr>
            <w:tcW w:w="1014" w:type="dxa"/>
            <w:tcBorders>
              <w:top w:val="nil"/>
              <w:left w:val="nil"/>
              <w:bottom w:val="single" w:sz="4" w:space="0" w:color="auto"/>
              <w:right w:val="single" w:sz="4" w:space="0" w:color="auto"/>
            </w:tcBorders>
            <w:shd w:val="clear" w:color="auto" w:fill="auto"/>
            <w:vAlign w:val="center"/>
            <w:hideMark/>
          </w:tcPr>
          <w:p w14:paraId="0143797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14:paraId="1496CEE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7F8DD60A" w14:textId="77777777" w:rsidTr="00C56304">
        <w:trPr>
          <w:trHeight w:val="465"/>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33ECE993"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Dezvoltarea funcționalităților soluției pentru eficientizarea procesului de licențiere, autorizare și notificare</w:t>
            </w:r>
          </w:p>
        </w:tc>
        <w:tc>
          <w:tcPr>
            <w:tcW w:w="1026" w:type="dxa"/>
            <w:tcBorders>
              <w:top w:val="nil"/>
              <w:left w:val="nil"/>
              <w:bottom w:val="single" w:sz="4" w:space="0" w:color="auto"/>
              <w:right w:val="single" w:sz="4" w:space="0" w:color="auto"/>
            </w:tcBorders>
            <w:shd w:val="clear" w:color="auto" w:fill="auto"/>
            <w:vAlign w:val="center"/>
            <w:hideMark/>
          </w:tcPr>
          <w:p w14:paraId="22C96B45"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2.023,00</w:t>
            </w:r>
          </w:p>
        </w:tc>
        <w:tc>
          <w:tcPr>
            <w:tcW w:w="846" w:type="dxa"/>
            <w:tcBorders>
              <w:top w:val="nil"/>
              <w:left w:val="nil"/>
              <w:bottom w:val="single" w:sz="4" w:space="0" w:color="auto"/>
              <w:right w:val="single" w:sz="4" w:space="0" w:color="auto"/>
            </w:tcBorders>
            <w:shd w:val="clear" w:color="auto" w:fill="auto"/>
            <w:vAlign w:val="center"/>
            <w:hideMark/>
          </w:tcPr>
          <w:p w14:paraId="2424F8C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14:paraId="3967D0E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5EC681D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1.818,00</w:t>
            </w:r>
          </w:p>
        </w:tc>
        <w:tc>
          <w:tcPr>
            <w:tcW w:w="936" w:type="dxa"/>
            <w:tcBorders>
              <w:top w:val="nil"/>
              <w:left w:val="nil"/>
              <w:bottom w:val="single" w:sz="4" w:space="0" w:color="auto"/>
              <w:right w:val="single" w:sz="4" w:space="0" w:color="auto"/>
            </w:tcBorders>
            <w:shd w:val="clear" w:color="auto" w:fill="auto"/>
            <w:vAlign w:val="center"/>
            <w:hideMark/>
          </w:tcPr>
          <w:p w14:paraId="006EFC7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1.818,00</w:t>
            </w:r>
          </w:p>
        </w:tc>
        <w:tc>
          <w:tcPr>
            <w:tcW w:w="924" w:type="dxa"/>
            <w:tcBorders>
              <w:top w:val="nil"/>
              <w:left w:val="nil"/>
              <w:bottom w:val="single" w:sz="4" w:space="0" w:color="auto"/>
              <w:right w:val="single" w:sz="4" w:space="0" w:color="auto"/>
            </w:tcBorders>
            <w:shd w:val="clear" w:color="auto" w:fill="auto"/>
            <w:vAlign w:val="center"/>
            <w:hideMark/>
          </w:tcPr>
          <w:p w14:paraId="3CD8AE16"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5F9B4CB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63DA31A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14:paraId="44AF2669"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0E616F1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4AEEF914"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4CD6518D"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55036D88"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234828AD" w14:textId="77777777" w:rsidTr="00C56304">
        <w:trPr>
          <w:trHeight w:val="288"/>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F594374"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Sistemul de gestionare a proceselor</w:t>
            </w:r>
          </w:p>
        </w:tc>
        <w:tc>
          <w:tcPr>
            <w:tcW w:w="1026" w:type="dxa"/>
            <w:tcBorders>
              <w:top w:val="nil"/>
              <w:left w:val="nil"/>
              <w:bottom w:val="single" w:sz="4" w:space="0" w:color="auto"/>
              <w:right w:val="single" w:sz="4" w:space="0" w:color="auto"/>
            </w:tcBorders>
            <w:shd w:val="clear" w:color="auto" w:fill="auto"/>
            <w:vAlign w:val="center"/>
            <w:hideMark/>
          </w:tcPr>
          <w:p w14:paraId="1E7DA2DE"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1.805,00</w:t>
            </w:r>
          </w:p>
        </w:tc>
        <w:tc>
          <w:tcPr>
            <w:tcW w:w="846" w:type="dxa"/>
            <w:tcBorders>
              <w:top w:val="nil"/>
              <w:left w:val="nil"/>
              <w:bottom w:val="single" w:sz="4" w:space="0" w:color="auto"/>
              <w:right w:val="single" w:sz="4" w:space="0" w:color="auto"/>
            </w:tcBorders>
            <w:shd w:val="clear" w:color="auto" w:fill="auto"/>
            <w:vAlign w:val="center"/>
            <w:hideMark/>
          </w:tcPr>
          <w:p w14:paraId="54DDDD8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14:paraId="5E87D3A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1BCF076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1.828,00</w:t>
            </w:r>
          </w:p>
        </w:tc>
        <w:tc>
          <w:tcPr>
            <w:tcW w:w="936" w:type="dxa"/>
            <w:tcBorders>
              <w:top w:val="nil"/>
              <w:left w:val="nil"/>
              <w:bottom w:val="single" w:sz="4" w:space="0" w:color="auto"/>
              <w:right w:val="single" w:sz="4" w:space="0" w:color="auto"/>
            </w:tcBorders>
            <w:shd w:val="clear" w:color="auto" w:fill="auto"/>
            <w:vAlign w:val="center"/>
            <w:hideMark/>
          </w:tcPr>
          <w:p w14:paraId="705AF50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1.828,00</w:t>
            </w:r>
          </w:p>
        </w:tc>
        <w:tc>
          <w:tcPr>
            <w:tcW w:w="924" w:type="dxa"/>
            <w:tcBorders>
              <w:top w:val="nil"/>
              <w:left w:val="nil"/>
              <w:bottom w:val="single" w:sz="4" w:space="0" w:color="auto"/>
              <w:right w:val="single" w:sz="4" w:space="0" w:color="auto"/>
            </w:tcBorders>
            <w:shd w:val="clear" w:color="auto" w:fill="auto"/>
            <w:vAlign w:val="center"/>
            <w:hideMark/>
          </w:tcPr>
          <w:p w14:paraId="6C779AE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437EB67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1.936,00</w:t>
            </w:r>
          </w:p>
        </w:tc>
        <w:tc>
          <w:tcPr>
            <w:tcW w:w="936" w:type="dxa"/>
            <w:tcBorders>
              <w:top w:val="nil"/>
              <w:left w:val="nil"/>
              <w:bottom w:val="single" w:sz="4" w:space="0" w:color="auto"/>
              <w:right w:val="single" w:sz="4" w:space="0" w:color="auto"/>
            </w:tcBorders>
            <w:shd w:val="clear" w:color="auto" w:fill="auto"/>
            <w:vAlign w:val="center"/>
            <w:hideMark/>
          </w:tcPr>
          <w:p w14:paraId="6F2B84C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989,00</w:t>
            </w:r>
          </w:p>
        </w:tc>
        <w:tc>
          <w:tcPr>
            <w:tcW w:w="905" w:type="dxa"/>
            <w:tcBorders>
              <w:top w:val="nil"/>
              <w:left w:val="nil"/>
              <w:bottom w:val="single" w:sz="4" w:space="0" w:color="auto"/>
              <w:right w:val="single" w:sz="4" w:space="0" w:color="auto"/>
            </w:tcBorders>
            <w:shd w:val="clear" w:color="auto" w:fill="auto"/>
            <w:vAlign w:val="center"/>
            <w:hideMark/>
          </w:tcPr>
          <w:p w14:paraId="7392401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4CB2161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1.938,00</w:t>
            </w:r>
          </w:p>
        </w:tc>
        <w:tc>
          <w:tcPr>
            <w:tcW w:w="937" w:type="dxa"/>
            <w:tcBorders>
              <w:top w:val="nil"/>
              <w:left w:val="nil"/>
              <w:bottom w:val="single" w:sz="4" w:space="0" w:color="auto"/>
              <w:right w:val="single" w:sz="4" w:space="0" w:color="auto"/>
            </w:tcBorders>
            <w:shd w:val="clear" w:color="auto" w:fill="auto"/>
            <w:vAlign w:val="center"/>
            <w:hideMark/>
          </w:tcPr>
          <w:p w14:paraId="67053DF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973,00</w:t>
            </w:r>
          </w:p>
        </w:tc>
        <w:tc>
          <w:tcPr>
            <w:tcW w:w="1014" w:type="dxa"/>
            <w:tcBorders>
              <w:top w:val="nil"/>
              <w:left w:val="nil"/>
              <w:bottom w:val="single" w:sz="4" w:space="0" w:color="auto"/>
              <w:right w:val="single" w:sz="4" w:space="0" w:color="auto"/>
            </w:tcBorders>
            <w:shd w:val="clear" w:color="auto" w:fill="auto"/>
            <w:vAlign w:val="center"/>
            <w:hideMark/>
          </w:tcPr>
          <w:p w14:paraId="4F2680D2"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14:paraId="1328E79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1AF8FEF9" w14:textId="77777777" w:rsidTr="00C56304">
        <w:trPr>
          <w:trHeight w:val="196"/>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224D3284"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xml:space="preserve">Linie automată pentru procesarea, </w:t>
            </w:r>
            <w:proofErr w:type="spellStart"/>
            <w:r w:rsidRPr="00650D66">
              <w:rPr>
                <w:rFonts w:ascii="Times New Roman" w:hAnsi="Times New Roman" w:cs="Times New Roman"/>
                <w:color w:val="000000"/>
                <w:sz w:val="18"/>
                <w:szCs w:val="18"/>
                <w:lang w:val="ro-RO"/>
              </w:rPr>
              <w:t>fișicarea</w:t>
            </w:r>
            <w:proofErr w:type="spellEnd"/>
            <w:r w:rsidRPr="00650D66">
              <w:rPr>
                <w:rFonts w:ascii="Times New Roman" w:hAnsi="Times New Roman" w:cs="Times New Roman"/>
                <w:color w:val="000000"/>
                <w:sz w:val="18"/>
                <w:szCs w:val="18"/>
                <w:lang w:val="ro-RO"/>
              </w:rPr>
              <w:t xml:space="preserve"> și ambalarea monedelor metalice</w:t>
            </w:r>
          </w:p>
        </w:tc>
        <w:tc>
          <w:tcPr>
            <w:tcW w:w="1026" w:type="dxa"/>
            <w:tcBorders>
              <w:top w:val="nil"/>
              <w:left w:val="nil"/>
              <w:bottom w:val="single" w:sz="4" w:space="0" w:color="auto"/>
              <w:right w:val="single" w:sz="4" w:space="0" w:color="auto"/>
            </w:tcBorders>
            <w:shd w:val="clear" w:color="auto" w:fill="auto"/>
            <w:vAlign w:val="center"/>
            <w:hideMark/>
          </w:tcPr>
          <w:p w14:paraId="0697B83D"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14:paraId="0583BE2D"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14:paraId="2A2378CD"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2DDE09A5"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3.970,00</w:t>
            </w:r>
          </w:p>
        </w:tc>
        <w:tc>
          <w:tcPr>
            <w:tcW w:w="936" w:type="dxa"/>
            <w:tcBorders>
              <w:top w:val="nil"/>
              <w:left w:val="nil"/>
              <w:bottom w:val="single" w:sz="4" w:space="0" w:color="auto"/>
              <w:right w:val="single" w:sz="4" w:space="0" w:color="auto"/>
            </w:tcBorders>
            <w:shd w:val="clear" w:color="auto" w:fill="auto"/>
            <w:vAlign w:val="center"/>
            <w:hideMark/>
          </w:tcPr>
          <w:p w14:paraId="3A24C91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3.970,00</w:t>
            </w:r>
          </w:p>
        </w:tc>
        <w:tc>
          <w:tcPr>
            <w:tcW w:w="924" w:type="dxa"/>
            <w:tcBorders>
              <w:top w:val="nil"/>
              <w:left w:val="nil"/>
              <w:bottom w:val="single" w:sz="4" w:space="0" w:color="auto"/>
              <w:right w:val="single" w:sz="4" w:space="0" w:color="auto"/>
            </w:tcBorders>
            <w:shd w:val="clear" w:color="auto" w:fill="auto"/>
            <w:vAlign w:val="center"/>
            <w:hideMark/>
          </w:tcPr>
          <w:p w14:paraId="30447D5C"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4E89F6C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3.789,00</w:t>
            </w:r>
          </w:p>
        </w:tc>
        <w:tc>
          <w:tcPr>
            <w:tcW w:w="936" w:type="dxa"/>
            <w:tcBorders>
              <w:top w:val="nil"/>
              <w:left w:val="nil"/>
              <w:bottom w:val="single" w:sz="4" w:space="0" w:color="auto"/>
              <w:right w:val="single" w:sz="4" w:space="0" w:color="auto"/>
            </w:tcBorders>
            <w:shd w:val="clear" w:color="auto" w:fill="auto"/>
            <w:vAlign w:val="center"/>
            <w:hideMark/>
          </w:tcPr>
          <w:p w14:paraId="1DCC3D2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3.789,00</w:t>
            </w:r>
          </w:p>
        </w:tc>
        <w:tc>
          <w:tcPr>
            <w:tcW w:w="905" w:type="dxa"/>
            <w:tcBorders>
              <w:top w:val="nil"/>
              <w:left w:val="nil"/>
              <w:bottom w:val="single" w:sz="4" w:space="0" w:color="auto"/>
              <w:right w:val="single" w:sz="4" w:space="0" w:color="auto"/>
            </w:tcBorders>
            <w:shd w:val="clear" w:color="auto" w:fill="auto"/>
            <w:vAlign w:val="center"/>
            <w:hideMark/>
          </w:tcPr>
          <w:p w14:paraId="3F51EDDC"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451EE6B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7.536,00</w:t>
            </w:r>
          </w:p>
        </w:tc>
        <w:tc>
          <w:tcPr>
            <w:tcW w:w="937" w:type="dxa"/>
            <w:tcBorders>
              <w:top w:val="nil"/>
              <w:left w:val="nil"/>
              <w:bottom w:val="single" w:sz="4" w:space="0" w:color="auto"/>
              <w:right w:val="single" w:sz="4" w:space="0" w:color="auto"/>
            </w:tcBorders>
            <w:shd w:val="clear" w:color="auto" w:fill="auto"/>
            <w:vAlign w:val="center"/>
            <w:hideMark/>
          </w:tcPr>
          <w:p w14:paraId="4D85D37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7.536,00</w:t>
            </w:r>
          </w:p>
        </w:tc>
        <w:tc>
          <w:tcPr>
            <w:tcW w:w="1014" w:type="dxa"/>
            <w:tcBorders>
              <w:top w:val="nil"/>
              <w:left w:val="nil"/>
              <w:bottom w:val="single" w:sz="4" w:space="0" w:color="auto"/>
              <w:right w:val="single" w:sz="4" w:space="0" w:color="auto"/>
            </w:tcBorders>
            <w:shd w:val="clear" w:color="auto" w:fill="auto"/>
            <w:vAlign w:val="center"/>
            <w:hideMark/>
          </w:tcPr>
          <w:p w14:paraId="220F80E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14:paraId="47D03E76"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6EE2F724" w14:textId="77777777" w:rsidTr="00C56304">
        <w:trPr>
          <w:trHeight w:val="173"/>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5D5A6295"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xml:space="preserve">Consumabile pentru procesarea, </w:t>
            </w:r>
            <w:proofErr w:type="spellStart"/>
            <w:r w:rsidRPr="00650D66">
              <w:rPr>
                <w:rFonts w:ascii="Times New Roman" w:hAnsi="Times New Roman" w:cs="Times New Roman"/>
                <w:color w:val="000000"/>
                <w:sz w:val="18"/>
                <w:szCs w:val="18"/>
                <w:lang w:val="ro-RO"/>
              </w:rPr>
              <w:t>fișicarea</w:t>
            </w:r>
            <w:proofErr w:type="spellEnd"/>
            <w:r w:rsidRPr="00650D66">
              <w:rPr>
                <w:rFonts w:ascii="Times New Roman" w:hAnsi="Times New Roman" w:cs="Times New Roman"/>
                <w:color w:val="000000"/>
                <w:sz w:val="18"/>
                <w:szCs w:val="18"/>
                <w:lang w:val="ro-RO"/>
              </w:rPr>
              <w:t xml:space="preserve"> </w:t>
            </w:r>
            <w:r w:rsidRPr="00650D66">
              <w:rPr>
                <w:rFonts w:ascii="Times New Roman" w:hAnsi="Times New Roman" w:cs="Times New Roman"/>
                <w:color w:val="000000"/>
                <w:sz w:val="18"/>
                <w:szCs w:val="18"/>
                <w:lang w:val="ro-RO"/>
              </w:rPr>
              <w:lastRenderedPageBreak/>
              <w:t>și ambalarea monedelor metalice</w:t>
            </w:r>
          </w:p>
        </w:tc>
        <w:tc>
          <w:tcPr>
            <w:tcW w:w="1026" w:type="dxa"/>
            <w:tcBorders>
              <w:top w:val="nil"/>
              <w:left w:val="nil"/>
              <w:bottom w:val="single" w:sz="4" w:space="0" w:color="auto"/>
              <w:right w:val="single" w:sz="4" w:space="0" w:color="auto"/>
            </w:tcBorders>
            <w:shd w:val="clear" w:color="auto" w:fill="auto"/>
            <w:vAlign w:val="center"/>
            <w:hideMark/>
          </w:tcPr>
          <w:p w14:paraId="6F84DCF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lastRenderedPageBreak/>
              <w:t> </w:t>
            </w:r>
          </w:p>
        </w:tc>
        <w:tc>
          <w:tcPr>
            <w:tcW w:w="846" w:type="dxa"/>
            <w:tcBorders>
              <w:top w:val="nil"/>
              <w:left w:val="nil"/>
              <w:bottom w:val="single" w:sz="4" w:space="0" w:color="auto"/>
              <w:right w:val="single" w:sz="4" w:space="0" w:color="auto"/>
            </w:tcBorders>
            <w:shd w:val="clear" w:color="auto" w:fill="auto"/>
            <w:vAlign w:val="center"/>
            <w:hideMark/>
          </w:tcPr>
          <w:p w14:paraId="571D228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14:paraId="13C37822"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4CE45BF6"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200,00</w:t>
            </w:r>
          </w:p>
        </w:tc>
        <w:tc>
          <w:tcPr>
            <w:tcW w:w="936" w:type="dxa"/>
            <w:tcBorders>
              <w:top w:val="nil"/>
              <w:left w:val="nil"/>
              <w:bottom w:val="single" w:sz="4" w:space="0" w:color="auto"/>
              <w:right w:val="single" w:sz="4" w:space="0" w:color="auto"/>
            </w:tcBorders>
            <w:shd w:val="clear" w:color="auto" w:fill="auto"/>
            <w:vAlign w:val="center"/>
            <w:hideMark/>
          </w:tcPr>
          <w:p w14:paraId="6FA8BB44"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200,00</w:t>
            </w:r>
          </w:p>
        </w:tc>
        <w:tc>
          <w:tcPr>
            <w:tcW w:w="924" w:type="dxa"/>
            <w:tcBorders>
              <w:top w:val="nil"/>
              <w:left w:val="nil"/>
              <w:bottom w:val="single" w:sz="4" w:space="0" w:color="auto"/>
              <w:right w:val="single" w:sz="4" w:space="0" w:color="auto"/>
            </w:tcBorders>
            <w:shd w:val="clear" w:color="auto" w:fill="auto"/>
            <w:vAlign w:val="center"/>
            <w:hideMark/>
          </w:tcPr>
          <w:p w14:paraId="372503C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220FE97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64,00</w:t>
            </w:r>
          </w:p>
        </w:tc>
        <w:tc>
          <w:tcPr>
            <w:tcW w:w="936" w:type="dxa"/>
            <w:tcBorders>
              <w:top w:val="nil"/>
              <w:left w:val="nil"/>
              <w:bottom w:val="single" w:sz="4" w:space="0" w:color="auto"/>
              <w:right w:val="single" w:sz="4" w:space="0" w:color="auto"/>
            </w:tcBorders>
            <w:shd w:val="clear" w:color="auto" w:fill="auto"/>
            <w:vAlign w:val="center"/>
            <w:hideMark/>
          </w:tcPr>
          <w:p w14:paraId="577BC50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64,00</w:t>
            </w:r>
          </w:p>
        </w:tc>
        <w:tc>
          <w:tcPr>
            <w:tcW w:w="905" w:type="dxa"/>
            <w:tcBorders>
              <w:top w:val="nil"/>
              <w:left w:val="nil"/>
              <w:bottom w:val="single" w:sz="4" w:space="0" w:color="auto"/>
              <w:right w:val="single" w:sz="4" w:space="0" w:color="auto"/>
            </w:tcBorders>
            <w:shd w:val="clear" w:color="auto" w:fill="auto"/>
            <w:vAlign w:val="center"/>
            <w:hideMark/>
          </w:tcPr>
          <w:p w14:paraId="42429F1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10DE37B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380CDCD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60822BF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7CDE1545"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2033AAB8" w14:textId="77777777" w:rsidTr="00C56304">
        <w:trPr>
          <w:trHeight w:val="138"/>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143022AE"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Extinderea capacităților de infrastructură</w:t>
            </w:r>
          </w:p>
        </w:tc>
        <w:tc>
          <w:tcPr>
            <w:tcW w:w="1026" w:type="dxa"/>
            <w:tcBorders>
              <w:top w:val="nil"/>
              <w:left w:val="nil"/>
              <w:bottom w:val="single" w:sz="4" w:space="0" w:color="auto"/>
              <w:right w:val="single" w:sz="4" w:space="0" w:color="auto"/>
            </w:tcBorders>
            <w:shd w:val="clear" w:color="auto" w:fill="auto"/>
            <w:vAlign w:val="center"/>
            <w:hideMark/>
          </w:tcPr>
          <w:p w14:paraId="15AF37C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14:paraId="7DFB29C6"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14:paraId="277E8D6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3D02DD91"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31FACBE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14:paraId="7D6D610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682FB935"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12.212,00</w:t>
            </w:r>
          </w:p>
        </w:tc>
        <w:tc>
          <w:tcPr>
            <w:tcW w:w="936" w:type="dxa"/>
            <w:tcBorders>
              <w:top w:val="nil"/>
              <w:left w:val="nil"/>
              <w:bottom w:val="single" w:sz="4" w:space="0" w:color="auto"/>
              <w:right w:val="single" w:sz="4" w:space="0" w:color="auto"/>
            </w:tcBorders>
            <w:shd w:val="clear" w:color="auto" w:fill="auto"/>
            <w:vAlign w:val="center"/>
            <w:hideMark/>
          </w:tcPr>
          <w:p w14:paraId="09E10FA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12.212,00</w:t>
            </w:r>
          </w:p>
        </w:tc>
        <w:tc>
          <w:tcPr>
            <w:tcW w:w="905" w:type="dxa"/>
            <w:tcBorders>
              <w:top w:val="nil"/>
              <w:left w:val="nil"/>
              <w:bottom w:val="single" w:sz="4" w:space="0" w:color="auto"/>
              <w:right w:val="single" w:sz="4" w:space="0" w:color="auto"/>
            </w:tcBorders>
            <w:shd w:val="clear" w:color="auto" w:fill="auto"/>
            <w:vAlign w:val="center"/>
            <w:hideMark/>
          </w:tcPr>
          <w:p w14:paraId="1A234F7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57AD60F9"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7.605,00</w:t>
            </w:r>
          </w:p>
        </w:tc>
        <w:tc>
          <w:tcPr>
            <w:tcW w:w="937" w:type="dxa"/>
            <w:tcBorders>
              <w:top w:val="nil"/>
              <w:left w:val="nil"/>
              <w:bottom w:val="single" w:sz="4" w:space="0" w:color="auto"/>
              <w:right w:val="single" w:sz="4" w:space="0" w:color="auto"/>
            </w:tcBorders>
            <w:shd w:val="clear" w:color="auto" w:fill="auto"/>
            <w:vAlign w:val="center"/>
            <w:hideMark/>
          </w:tcPr>
          <w:p w14:paraId="316E263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7.605,00</w:t>
            </w:r>
          </w:p>
        </w:tc>
        <w:tc>
          <w:tcPr>
            <w:tcW w:w="1014" w:type="dxa"/>
            <w:tcBorders>
              <w:top w:val="nil"/>
              <w:left w:val="nil"/>
              <w:bottom w:val="single" w:sz="4" w:space="0" w:color="auto"/>
              <w:right w:val="single" w:sz="4" w:space="0" w:color="auto"/>
            </w:tcBorders>
            <w:shd w:val="clear" w:color="auto" w:fill="auto"/>
            <w:vAlign w:val="center"/>
            <w:hideMark/>
          </w:tcPr>
          <w:p w14:paraId="69BE070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7.232,48</w:t>
            </w:r>
          </w:p>
        </w:tc>
        <w:tc>
          <w:tcPr>
            <w:tcW w:w="998" w:type="dxa"/>
            <w:tcBorders>
              <w:top w:val="nil"/>
              <w:left w:val="nil"/>
              <w:bottom w:val="single" w:sz="4" w:space="0" w:color="auto"/>
              <w:right w:val="single" w:sz="4" w:space="0" w:color="auto"/>
            </w:tcBorders>
            <w:shd w:val="clear" w:color="auto" w:fill="auto"/>
            <w:vAlign w:val="center"/>
            <w:hideMark/>
          </w:tcPr>
          <w:p w14:paraId="3A2107C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7.232,48</w:t>
            </w:r>
          </w:p>
        </w:tc>
      </w:tr>
      <w:tr w:rsidR="00255C09" w:rsidRPr="00650D66" w14:paraId="43C4E7ED" w14:textId="77777777" w:rsidTr="00C56304">
        <w:trPr>
          <w:trHeight w:val="184"/>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9291760"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Echipament pentru soluția informatică de gestionare a operațiunilor cu numerar</w:t>
            </w:r>
          </w:p>
        </w:tc>
        <w:tc>
          <w:tcPr>
            <w:tcW w:w="1026" w:type="dxa"/>
            <w:tcBorders>
              <w:top w:val="nil"/>
              <w:left w:val="nil"/>
              <w:bottom w:val="single" w:sz="4" w:space="0" w:color="auto"/>
              <w:right w:val="single" w:sz="4" w:space="0" w:color="auto"/>
            </w:tcBorders>
            <w:shd w:val="clear" w:color="auto" w:fill="auto"/>
            <w:vAlign w:val="center"/>
            <w:hideMark/>
          </w:tcPr>
          <w:p w14:paraId="3872C978"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263,00</w:t>
            </w:r>
          </w:p>
        </w:tc>
        <w:tc>
          <w:tcPr>
            <w:tcW w:w="846" w:type="dxa"/>
            <w:tcBorders>
              <w:top w:val="nil"/>
              <w:left w:val="nil"/>
              <w:bottom w:val="single" w:sz="4" w:space="0" w:color="auto"/>
              <w:right w:val="single" w:sz="4" w:space="0" w:color="auto"/>
            </w:tcBorders>
            <w:shd w:val="clear" w:color="auto" w:fill="auto"/>
            <w:vAlign w:val="center"/>
            <w:hideMark/>
          </w:tcPr>
          <w:p w14:paraId="26A7C35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14:paraId="0CFE4DD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12FC9AB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244,00</w:t>
            </w:r>
          </w:p>
        </w:tc>
        <w:tc>
          <w:tcPr>
            <w:tcW w:w="936" w:type="dxa"/>
            <w:tcBorders>
              <w:top w:val="nil"/>
              <w:left w:val="nil"/>
              <w:bottom w:val="single" w:sz="4" w:space="0" w:color="auto"/>
              <w:right w:val="single" w:sz="4" w:space="0" w:color="auto"/>
            </w:tcBorders>
            <w:shd w:val="clear" w:color="auto" w:fill="auto"/>
            <w:vAlign w:val="center"/>
            <w:hideMark/>
          </w:tcPr>
          <w:p w14:paraId="7FC7B950"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24" w:type="dxa"/>
            <w:tcBorders>
              <w:top w:val="nil"/>
              <w:left w:val="nil"/>
              <w:bottom w:val="single" w:sz="4" w:space="0" w:color="auto"/>
              <w:right w:val="single" w:sz="4" w:space="0" w:color="auto"/>
            </w:tcBorders>
            <w:shd w:val="clear" w:color="auto" w:fill="auto"/>
            <w:vAlign w:val="center"/>
            <w:hideMark/>
          </w:tcPr>
          <w:p w14:paraId="2C1D2EA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769432A8"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2E683D62"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14:paraId="7007B73C"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730D6271"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258,00</w:t>
            </w:r>
          </w:p>
        </w:tc>
        <w:tc>
          <w:tcPr>
            <w:tcW w:w="937" w:type="dxa"/>
            <w:tcBorders>
              <w:top w:val="nil"/>
              <w:left w:val="nil"/>
              <w:bottom w:val="single" w:sz="4" w:space="0" w:color="auto"/>
              <w:right w:val="single" w:sz="4" w:space="0" w:color="auto"/>
            </w:tcBorders>
            <w:shd w:val="clear" w:color="auto" w:fill="auto"/>
            <w:vAlign w:val="center"/>
            <w:hideMark/>
          </w:tcPr>
          <w:p w14:paraId="63868DB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14" w:type="dxa"/>
            <w:tcBorders>
              <w:top w:val="nil"/>
              <w:left w:val="nil"/>
              <w:bottom w:val="single" w:sz="4" w:space="0" w:color="auto"/>
              <w:right w:val="single" w:sz="4" w:space="0" w:color="auto"/>
            </w:tcBorders>
            <w:shd w:val="clear" w:color="auto" w:fill="auto"/>
            <w:vAlign w:val="center"/>
            <w:hideMark/>
          </w:tcPr>
          <w:p w14:paraId="3BF8CC9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14:paraId="52CDFF38"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09E4A00E" w14:textId="77777777" w:rsidTr="00C56304">
        <w:trPr>
          <w:trHeight w:val="289"/>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4024E1B"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Modernizarea Sistemului de arhivare electronică a documentelor (licențe suplimentare pentru digitalizarea arhivei BNM)</w:t>
            </w:r>
          </w:p>
        </w:tc>
        <w:tc>
          <w:tcPr>
            <w:tcW w:w="1026" w:type="dxa"/>
            <w:tcBorders>
              <w:top w:val="nil"/>
              <w:left w:val="nil"/>
              <w:bottom w:val="single" w:sz="4" w:space="0" w:color="auto"/>
              <w:right w:val="single" w:sz="4" w:space="0" w:color="auto"/>
            </w:tcBorders>
            <w:shd w:val="clear" w:color="auto" w:fill="auto"/>
            <w:vAlign w:val="center"/>
            <w:hideMark/>
          </w:tcPr>
          <w:p w14:paraId="177B47F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14:paraId="6F838BD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14:paraId="2498A62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0F2AE12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7B0BD3AD"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14:paraId="0FC49D7F"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04DAB82E"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55D8622D"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14:paraId="693B2B4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1DF8B90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115,00</w:t>
            </w:r>
          </w:p>
        </w:tc>
        <w:tc>
          <w:tcPr>
            <w:tcW w:w="937" w:type="dxa"/>
            <w:tcBorders>
              <w:top w:val="nil"/>
              <w:left w:val="nil"/>
              <w:bottom w:val="single" w:sz="4" w:space="0" w:color="auto"/>
              <w:right w:val="single" w:sz="4" w:space="0" w:color="auto"/>
            </w:tcBorders>
            <w:shd w:val="clear" w:color="auto" w:fill="auto"/>
            <w:vAlign w:val="center"/>
            <w:hideMark/>
          </w:tcPr>
          <w:p w14:paraId="69DE569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115,00</w:t>
            </w:r>
          </w:p>
        </w:tc>
        <w:tc>
          <w:tcPr>
            <w:tcW w:w="1014" w:type="dxa"/>
            <w:tcBorders>
              <w:top w:val="nil"/>
              <w:left w:val="nil"/>
              <w:bottom w:val="single" w:sz="4" w:space="0" w:color="auto"/>
              <w:right w:val="single" w:sz="4" w:space="0" w:color="auto"/>
            </w:tcBorders>
            <w:shd w:val="clear" w:color="auto" w:fill="auto"/>
            <w:vAlign w:val="center"/>
            <w:hideMark/>
          </w:tcPr>
          <w:p w14:paraId="11ADE3E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89,16</w:t>
            </w:r>
          </w:p>
        </w:tc>
        <w:tc>
          <w:tcPr>
            <w:tcW w:w="998" w:type="dxa"/>
            <w:tcBorders>
              <w:top w:val="nil"/>
              <w:left w:val="nil"/>
              <w:bottom w:val="single" w:sz="4" w:space="0" w:color="auto"/>
              <w:right w:val="single" w:sz="4" w:space="0" w:color="auto"/>
            </w:tcBorders>
            <w:shd w:val="clear" w:color="auto" w:fill="auto"/>
            <w:vAlign w:val="center"/>
            <w:hideMark/>
          </w:tcPr>
          <w:p w14:paraId="570C31F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89,16</w:t>
            </w:r>
          </w:p>
        </w:tc>
      </w:tr>
      <w:tr w:rsidR="00255C09" w:rsidRPr="00650D66" w14:paraId="14C4BF54" w14:textId="77777777" w:rsidTr="00C56304">
        <w:trPr>
          <w:trHeight w:val="58"/>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22DCE0BA"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implementarea soluției informatice pentru organizarea activității cantinei</w:t>
            </w:r>
          </w:p>
        </w:tc>
        <w:tc>
          <w:tcPr>
            <w:tcW w:w="1026" w:type="dxa"/>
            <w:tcBorders>
              <w:top w:val="nil"/>
              <w:left w:val="nil"/>
              <w:bottom w:val="single" w:sz="4" w:space="0" w:color="auto"/>
              <w:right w:val="single" w:sz="4" w:space="0" w:color="auto"/>
            </w:tcBorders>
            <w:shd w:val="clear" w:color="auto" w:fill="auto"/>
            <w:noWrap/>
            <w:vAlign w:val="bottom"/>
            <w:hideMark/>
          </w:tcPr>
          <w:p w14:paraId="0EA5F66C"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noWrap/>
            <w:vAlign w:val="bottom"/>
            <w:hideMark/>
          </w:tcPr>
          <w:p w14:paraId="0FEB3F37"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noWrap/>
            <w:vAlign w:val="bottom"/>
            <w:hideMark/>
          </w:tcPr>
          <w:p w14:paraId="4EE4DA60"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noWrap/>
            <w:vAlign w:val="bottom"/>
            <w:hideMark/>
          </w:tcPr>
          <w:p w14:paraId="3C9A73F6"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noWrap/>
            <w:vAlign w:val="bottom"/>
            <w:hideMark/>
          </w:tcPr>
          <w:p w14:paraId="0C5F6B1A"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noWrap/>
            <w:vAlign w:val="bottom"/>
            <w:hideMark/>
          </w:tcPr>
          <w:p w14:paraId="439C89E7"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noWrap/>
            <w:vAlign w:val="bottom"/>
            <w:hideMark/>
          </w:tcPr>
          <w:p w14:paraId="67634B5E"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noWrap/>
            <w:vAlign w:val="bottom"/>
            <w:hideMark/>
          </w:tcPr>
          <w:p w14:paraId="674F36EE"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64FB23DF"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119C12EF"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350,00</w:t>
            </w:r>
          </w:p>
        </w:tc>
        <w:tc>
          <w:tcPr>
            <w:tcW w:w="937" w:type="dxa"/>
            <w:tcBorders>
              <w:top w:val="nil"/>
              <w:left w:val="nil"/>
              <w:bottom w:val="single" w:sz="4" w:space="0" w:color="auto"/>
              <w:right w:val="single" w:sz="4" w:space="0" w:color="auto"/>
            </w:tcBorders>
            <w:shd w:val="clear" w:color="auto" w:fill="auto"/>
            <w:vAlign w:val="center"/>
            <w:hideMark/>
          </w:tcPr>
          <w:p w14:paraId="2B8F0409"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350,00</w:t>
            </w:r>
          </w:p>
        </w:tc>
        <w:tc>
          <w:tcPr>
            <w:tcW w:w="1014" w:type="dxa"/>
            <w:tcBorders>
              <w:top w:val="nil"/>
              <w:left w:val="nil"/>
              <w:bottom w:val="single" w:sz="4" w:space="0" w:color="auto"/>
              <w:right w:val="single" w:sz="4" w:space="0" w:color="auto"/>
            </w:tcBorders>
            <w:shd w:val="clear" w:color="auto" w:fill="auto"/>
            <w:vAlign w:val="center"/>
            <w:hideMark/>
          </w:tcPr>
          <w:p w14:paraId="289AA35D"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14:paraId="4F79F54F"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0B135302" w14:textId="77777777" w:rsidTr="00C56304">
        <w:trPr>
          <w:trHeight w:val="433"/>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5AECB502"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elaborarea proiectului de execuție pentru construcția cantinei și reconstrucția unor birouri</w:t>
            </w:r>
          </w:p>
        </w:tc>
        <w:tc>
          <w:tcPr>
            <w:tcW w:w="1026" w:type="dxa"/>
            <w:tcBorders>
              <w:top w:val="nil"/>
              <w:left w:val="nil"/>
              <w:bottom w:val="single" w:sz="4" w:space="0" w:color="auto"/>
              <w:right w:val="single" w:sz="4" w:space="0" w:color="auto"/>
            </w:tcBorders>
            <w:shd w:val="clear" w:color="auto" w:fill="auto"/>
            <w:noWrap/>
            <w:vAlign w:val="center"/>
            <w:hideMark/>
          </w:tcPr>
          <w:p w14:paraId="45E8F01B"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465,00</w:t>
            </w:r>
          </w:p>
        </w:tc>
        <w:tc>
          <w:tcPr>
            <w:tcW w:w="846" w:type="dxa"/>
            <w:tcBorders>
              <w:top w:val="nil"/>
              <w:left w:val="nil"/>
              <w:bottom w:val="single" w:sz="4" w:space="0" w:color="auto"/>
              <w:right w:val="single" w:sz="4" w:space="0" w:color="auto"/>
            </w:tcBorders>
            <w:shd w:val="clear" w:color="auto" w:fill="auto"/>
            <w:noWrap/>
            <w:vAlign w:val="center"/>
            <w:hideMark/>
          </w:tcPr>
          <w:p w14:paraId="1450289C"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465,00</w:t>
            </w:r>
          </w:p>
        </w:tc>
        <w:tc>
          <w:tcPr>
            <w:tcW w:w="930" w:type="dxa"/>
            <w:tcBorders>
              <w:top w:val="nil"/>
              <w:left w:val="nil"/>
              <w:bottom w:val="single" w:sz="4" w:space="0" w:color="auto"/>
              <w:right w:val="single" w:sz="4" w:space="0" w:color="auto"/>
            </w:tcBorders>
            <w:shd w:val="clear" w:color="auto" w:fill="auto"/>
            <w:noWrap/>
            <w:vAlign w:val="center"/>
            <w:hideMark/>
          </w:tcPr>
          <w:p w14:paraId="6232924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116,91</w:t>
            </w:r>
          </w:p>
        </w:tc>
        <w:tc>
          <w:tcPr>
            <w:tcW w:w="1026" w:type="dxa"/>
            <w:tcBorders>
              <w:top w:val="nil"/>
              <w:left w:val="nil"/>
              <w:bottom w:val="single" w:sz="4" w:space="0" w:color="auto"/>
              <w:right w:val="single" w:sz="4" w:space="0" w:color="auto"/>
            </w:tcBorders>
            <w:shd w:val="clear" w:color="auto" w:fill="auto"/>
            <w:noWrap/>
            <w:vAlign w:val="center"/>
            <w:hideMark/>
          </w:tcPr>
          <w:p w14:paraId="4921C08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276,00</w:t>
            </w:r>
          </w:p>
        </w:tc>
        <w:tc>
          <w:tcPr>
            <w:tcW w:w="936" w:type="dxa"/>
            <w:tcBorders>
              <w:top w:val="nil"/>
              <w:left w:val="nil"/>
              <w:bottom w:val="single" w:sz="4" w:space="0" w:color="auto"/>
              <w:right w:val="single" w:sz="4" w:space="0" w:color="auto"/>
            </w:tcBorders>
            <w:shd w:val="clear" w:color="auto" w:fill="auto"/>
            <w:noWrap/>
            <w:vAlign w:val="center"/>
            <w:hideMark/>
          </w:tcPr>
          <w:p w14:paraId="2EE49B2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276,00</w:t>
            </w:r>
          </w:p>
        </w:tc>
        <w:tc>
          <w:tcPr>
            <w:tcW w:w="924" w:type="dxa"/>
            <w:tcBorders>
              <w:top w:val="nil"/>
              <w:left w:val="nil"/>
              <w:bottom w:val="single" w:sz="4" w:space="0" w:color="auto"/>
              <w:right w:val="single" w:sz="4" w:space="0" w:color="auto"/>
            </w:tcBorders>
            <w:shd w:val="clear" w:color="auto" w:fill="auto"/>
            <w:noWrap/>
            <w:vAlign w:val="center"/>
            <w:hideMark/>
          </w:tcPr>
          <w:p w14:paraId="13209D9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258,33</w:t>
            </w:r>
          </w:p>
        </w:tc>
        <w:tc>
          <w:tcPr>
            <w:tcW w:w="1026" w:type="dxa"/>
            <w:tcBorders>
              <w:top w:val="nil"/>
              <w:left w:val="nil"/>
              <w:bottom w:val="single" w:sz="4" w:space="0" w:color="auto"/>
              <w:right w:val="single" w:sz="4" w:space="0" w:color="auto"/>
            </w:tcBorders>
            <w:shd w:val="clear" w:color="auto" w:fill="auto"/>
            <w:noWrap/>
            <w:vAlign w:val="center"/>
            <w:hideMark/>
          </w:tcPr>
          <w:p w14:paraId="654A070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noWrap/>
            <w:vAlign w:val="center"/>
            <w:hideMark/>
          </w:tcPr>
          <w:p w14:paraId="63FBEC8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noWrap/>
            <w:vAlign w:val="center"/>
            <w:hideMark/>
          </w:tcPr>
          <w:p w14:paraId="52AE139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7B318CA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36EE8B0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7857B48C"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57B6637B"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375,24</w:t>
            </w:r>
          </w:p>
        </w:tc>
      </w:tr>
      <w:tr w:rsidR="00255C09" w:rsidRPr="00650D66" w14:paraId="03A4692B" w14:textId="77777777" w:rsidTr="00C56304">
        <w:trPr>
          <w:trHeight w:val="548"/>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F6427B9"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Implementarea soluției pentru eficientizarea procesului de monitorizare a transparenței acționarilor și analizei la distanță în domeniul combaterii spălării banilor și finanțării terorismului</w:t>
            </w:r>
          </w:p>
        </w:tc>
        <w:tc>
          <w:tcPr>
            <w:tcW w:w="1026" w:type="dxa"/>
            <w:tcBorders>
              <w:top w:val="nil"/>
              <w:left w:val="nil"/>
              <w:bottom w:val="single" w:sz="4" w:space="0" w:color="auto"/>
              <w:right w:val="single" w:sz="4" w:space="0" w:color="auto"/>
            </w:tcBorders>
            <w:shd w:val="clear" w:color="auto" w:fill="auto"/>
            <w:vAlign w:val="center"/>
            <w:hideMark/>
          </w:tcPr>
          <w:p w14:paraId="4054E6A8"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29.380,00</w:t>
            </w:r>
          </w:p>
        </w:tc>
        <w:tc>
          <w:tcPr>
            <w:tcW w:w="846" w:type="dxa"/>
            <w:tcBorders>
              <w:top w:val="nil"/>
              <w:left w:val="nil"/>
              <w:bottom w:val="single" w:sz="4" w:space="0" w:color="auto"/>
              <w:right w:val="single" w:sz="4" w:space="0" w:color="auto"/>
            </w:tcBorders>
            <w:shd w:val="clear" w:color="auto" w:fill="auto"/>
            <w:vAlign w:val="center"/>
            <w:hideMark/>
          </w:tcPr>
          <w:p w14:paraId="14219E04"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auto" w:fill="auto"/>
            <w:vAlign w:val="center"/>
            <w:hideMark/>
          </w:tcPr>
          <w:p w14:paraId="68B7B0E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6A0A899F"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314E94B2"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14:paraId="2EAB34C6"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79146E09"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1FCE54D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14:paraId="499A9D64"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4B94EFE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2BC34974"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7DE5C240"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725A0CA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694DC2CE" w14:textId="77777777" w:rsidTr="00C56304">
        <w:trPr>
          <w:trHeight w:val="690"/>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55634BE5"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xml:space="preserve">Extinderea funcționalităților soluției pentru eficientizarea procesului de licențiere, autorizare și notificare bazată pe </w:t>
            </w:r>
            <w:r w:rsidRPr="00650D66">
              <w:rPr>
                <w:rFonts w:ascii="Times New Roman" w:hAnsi="Times New Roman" w:cs="Times New Roman"/>
                <w:color w:val="000000"/>
                <w:sz w:val="18"/>
                <w:szCs w:val="18"/>
                <w:lang w:val="ro-RO"/>
              </w:rPr>
              <w:lastRenderedPageBreak/>
              <w:t xml:space="preserve">platforma Microsoft </w:t>
            </w:r>
            <w:proofErr w:type="spellStart"/>
            <w:r w:rsidRPr="00650D66">
              <w:rPr>
                <w:rFonts w:ascii="Times New Roman" w:hAnsi="Times New Roman" w:cs="Times New Roman"/>
                <w:color w:val="000000"/>
                <w:sz w:val="18"/>
                <w:szCs w:val="18"/>
                <w:lang w:val="ro-RO"/>
              </w:rPr>
              <w:t>Dinamics</w:t>
            </w:r>
            <w:proofErr w:type="spellEnd"/>
            <w:r w:rsidRPr="00650D66">
              <w:rPr>
                <w:rFonts w:ascii="Times New Roman" w:hAnsi="Times New Roman" w:cs="Times New Roman"/>
                <w:color w:val="000000"/>
                <w:sz w:val="18"/>
                <w:szCs w:val="18"/>
                <w:lang w:val="ro-RO"/>
              </w:rPr>
              <w:t xml:space="preserve"> CRM</w:t>
            </w:r>
          </w:p>
        </w:tc>
        <w:tc>
          <w:tcPr>
            <w:tcW w:w="1026" w:type="dxa"/>
            <w:tcBorders>
              <w:top w:val="nil"/>
              <w:left w:val="nil"/>
              <w:bottom w:val="single" w:sz="4" w:space="0" w:color="auto"/>
              <w:right w:val="single" w:sz="4" w:space="0" w:color="auto"/>
            </w:tcBorders>
            <w:shd w:val="clear" w:color="auto" w:fill="auto"/>
            <w:vAlign w:val="center"/>
            <w:hideMark/>
          </w:tcPr>
          <w:p w14:paraId="5D636FA6"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lastRenderedPageBreak/>
              <w:t>757,00</w:t>
            </w:r>
          </w:p>
        </w:tc>
        <w:tc>
          <w:tcPr>
            <w:tcW w:w="846" w:type="dxa"/>
            <w:tcBorders>
              <w:top w:val="nil"/>
              <w:left w:val="nil"/>
              <w:bottom w:val="single" w:sz="4" w:space="0" w:color="auto"/>
              <w:right w:val="single" w:sz="4" w:space="0" w:color="auto"/>
            </w:tcBorders>
            <w:shd w:val="clear" w:color="auto" w:fill="auto"/>
            <w:vAlign w:val="center"/>
            <w:hideMark/>
          </w:tcPr>
          <w:p w14:paraId="4ABF1CE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757,00</w:t>
            </w:r>
          </w:p>
        </w:tc>
        <w:tc>
          <w:tcPr>
            <w:tcW w:w="930" w:type="dxa"/>
            <w:tcBorders>
              <w:top w:val="nil"/>
              <w:left w:val="nil"/>
              <w:bottom w:val="single" w:sz="4" w:space="0" w:color="auto"/>
              <w:right w:val="single" w:sz="4" w:space="0" w:color="auto"/>
            </w:tcBorders>
            <w:shd w:val="clear" w:color="auto" w:fill="auto"/>
            <w:vAlign w:val="center"/>
            <w:hideMark/>
          </w:tcPr>
          <w:p w14:paraId="20C3BAF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0FE80CF8"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54462FE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14:paraId="23A8986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15EB2E9D"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7A68014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14:paraId="0306864C"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2C5AC264"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30E0335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241DBC1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23C5760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6354BA2C" w14:textId="77777777" w:rsidTr="00C56304">
        <w:trPr>
          <w:trHeight w:val="376"/>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673757FD" w14:textId="57B6B383" w:rsidR="00255C09" w:rsidRPr="00650D66" w:rsidRDefault="00255C09" w:rsidP="008B504B">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xml:space="preserve">Dezvoltarea soluției informatice pentru Registrul </w:t>
            </w:r>
            <w:r w:rsidR="008B504B">
              <w:rPr>
                <w:rFonts w:ascii="Times New Roman" w:hAnsi="Times New Roman" w:cs="Times New Roman"/>
                <w:color w:val="000000"/>
                <w:sz w:val="18"/>
                <w:szCs w:val="18"/>
                <w:lang w:val="ro-RO"/>
              </w:rPr>
              <w:t>r</w:t>
            </w:r>
            <w:r w:rsidRPr="00650D66">
              <w:rPr>
                <w:rFonts w:ascii="Times New Roman" w:hAnsi="Times New Roman" w:cs="Times New Roman"/>
                <w:color w:val="000000"/>
                <w:sz w:val="18"/>
                <w:szCs w:val="18"/>
                <w:lang w:val="ro-RO"/>
              </w:rPr>
              <w:t>iscurilor de credit</w:t>
            </w:r>
          </w:p>
        </w:tc>
        <w:tc>
          <w:tcPr>
            <w:tcW w:w="1026" w:type="dxa"/>
            <w:tcBorders>
              <w:top w:val="nil"/>
              <w:left w:val="nil"/>
              <w:bottom w:val="single" w:sz="4" w:space="0" w:color="auto"/>
              <w:right w:val="single" w:sz="4" w:space="0" w:color="auto"/>
            </w:tcBorders>
            <w:shd w:val="clear" w:color="auto" w:fill="auto"/>
            <w:vAlign w:val="center"/>
            <w:hideMark/>
          </w:tcPr>
          <w:p w14:paraId="5137681D"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575,00</w:t>
            </w:r>
          </w:p>
        </w:tc>
        <w:tc>
          <w:tcPr>
            <w:tcW w:w="846" w:type="dxa"/>
            <w:tcBorders>
              <w:top w:val="nil"/>
              <w:left w:val="nil"/>
              <w:bottom w:val="single" w:sz="4" w:space="0" w:color="auto"/>
              <w:right w:val="single" w:sz="4" w:space="0" w:color="auto"/>
            </w:tcBorders>
            <w:shd w:val="clear" w:color="auto" w:fill="auto"/>
            <w:vAlign w:val="center"/>
            <w:hideMark/>
          </w:tcPr>
          <w:p w14:paraId="55A20D4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575,00</w:t>
            </w:r>
          </w:p>
        </w:tc>
        <w:tc>
          <w:tcPr>
            <w:tcW w:w="930" w:type="dxa"/>
            <w:tcBorders>
              <w:top w:val="nil"/>
              <w:left w:val="nil"/>
              <w:bottom w:val="single" w:sz="4" w:space="0" w:color="auto"/>
              <w:right w:val="single" w:sz="4" w:space="0" w:color="auto"/>
            </w:tcBorders>
            <w:shd w:val="clear" w:color="auto" w:fill="auto"/>
            <w:vAlign w:val="center"/>
            <w:hideMark/>
          </w:tcPr>
          <w:p w14:paraId="44E365F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62CB3EB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2A31129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14:paraId="37A25810"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6A191C4D"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605FA28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14:paraId="4FEB8FE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1AFC6FDB"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615BDD5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1C47B9C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06AE2F2E"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2AEA5CC3" w14:textId="77777777" w:rsidTr="00C56304">
        <w:trPr>
          <w:trHeight w:val="58"/>
        </w:trPr>
        <w:tc>
          <w:tcPr>
            <w:tcW w:w="1811" w:type="dxa"/>
            <w:tcBorders>
              <w:top w:val="nil"/>
              <w:left w:val="single" w:sz="4" w:space="0" w:color="auto"/>
              <w:bottom w:val="single" w:sz="4" w:space="0" w:color="auto"/>
              <w:right w:val="single" w:sz="4" w:space="0" w:color="auto"/>
            </w:tcBorders>
            <w:shd w:val="clear" w:color="000000" w:fill="FFFFFF"/>
            <w:vAlign w:val="center"/>
            <w:hideMark/>
          </w:tcPr>
          <w:p w14:paraId="4477083F"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Modernizarea paginii web internă a BNM</w:t>
            </w:r>
          </w:p>
        </w:tc>
        <w:tc>
          <w:tcPr>
            <w:tcW w:w="1026" w:type="dxa"/>
            <w:tcBorders>
              <w:top w:val="nil"/>
              <w:left w:val="nil"/>
              <w:bottom w:val="single" w:sz="4" w:space="0" w:color="auto"/>
              <w:right w:val="single" w:sz="4" w:space="0" w:color="auto"/>
            </w:tcBorders>
            <w:shd w:val="clear" w:color="000000" w:fill="FFFFFF"/>
            <w:vAlign w:val="center"/>
            <w:hideMark/>
          </w:tcPr>
          <w:p w14:paraId="25841FB2"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315,00</w:t>
            </w:r>
          </w:p>
        </w:tc>
        <w:tc>
          <w:tcPr>
            <w:tcW w:w="846" w:type="dxa"/>
            <w:tcBorders>
              <w:top w:val="nil"/>
              <w:left w:val="nil"/>
              <w:bottom w:val="single" w:sz="4" w:space="0" w:color="auto"/>
              <w:right w:val="single" w:sz="4" w:space="0" w:color="auto"/>
            </w:tcBorders>
            <w:shd w:val="clear" w:color="000000" w:fill="FFFFFF"/>
            <w:vAlign w:val="center"/>
            <w:hideMark/>
          </w:tcPr>
          <w:p w14:paraId="58C0BC1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30" w:type="dxa"/>
            <w:tcBorders>
              <w:top w:val="nil"/>
              <w:left w:val="nil"/>
              <w:bottom w:val="single" w:sz="4" w:space="0" w:color="auto"/>
              <w:right w:val="single" w:sz="4" w:space="0" w:color="auto"/>
            </w:tcBorders>
            <w:shd w:val="clear" w:color="000000" w:fill="FFFFFF"/>
            <w:vAlign w:val="center"/>
            <w:hideMark/>
          </w:tcPr>
          <w:p w14:paraId="74FCA2A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1026" w:type="dxa"/>
            <w:tcBorders>
              <w:top w:val="nil"/>
              <w:left w:val="nil"/>
              <w:bottom w:val="single" w:sz="4" w:space="0" w:color="auto"/>
              <w:right w:val="single" w:sz="4" w:space="0" w:color="auto"/>
            </w:tcBorders>
            <w:shd w:val="clear" w:color="auto" w:fill="auto"/>
            <w:vAlign w:val="center"/>
            <w:hideMark/>
          </w:tcPr>
          <w:p w14:paraId="1AF9F5B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0254DEF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14:paraId="0CFAE0B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0F8B48F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6D7AE19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14:paraId="1E2D65D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4EA7B9D9"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1391992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53ACD5B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288FACF1"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1967A946" w14:textId="77777777" w:rsidTr="00C56304">
        <w:trPr>
          <w:trHeight w:val="103"/>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7BF57C0E"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Soluție pentru autentificarea multifactorială</w:t>
            </w:r>
          </w:p>
        </w:tc>
        <w:tc>
          <w:tcPr>
            <w:tcW w:w="1026" w:type="dxa"/>
            <w:tcBorders>
              <w:top w:val="nil"/>
              <w:left w:val="nil"/>
              <w:bottom w:val="single" w:sz="4" w:space="0" w:color="auto"/>
              <w:right w:val="single" w:sz="4" w:space="0" w:color="auto"/>
            </w:tcBorders>
            <w:shd w:val="clear" w:color="auto" w:fill="auto"/>
            <w:vAlign w:val="center"/>
            <w:hideMark/>
          </w:tcPr>
          <w:p w14:paraId="13A50F6A"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1.184,00</w:t>
            </w:r>
          </w:p>
        </w:tc>
        <w:tc>
          <w:tcPr>
            <w:tcW w:w="846" w:type="dxa"/>
            <w:tcBorders>
              <w:top w:val="nil"/>
              <w:left w:val="nil"/>
              <w:bottom w:val="single" w:sz="4" w:space="0" w:color="auto"/>
              <w:right w:val="single" w:sz="4" w:space="0" w:color="auto"/>
            </w:tcBorders>
            <w:shd w:val="clear" w:color="auto" w:fill="auto"/>
            <w:vAlign w:val="center"/>
            <w:hideMark/>
          </w:tcPr>
          <w:p w14:paraId="3E4CFF6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1.184,00</w:t>
            </w:r>
          </w:p>
        </w:tc>
        <w:tc>
          <w:tcPr>
            <w:tcW w:w="930" w:type="dxa"/>
            <w:tcBorders>
              <w:top w:val="nil"/>
              <w:left w:val="nil"/>
              <w:bottom w:val="single" w:sz="4" w:space="0" w:color="auto"/>
              <w:right w:val="single" w:sz="4" w:space="0" w:color="auto"/>
            </w:tcBorders>
            <w:shd w:val="clear" w:color="auto" w:fill="auto"/>
            <w:vAlign w:val="center"/>
            <w:hideMark/>
          </w:tcPr>
          <w:p w14:paraId="2AEE8DC6"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1,58</w:t>
            </w:r>
          </w:p>
        </w:tc>
        <w:tc>
          <w:tcPr>
            <w:tcW w:w="1026" w:type="dxa"/>
            <w:tcBorders>
              <w:top w:val="nil"/>
              <w:left w:val="nil"/>
              <w:bottom w:val="single" w:sz="4" w:space="0" w:color="auto"/>
              <w:right w:val="single" w:sz="4" w:space="0" w:color="auto"/>
            </w:tcBorders>
            <w:shd w:val="clear" w:color="auto" w:fill="auto"/>
            <w:vAlign w:val="center"/>
            <w:hideMark/>
          </w:tcPr>
          <w:p w14:paraId="1CC1B4BB"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1.729,00</w:t>
            </w:r>
          </w:p>
        </w:tc>
        <w:tc>
          <w:tcPr>
            <w:tcW w:w="936" w:type="dxa"/>
            <w:tcBorders>
              <w:top w:val="nil"/>
              <w:left w:val="nil"/>
              <w:bottom w:val="single" w:sz="4" w:space="0" w:color="auto"/>
              <w:right w:val="single" w:sz="4" w:space="0" w:color="auto"/>
            </w:tcBorders>
            <w:shd w:val="clear" w:color="auto" w:fill="auto"/>
            <w:vAlign w:val="center"/>
            <w:hideMark/>
          </w:tcPr>
          <w:p w14:paraId="4E3F2E91"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1.729,00</w:t>
            </w:r>
          </w:p>
        </w:tc>
        <w:tc>
          <w:tcPr>
            <w:tcW w:w="924" w:type="dxa"/>
            <w:tcBorders>
              <w:top w:val="nil"/>
              <w:left w:val="nil"/>
              <w:bottom w:val="single" w:sz="4" w:space="0" w:color="auto"/>
              <w:right w:val="single" w:sz="4" w:space="0" w:color="auto"/>
            </w:tcBorders>
            <w:shd w:val="clear" w:color="auto" w:fill="auto"/>
            <w:vAlign w:val="center"/>
            <w:hideMark/>
          </w:tcPr>
          <w:p w14:paraId="68EA593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988,61</w:t>
            </w:r>
          </w:p>
        </w:tc>
        <w:tc>
          <w:tcPr>
            <w:tcW w:w="1026" w:type="dxa"/>
            <w:tcBorders>
              <w:top w:val="nil"/>
              <w:left w:val="nil"/>
              <w:bottom w:val="single" w:sz="4" w:space="0" w:color="auto"/>
              <w:right w:val="single" w:sz="4" w:space="0" w:color="auto"/>
            </w:tcBorders>
            <w:shd w:val="clear" w:color="auto" w:fill="auto"/>
            <w:vAlign w:val="center"/>
            <w:hideMark/>
          </w:tcPr>
          <w:p w14:paraId="016CE248"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611,00</w:t>
            </w:r>
          </w:p>
        </w:tc>
        <w:tc>
          <w:tcPr>
            <w:tcW w:w="936" w:type="dxa"/>
            <w:tcBorders>
              <w:top w:val="nil"/>
              <w:left w:val="nil"/>
              <w:bottom w:val="single" w:sz="4" w:space="0" w:color="auto"/>
              <w:right w:val="single" w:sz="4" w:space="0" w:color="auto"/>
            </w:tcBorders>
            <w:shd w:val="clear" w:color="auto" w:fill="auto"/>
            <w:vAlign w:val="center"/>
            <w:hideMark/>
          </w:tcPr>
          <w:p w14:paraId="49319516"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611,00</w:t>
            </w:r>
          </w:p>
        </w:tc>
        <w:tc>
          <w:tcPr>
            <w:tcW w:w="905" w:type="dxa"/>
            <w:tcBorders>
              <w:top w:val="nil"/>
              <w:left w:val="nil"/>
              <w:bottom w:val="single" w:sz="4" w:space="0" w:color="auto"/>
              <w:right w:val="single" w:sz="4" w:space="0" w:color="auto"/>
            </w:tcBorders>
            <w:shd w:val="clear" w:color="auto" w:fill="auto"/>
            <w:vAlign w:val="center"/>
            <w:hideMark/>
          </w:tcPr>
          <w:p w14:paraId="0E3137ED"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610,35</w:t>
            </w:r>
          </w:p>
        </w:tc>
        <w:tc>
          <w:tcPr>
            <w:tcW w:w="1026" w:type="dxa"/>
            <w:tcBorders>
              <w:top w:val="nil"/>
              <w:left w:val="nil"/>
              <w:bottom w:val="single" w:sz="4" w:space="0" w:color="auto"/>
              <w:right w:val="single" w:sz="4" w:space="0" w:color="auto"/>
            </w:tcBorders>
            <w:shd w:val="clear" w:color="auto" w:fill="auto"/>
            <w:vAlign w:val="center"/>
            <w:hideMark/>
          </w:tcPr>
          <w:p w14:paraId="113B3041"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7" w:type="dxa"/>
            <w:tcBorders>
              <w:top w:val="nil"/>
              <w:left w:val="nil"/>
              <w:bottom w:val="single" w:sz="4" w:space="0" w:color="auto"/>
              <w:right w:val="single" w:sz="4" w:space="0" w:color="auto"/>
            </w:tcBorders>
            <w:shd w:val="clear" w:color="auto" w:fill="auto"/>
            <w:vAlign w:val="center"/>
            <w:hideMark/>
          </w:tcPr>
          <w:p w14:paraId="26B6E716"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14" w:type="dxa"/>
            <w:tcBorders>
              <w:top w:val="nil"/>
              <w:left w:val="nil"/>
              <w:bottom w:val="single" w:sz="4" w:space="0" w:color="auto"/>
              <w:right w:val="single" w:sz="4" w:space="0" w:color="auto"/>
            </w:tcBorders>
            <w:shd w:val="clear" w:color="auto" w:fill="auto"/>
            <w:vAlign w:val="center"/>
            <w:hideMark/>
          </w:tcPr>
          <w:p w14:paraId="51CBF6A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98" w:type="dxa"/>
            <w:tcBorders>
              <w:top w:val="nil"/>
              <w:left w:val="nil"/>
              <w:bottom w:val="single" w:sz="4" w:space="0" w:color="auto"/>
              <w:right w:val="single" w:sz="4" w:space="0" w:color="auto"/>
            </w:tcBorders>
            <w:shd w:val="clear" w:color="auto" w:fill="auto"/>
            <w:vAlign w:val="center"/>
            <w:hideMark/>
          </w:tcPr>
          <w:p w14:paraId="18C35A3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1.600,54</w:t>
            </w:r>
          </w:p>
        </w:tc>
      </w:tr>
      <w:tr w:rsidR="00255C09" w:rsidRPr="00650D66" w14:paraId="6FE8FE42" w14:textId="77777777" w:rsidTr="00C56304">
        <w:trPr>
          <w:trHeight w:val="446"/>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38D5A0FF" w14:textId="77777777" w:rsidR="00255C09" w:rsidRPr="00650D66" w:rsidRDefault="00255C09" w:rsidP="00C56304">
            <w:pPr>
              <w:spacing w:after="0"/>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Modernizarea Sistemului de arhivare electronică a documentelor (implementarea modulului SEAL for HR)</w:t>
            </w:r>
          </w:p>
        </w:tc>
        <w:tc>
          <w:tcPr>
            <w:tcW w:w="1026" w:type="dxa"/>
            <w:tcBorders>
              <w:top w:val="nil"/>
              <w:left w:val="nil"/>
              <w:bottom w:val="single" w:sz="4" w:space="0" w:color="auto"/>
              <w:right w:val="single" w:sz="4" w:space="0" w:color="auto"/>
            </w:tcBorders>
            <w:shd w:val="clear" w:color="auto" w:fill="auto"/>
            <w:vAlign w:val="center"/>
            <w:hideMark/>
          </w:tcPr>
          <w:p w14:paraId="768E23CF"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846" w:type="dxa"/>
            <w:tcBorders>
              <w:top w:val="nil"/>
              <w:left w:val="nil"/>
              <w:bottom w:val="single" w:sz="4" w:space="0" w:color="auto"/>
              <w:right w:val="single" w:sz="4" w:space="0" w:color="auto"/>
            </w:tcBorders>
            <w:shd w:val="clear" w:color="auto" w:fill="auto"/>
            <w:vAlign w:val="center"/>
            <w:hideMark/>
          </w:tcPr>
          <w:p w14:paraId="4600BFD9"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30" w:type="dxa"/>
            <w:tcBorders>
              <w:top w:val="nil"/>
              <w:left w:val="nil"/>
              <w:bottom w:val="single" w:sz="4" w:space="0" w:color="auto"/>
              <w:right w:val="single" w:sz="4" w:space="0" w:color="auto"/>
            </w:tcBorders>
            <w:shd w:val="clear" w:color="auto" w:fill="auto"/>
            <w:vAlign w:val="center"/>
            <w:hideMark/>
          </w:tcPr>
          <w:p w14:paraId="25CCC73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3C036B96"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6A4334D4"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24" w:type="dxa"/>
            <w:tcBorders>
              <w:top w:val="nil"/>
              <w:left w:val="nil"/>
              <w:bottom w:val="single" w:sz="4" w:space="0" w:color="auto"/>
              <w:right w:val="single" w:sz="4" w:space="0" w:color="auto"/>
            </w:tcBorders>
            <w:shd w:val="clear" w:color="auto" w:fill="auto"/>
            <w:vAlign w:val="center"/>
            <w:hideMark/>
          </w:tcPr>
          <w:p w14:paraId="2F4E92F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7468E16C"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 </w:t>
            </w:r>
          </w:p>
        </w:tc>
        <w:tc>
          <w:tcPr>
            <w:tcW w:w="936" w:type="dxa"/>
            <w:tcBorders>
              <w:top w:val="nil"/>
              <w:left w:val="nil"/>
              <w:bottom w:val="single" w:sz="4" w:space="0" w:color="auto"/>
              <w:right w:val="single" w:sz="4" w:space="0" w:color="auto"/>
            </w:tcBorders>
            <w:shd w:val="clear" w:color="auto" w:fill="auto"/>
            <w:vAlign w:val="center"/>
            <w:hideMark/>
          </w:tcPr>
          <w:p w14:paraId="769CE850"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905" w:type="dxa"/>
            <w:tcBorders>
              <w:top w:val="nil"/>
              <w:left w:val="nil"/>
              <w:bottom w:val="single" w:sz="4" w:space="0" w:color="auto"/>
              <w:right w:val="single" w:sz="4" w:space="0" w:color="auto"/>
            </w:tcBorders>
            <w:shd w:val="clear" w:color="auto" w:fill="auto"/>
            <w:vAlign w:val="center"/>
            <w:hideMark/>
          </w:tcPr>
          <w:p w14:paraId="7C893D7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 </w:t>
            </w:r>
          </w:p>
        </w:tc>
        <w:tc>
          <w:tcPr>
            <w:tcW w:w="1026" w:type="dxa"/>
            <w:tcBorders>
              <w:top w:val="nil"/>
              <w:left w:val="nil"/>
              <w:bottom w:val="single" w:sz="4" w:space="0" w:color="auto"/>
              <w:right w:val="single" w:sz="4" w:space="0" w:color="auto"/>
            </w:tcBorders>
            <w:shd w:val="clear" w:color="auto" w:fill="auto"/>
            <w:vAlign w:val="center"/>
            <w:hideMark/>
          </w:tcPr>
          <w:p w14:paraId="380820E7"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893,00</w:t>
            </w:r>
          </w:p>
        </w:tc>
        <w:tc>
          <w:tcPr>
            <w:tcW w:w="937" w:type="dxa"/>
            <w:tcBorders>
              <w:top w:val="nil"/>
              <w:left w:val="nil"/>
              <w:bottom w:val="single" w:sz="4" w:space="0" w:color="auto"/>
              <w:right w:val="single" w:sz="4" w:space="0" w:color="auto"/>
            </w:tcBorders>
            <w:shd w:val="clear" w:color="auto" w:fill="auto"/>
            <w:vAlign w:val="center"/>
            <w:hideMark/>
          </w:tcPr>
          <w:p w14:paraId="2AE2FE95"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893,00</w:t>
            </w:r>
          </w:p>
        </w:tc>
        <w:tc>
          <w:tcPr>
            <w:tcW w:w="1014" w:type="dxa"/>
            <w:tcBorders>
              <w:top w:val="nil"/>
              <w:left w:val="nil"/>
              <w:bottom w:val="single" w:sz="4" w:space="0" w:color="auto"/>
              <w:right w:val="single" w:sz="4" w:space="0" w:color="auto"/>
            </w:tcBorders>
            <w:shd w:val="clear" w:color="auto" w:fill="auto"/>
            <w:vAlign w:val="center"/>
            <w:hideMark/>
          </w:tcPr>
          <w:p w14:paraId="614D6A9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0,00</w:t>
            </w:r>
          </w:p>
        </w:tc>
        <w:tc>
          <w:tcPr>
            <w:tcW w:w="998" w:type="dxa"/>
            <w:tcBorders>
              <w:top w:val="nil"/>
              <w:left w:val="nil"/>
              <w:bottom w:val="single" w:sz="4" w:space="0" w:color="auto"/>
              <w:right w:val="single" w:sz="4" w:space="0" w:color="auto"/>
            </w:tcBorders>
            <w:shd w:val="clear" w:color="auto" w:fill="auto"/>
            <w:vAlign w:val="center"/>
            <w:hideMark/>
          </w:tcPr>
          <w:p w14:paraId="71FF72EE"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0,00</w:t>
            </w:r>
          </w:p>
        </w:tc>
      </w:tr>
      <w:tr w:rsidR="00255C09" w:rsidRPr="00650D66" w14:paraId="4C65285E" w14:textId="77777777" w:rsidTr="00C56304">
        <w:trPr>
          <w:trHeight w:val="186"/>
        </w:trPr>
        <w:tc>
          <w:tcPr>
            <w:tcW w:w="1811" w:type="dxa"/>
            <w:tcBorders>
              <w:top w:val="nil"/>
              <w:left w:val="single" w:sz="4" w:space="0" w:color="auto"/>
              <w:bottom w:val="single" w:sz="4" w:space="0" w:color="auto"/>
              <w:right w:val="single" w:sz="4" w:space="0" w:color="auto"/>
            </w:tcBorders>
            <w:shd w:val="clear" w:color="auto" w:fill="auto"/>
            <w:vAlign w:val="center"/>
            <w:hideMark/>
          </w:tcPr>
          <w:p w14:paraId="586F1619" w14:textId="59358F98" w:rsidR="00255C09" w:rsidRPr="00650D66" w:rsidRDefault="00255C09" w:rsidP="00C56304">
            <w:pPr>
              <w:spacing w:after="0"/>
              <w:rPr>
                <w:rFonts w:ascii="Times New Roman" w:hAnsi="Times New Roman" w:cs="Times New Roman"/>
                <w:bCs/>
                <w:i/>
                <w:color w:val="000000"/>
                <w:sz w:val="18"/>
                <w:szCs w:val="18"/>
                <w:lang w:val="ro-RO"/>
              </w:rPr>
            </w:pPr>
            <w:r w:rsidRPr="00650D66">
              <w:rPr>
                <w:rFonts w:ascii="Times New Roman" w:hAnsi="Times New Roman" w:cs="Times New Roman"/>
                <w:bCs/>
                <w:i/>
                <w:color w:val="000000"/>
                <w:sz w:val="18"/>
                <w:szCs w:val="18"/>
                <w:lang w:val="ro-RO"/>
              </w:rPr>
              <w:t>sume care vor fi contractate și achitate în anul bugetar</w:t>
            </w:r>
            <w:r w:rsidR="008B504B">
              <w:rPr>
                <w:rFonts w:ascii="Times New Roman" w:hAnsi="Times New Roman" w:cs="Times New Roman"/>
                <w:bCs/>
                <w:i/>
                <w:color w:val="000000"/>
                <w:sz w:val="18"/>
                <w:szCs w:val="18"/>
                <w:lang w:val="ro-RO"/>
              </w:rPr>
              <w:t>,</w:t>
            </w:r>
            <w:r w:rsidRPr="00650D66">
              <w:rPr>
                <w:rFonts w:ascii="Times New Roman" w:hAnsi="Times New Roman" w:cs="Times New Roman"/>
                <w:bCs/>
                <w:i/>
                <w:color w:val="000000"/>
                <w:sz w:val="18"/>
                <w:szCs w:val="18"/>
                <w:lang w:val="ro-RO"/>
              </w:rPr>
              <w:t xml:space="preserve"> dar executarea </w:t>
            </w:r>
            <w:r w:rsidR="008B504B">
              <w:rPr>
                <w:rFonts w:ascii="Times New Roman" w:hAnsi="Times New Roman" w:cs="Times New Roman"/>
                <w:bCs/>
                <w:i/>
                <w:color w:val="000000"/>
                <w:sz w:val="18"/>
                <w:szCs w:val="18"/>
                <w:lang w:val="ro-RO"/>
              </w:rPr>
              <w:t xml:space="preserve">va fi </w:t>
            </w:r>
            <w:r w:rsidRPr="00650D66">
              <w:rPr>
                <w:rFonts w:ascii="Times New Roman" w:hAnsi="Times New Roman" w:cs="Times New Roman"/>
                <w:bCs/>
                <w:i/>
                <w:color w:val="000000"/>
                <w:sz w:val="18"/>
                <w:szCs w:val="18"/>
                <w:lang w:val="ro-RO"/>
              </w:rPr>
              <w:t>în anii următori</w:t>
            </w:r>
          </w:p>
        </w:tc>
        <w:tc>
          <w:tcPr>
            <w:tcW w:w="1026" w:type="dxa"/>
            <w:tcBorders>
              <w:top w:val="nil"/>
              <w:left w:val="nil"/>
              <w:bottom w:val="single" w:sz="4" w:space="0" w:color="auto"/>
              <w:right w:val="single" w:sz="4" w:space="0" w:color="auto"/>
            </w:tcBorders>
            <w:shd w:val="clear" w:color="auto" w:fill="auto"/>
            <w:vAlign w:val="center"/>
            <w:hideMark/>
          </w:tcPr>
          <w:p w14:paraId="38AF9B1E"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9.591,00</w:t>
            </w:r>
          </w:p>
        </w:tc>
        <w:tc>
          <w:tcPr>
            <w:tcW w:w="846" w:type="dxa"/>
            <w:tcBorders>
              <w:top w:val="nil"/>
              <w:left w:val="nil"/>
              <w:bottom w:val="single" w:sz="4" w:space="0" w:color="auto"/>
              <w:right w:val="single" w:sz="4" w:space="0" w:color="auto"/>
            </w:tcBorders>
            <w:shd w:val="clear" w:color="auto" w:fill="auto"/>
            <w:vAlign w:val="center"/>
            <w:hideMark/>
          </w:tcPr>
          <w:p w14:paraId="43DEA62A"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3.635,00</w:t>
            </w:r>
          </w:p>
        </w:tc>
        <w:tc>
          <w:tcPr>
            <w:tcW w:w="930" w:type="dxa"/>
            <w:tcBorders>
              <w:top w:val="nil"/>
              <w:left w:val="nil"/>
              <w:bottom w:val="single" w:sz="4" w:space="0" w:color="auto"/>
              <w:right w:val="single" w:sz="4" w:space="0" w:color="auto"/>
            </w:tcBorders>
            <w:shd w:val="clear" w:color="auto" w:fill="auto"/>
            <w:vAlign w:val="center"/>
            <w:hideMark/>
          </w:tcPr>
          <w:p w14:paraId="4F99720C"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3.325,52</w:t>
            </w:r>
          </w:p>
        </w:tc>
        <w:tc>
          <w:tcPr>
            <w:tcW w:w="1026" w:type="dxa"/>
            <w:tcBorders>
              <w:top w:val="nil"/>
              <w:left w:val="nil"/>
              <w:bottom w:val="single" w:sz="4" w:space="0" w:color="auto"/>
              <w:right w:val="single" w:sz="4" w:space="0" w:color="auto"/>
            </w:tcBorders>
            <w:shd w:val="clear" w:color="auto" w:fill="auto"/>
            <w:vAlign w:val="center"/>
            <w:hideMark/>
          </w:tcPr>
          <w:p w14:paraId="4CB91990"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16.895,00</w:t>
            </w:r>
          </w:p>
        </w:tc>
        <w:tc>
          <w:tcPr>
            <w:tcW w:w="936" w:type="dxa"/>
            <w:tcBorders>
              <w:top w:val="nil"/>
              <w:left w:val="nil"/>
              <w:bottom w:val="single" w:sz="4" w:space="0" w:color="auto"/>
              <w:right w:val="single" w:sz="4" w:space="0" w:color="auto"/>
            </w:tcBorders>
            <w:shd w:val="clear" w:color="auto" w:fill="auto"/>
            <w:vAlign w:val="center"/>
            <w:hideMark/>
          </w:tcPr>
          <w:p w14:paraId="74169608"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3.427,00</w:t>
            </w:r>
          </w:p>
        </w:tc>
        <w:tc>
          <w:tcPr>
            <w:tcW w:w="924" w:type="dxa"/>
            <w:tcBorders>
              <w:top w:val="nil"/>
              <w:left w:val="nil"/>
              <w:bottom w:val="single" w:sz="4" w:space="0" w:color="auto"/>
              <w:right w:val="single" w:sz="4" w:space="0" w:color="auto"/>
            </w:tcBorders>
            <w:shd w:val="clear" w:color="auto" w:fill="auto"/>
            <w:vAlign w:val="center"/>
            <w:hideMark/>
          </w:tcPr>
          <w:p w14:paraId="2186A040"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2.900,64</w:t>
            </w:r>
          </w:p>
        </w:tc>
        <w:tc>
          <w:tcPr>
            <w:tcW w:w="1026" w:type="dxa"/>
            <w:tcBorders>
              <w:top w:val="nil"/>
              <w:left w:val="nil"/>
              <w:bottom w:val="single" w:sz="4" w:space="0" w:color="auto"/>
              <w:right w:val="single" w:sz="4" w:space="0" w:color="auto"/>
            </w:tcBorders>
            <w:shd w:val="clear" w:color="auto" w:fill="auto"/>
            <w:vAlign w:val="center"/>
            <w:hideMark/>
          </w:tcPr>
          <w:p w14:paraId="44BE8E18"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15.691,00</w:t>
            </w:r>
          </w:p>
        </w:tc>
        <w:tc>
          <w:tcPr>
            <w:tcW w:w="936" w:type="dxa"/>
            <w:tcBorders>
              <w:top w:val="nil"/>
              <w:left w:val="nil"/>
              <w:bottom w:val="single" w:sz="4" w:space="0" w:color="auto"/>
              <w:right w:val="single" w:sz="4" w:space="0" w:color="auto"/>
            </w:tcBorders>
            <w:shd w:val="clear" w:color="auto" w:fill="auto"/>
            <w:vAlign w:val="center"/>
            <w:hideMark/>
          </w:tcPr>
          <w:p w14:paraId="5D5DF633"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4.521,00</w:t>
            </w:r>
          </w:p>
        </w:tc>
        <w:tc>
          <w:tcPr>
            <w:tcW w:w="905" w:type="dxa"/>
            <w:tcBorders>
              <w:top w:val="nil"/>
              <w:left w:val="nil"/>
              <w:bottom w:val="single" w:sz="4" w:space="0" w:color="auto"/>
              <w:right w:val="single" w:sz="4" w:space="0" w:color="auto"/>
            </w:tcBorders>
            <w:shd w:val="clear" w:color="auto" w:fill="auto"/>
            <w:vAlign w:val="center"/>
            <w:hideMark/>
          </w:tcPr>
          <w:p w14:paraId="78BAE74E"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3.808,24</w:t>
            </w:r>
          </w:p>
        </w:tc>
        <w:tc>
          <w:tcPr>
            <w:tcW w:w="1026" w:type="dxa"/>
            <w:tcBorders>
              <w:top w:val="nil"/>
              <w:left w:val="nil"/>
              <w:bottom w:val="single" w:sz="4" w:space="0" w:color="auto"/>
              <w:right w:val="single" w:sz="4" w:space="0" w:color="auto"/>
            </w:tcBorders>
            <w:shd w:val="clear" w:color="auto" w:fill="auto"/>
            <w:vAlign w:val="center"/>
            <w:hideMark/>
          </w:tcPr>
          <w:p w14:paraId="354880F1"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32.201,00</w:t>
            </w:r>
          </w:p>
        </w:tc>
        <w:tc>
          <w:tcPr>
            <w:tcW w:w="937" w:type="dxa"/>
            <w:tcBorders>
              <w:top w:val="nil"/>
              <w:left w:val="nil"/>
              <w:bottom w:val="single" w:sz="4" w:space="0" w:color="auto"/>
              <w:right w:val="single" w:sz="4" w:space="0" w:color="auto"/>
            </w:tcBorders>
            <w:shd w:val="clear" w:color="auto" w:fill="auto"/>
            <w:vAlign w:val="center"/>
            <w:hideMark/>
          </w:tcPr>
          <w:p w14:paraId="39875CB7"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6.051,00</w:t>
            </w:r>
          </w:p>
        </w:tc>
        <w:tc>
          <w:tcPr>
            <w:tcW w:w="1014" w:type="dxa"/>
            <w:tcBorders>
              <w:top w:val="nil"/>
              <w:left w:val="nil"/>
              <w:bottom w:val="single" w:sz="4" w:space="0" w:color="auto"/>
              <w:right w:val="single" w:sz="4" w:space="0" w:color="auto"/>
            </w:tcBorders>
            <w:shd w:val="clear" w:color="auto" w:fill="auto"/>
            <w:vAlign w:val="center"/>
            <w:hideMark/>
          </w:tcPr>
          <w:p w14:paraId="18FCB70B" w14:textId="77777777" w:rsidR="00255C09" w:rsidRPr="00650D66" w:rsidRDefault="00255C09" w:rsidP="00C56304">
            <w:pPr>
              <w:spacing w:after="0"/>
              <w:jc w:val="center"/>
              <w:rPr>
                <w:rFonts w:ascii="Times New Roman" w:hAnsi="Times New Roman" w:cs="Times New Roman"/>
                <w:color w:val="000000"/>
                <w:sz w:val="18"/>
                <w:szCs w:val="18"/>
                <w:lang w:val="ro-RO"/>
              </w:rPr>
            </w:pPr>
            <w:r w:rsidRPr="00650D66">
              <w:rPr>
                <w:rFonts w:ascii="Times New Roman" w:hAnsi="Times New Roman" w:cs="Times New Roman"/>
                <w:color w:val="000000"/>
                <w:sz w:val="18"/>
                <w:szCs w:val="18"/>
                <w:lang w:val="ro-RO"/>
              </w:rPr>
              <w:t>4.077,77</w:t>
            </w:r>
          </w:p>
        </w:tc>
        <w:tc>
          <w:tcPr>
            <w:tcW w:w="998" w:type="dxa"/>
            <w:tcBorders>
              <w:top w:val="nil"/>
              <w:left w:val="nil"/>
              <w:bottom w:val="single" w:sz="4" w:space="0" w:color="auto"/>
              <w:right w:val="single" w:sz="4" w:space="0" w:color="auto"/>
            </w:tcBorders>
            <w:shd w:val="clear" w:color="auto" w:fill="auto"/>
            <w:vAlign w:val="center"/>
            <w:hideMark/>
          </w:tcPr>
          <w:p w14:paraId="3206DD51" w14:textId="77777777" w:rsidR="00255C09" w:rsidRPr="00650D66" w:rsidRDefault="00255C09" w:rsidP="00C56304">
            <w:pPr>
              <w:spacing w:after="0"/>
              <w:jc w:val="center"/>
              <w:rPr>
                <w:rFonts w:ascii="Times New Roman" w:hAnsi="Times New Roman" w:cs="Times New Roman"/>
                <w:b/>
                <w:bCs/>
                <w:color w:val="000000"/>
                <w:sz w:val="18"/>
                <w:szCs w:val="18"/>
                <w:lang w:val="ro-RO"/>
              </w:rPr>
            </w:pPr>
            <w:r w:rsidRPr="00650D66">
              <w:rPr>
                <w:rFonts w:ascii="Times New Roman" w:hAnsi="Times New Roman" w:cs="Times New Roman"/>
                <w:b/>
                <w:bCs/>
                <w:color w:val="000000"/>
                <w:sz w:val="18"/>
                <w:szCs w:val="18"/>
                <w:lang w:val="ro-RO"/>
              </w:rPr>
              <w:t>14.112,17</w:t>
            </w:r>
          </w:p>
        </w:tc>
      </w:tr>
    </w:tbl>
    <w:p w14:paraId="5FCA83F9" w14:textId="77777777" w:rsidR="006B54DD" w:rsidRPr="00650D66" w:rsidRDefault="00255C09" w:rsidP="00010E32">
      <w:pPr>
        <w:rPr>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Rapoartele privind executarea devizului de cheltuieli și alocațiilor pentru investiții ale BNM pentru anii 2019-2022.</w:t>
      </w:r>
    </w:p>
    <w:p w14:paraId="7735E1E3" w14:textId="77777777" w:rsidR="00255C09" w:rsidRPr="00650D66" w:rsidRDefault="00255C09" w:rsidP="00010E32">
      <w:pPr>
        <w:rPr>
          <w:lang w:val="ro-RO"/>
        </w:rPr>
      </w:pPr>
    </w:p>
    <w:p w14:paraId="6927BA06" w14:textId="17118F9E" w:rsidR="008D5D9D" w:rsidRPr="00EA0E29" w:rsidRDefault="008D5D9D" w:rsidP="00EA0E29">
      <w:pPr>
        <w:jc w:val="center"/>
        <w:rPr>
          <w:rFonts w:ascii="Times New Roman" w:hAnsi="Times New Roman" w:cs="Times New Roman"/>
          <w:b/>
          <w:sz w:val="24"/>
          <w:szCs w:val="24"/>
          <w:lang w:val="ro-RO"/>
        </w:rPr>
      </w:pPr>
      <w:r w:rsidRPr="00EA0E29">
        <w:rPr>
          <w:rFonts w:ascii="Times New Roman" w:hAnsi="Times New Roman" w:cs="Times New Roman"/>
          <w:b/>
          <w:sz w:val="24"/>
          <w:szCs w:val="24"/>
          <w:lang w:val="ro-RO"/>
        </w:rPr>
        <w:t>Anex</w:t>
      </w:r>
      <w:r w:rsidR="00120790" w:rsidRPr="00EA0E29">
        <w:rPr>
          <w:rFonts w:ascii="Times New Roman" w:hAnsi="Times New Roman" w:cs="Times New Roman"/>
          <w:b/>
          <w:sz w:val="24"/>
          <w:szCs w:val="24"/>
          <w:lang w:val="ro-RO"/>
        </w:rPr>
        <w:t>a nr.4</w:t>
      </w:r>
      <w:r w:rsidRPr="00EA0E29">
        <w:rPr>
          <w:rFonts w:ascii="Times New Roman" w:hAnsi="Times New Roman" w:cs="Times New Roman"/>
          <w:b/>
          <w:sz w:val="24"/>
          <w:szCs w:val="24"/>
          <w:lang w:val="ro-RO"/>
        </w:rPr>
        <w:t xml:space="preserve"> Analiza unităților de personal și salariilor de bază stabilite</w:t>
      </w:r>
      <w:r w:rsidR="008B504B" w:rsidRPr="00EA0E29">
        <w:rPr>
          <w:rFonts w:ascii="Times New Roman" w:hAnsi="Times New Roman" w:cs="Times New Roman"/>
          <w:b/>
          <w:sz w:val="24"/>
          <w:szCs w:val="24"/>
          <w:lang w:val="ro-RO"/>
        </w:rPr>
        <w:t xml:space="preserve"> pe </w:t>
      </w:r>
      <w:r w:rsidRPr="00EA0E29">
        <w:rPr>
          <w:rFonts w:ascii="Times New Roman" w:hAnsi="Times New Roman" w:cs="Times New Roman"/>
          <w:b/>
          <w:sz w:val="24"/>
          <w:szCs w:val="24"/>
          <w:lang w:val="ro-RO"/>
        </w:rPr>
        <w:t>funcții în perioada 2019-2022</w:t>
      </w:r>
    </w:p>
    <w:p w14:paraId="34185C0F" w14:textId="77777777" w:rsidR="008D5D9D" w:rsidRPr="00650D66" w:rsidRDefault="008D5D9D" w:rsidP="008D5D9D">
      <w:pPr>
        <w:spacing w:after="0" w:line="276" w:lineRule="auto"/>
        <w:jc w:val="right"/>
        <w:rPr>
          <w:rFonts w:ascii="Times New Roman" w:eastAsia="Times New Roman" w:hAnsi="Times New Roman" w:cs="Times New Roman"/>
          <w:i/>
          <w:sz w:val="24"/>
          <w:szCs w:val="24"/>
          <w:lang w:val="ro-RO"/>
        </w:rPr>
      </w:pPr>
      <w:r w:rsidRPr="00650D66">
        <w:rPr>
          <w:rFonts w:ascii="Times New Roman" w:eastAsia="Times New Roman" w:hAnsi="Times New Roman" w:cs="Times New Roman"/>
          <w:i/>
          <w:sz w:val="24"/>
          <w:szCs w:val="24"/>
          <w:lang w:val="ro-RO"/>
        </w:rPr>
        <w:t>(mii lei)</w:t>
      </w:r>
    </w:p>
    <w:tbl>
      <w:tblPr>
        <w:tblW w:w="5312" w:type="pct"/>
        <w:jc w:val="center"/>
        <w:tblLook w:val="04A0" w:firstRow="1" w:lastRow="0" w:firstColumn="1" w:lastColumn="0" w:noHBand="0" w:noVBand="1"/>
      </w:tblPr>
      <w:tblGrid>
        <w:gridCol w:w="2446"/>
        <w:gridCol w:w="951"/>
        <w:gridCol w:w="1122"/>
        <w:gridCol w:w="1033"/>
        <w:gridCol w:w="952"/>
        <w:gridCol w:w="1249"/>
        <w:gridCol w:w="1033"/>
        <w:gridCol w:w="952"/>
        <w:gridCol w:w="1249"/>
        <w:gridCol w:w="1033"/>
        <w:gridCol w:w="1498"/>
        <w:gridCol w:w="1492"/>
      </w:tblGrid>
      <w:tr w:rsidR="008D5D9D" w:rsidRPr="00650D66" w14:paraId="29396067" w14:textId="77777777" w:rsidTr="00643407">
        <w:trPr>
          <w:trHeight w:val="209"/>
          <w:jc w:val="center"/>
        </w:trPr>
        <w:tc>
          <w:tcPr>
            <w:tcW w:w="8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908A29"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Funcția</w:t>
            </w:r>
          </w:p>
        </w:tc>
        <w:tc>
          <w:tcPr>
            <w:tcW w:w="1035" w:type="pct"/>
            <w:gridSpan w:val="3"/>
            <w:tcBorders>
              <w:top w:val="single" w:sz="4" w:space="0" w:color="auto"/>
              <w:left w:val="nil"/>
              <w:bottom w:val="single" w:sz="4" w:space="0" w:color="auto"/>
              <w:right w:val="single" w:sz="4" w:space="0" w:color="auto"/>
            </w:tcBorders>
            <w:shd w:val="clear" w:color="auto" w:fill="auto"/>
            <w:noWrap/>
            <w:vAlign w:val="center"/>
            <w:hideMark/>
          </w:tcPr>
          <w:p w14:paraId="35111126"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Anul 2019</w:t>
            </w:r>
          </w:p>
        </w:tc>
        <w:tc>
          <w:tcPr>
            <w:tcW w:w="10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6ACBB8DE"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Anul 2022 (01.01.2022)</w:t>
            </w:r>
          </w:p>
        </w:tc>
        <w:tc>
          <w:tcPr>
            <w:tcW w:w="10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480033A"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Anul 2022 (21.03.2022)</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8952C" w14:textId="54A7ED1B"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Evoluția salariului de bază</w:t>
            </w:r>
            <w:r w:rsidR="008B504B">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21.03.2022 față de 01.01.2022</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4F8F4E" w14:textId="6300A2B2"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Evoluția salariului de bază</w:t>
            </w:r>
            <w:r w:rsidR="008B504B">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21.03.2022 față de 01.01.2019</w:t>
            </w:r>
          </w:p>
        </w:tc>
      </w:tr>
      <w:tr w:rsidR="008D5D9D" w:rsidRPr="00650D66" w14:paraId="34B30BEE" w14:textId="77777777" w:rsidTr="00643407">
        <w:trPr>
          <w:trHeight w:val="1051"/>
          <w:jc w:val="center"/>
        </w:trPr>
        <w:tc>
          <w:tcPr>
            <w:tcW w:w="815" w:type="pct"/>
            <w:vMerge/>
            <w:tcBorders>
              <w:top w:val="single" w:sz="4" w:space="0" w:color="auto"/>
              <w:left w:val="single" w:sz="4" w:space="0" w:color="auto"/>
              <w:bottom w:val="single" w:sz="4" w:space="0" w:color="000000"/>
              <w:right w:val="single" w:sz="4" w:space="0" w:color="auto"/>
            </w:tcBorders>
            <w:vAlign w:val="center"/>
            <w:hideMark/>
          </w:tcPr>
          <w:p w14:paraId="19342AAF" w14:textId="77777777" w:rsidR="008D5D9D" w:rsidRPr="00650D66" w:rsidRDefault="008D5D9D" w:rsidP="00643407">
            <w:pPr>
              <w:pStyle w:val="NoSpacing"/>
              <w:rPr>
                <w:rFonts w:ascii="Times New Roman" w:hAnsi="Times New Roman" w:cs="Times New Roman"/>
                <w:b/>
                <w:sz w:val="18"/>
                <w:szCs w:val="18"/>
                <w:lang w:val="ro-RO"/>
              </w:rPr>
            </w:pPr>
          </w:p>
        </w:tc>
        <w:tc>
          <w:tcPr>
            <w:tcW w:w="317" w:type="pct"/>
            <w:tcBorders>
              <w:top w:val="nil"/>
              <w:left w:val="nil"/>
              <w:bottom w:val="single" w:sz="4" w:space="0" w:color="auto"/>
              <w:right w:val="single" w:sz="4" w:space="0" w:color="auto"/>
            </w:tcBorders>
            <w:shd w:val="clear" w:color="auto" w:fill="auto"/>
            <w:vAlign w:val="center"/>
            <w:hideMark/>
          </w:tcPr>
          <w:p w14:paraId="01563832" w14:textId="2106B5A9"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Nr</w:t>
            </w:r>
            <w:r w:rsidR="008B504B">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de unități</w:t>
            </w:r>
          </w:p>
        </w:tc>
        <w:tc>
          <w:tcPr>
            <w:tcW w:w="374" w:type="pct"/>
            <w:tcBorders>
              <w:top w:val="nil"/>
              <w:left w:val="nil"/>
              <w:bottom w:val="single" w:sz="4" w:space="0" w:color="auto"/>
              <w:right w:val="single" w:sz="4" w:space="0" w:color="auto"/>
            </w:tcBorders>
            <w:shd w:val="clear" w:color="auto" w:fill="auto"/>
            <w:vAlign w:val="center"/>
            <w:hideMark/>
          </w:tcPr>
          <w:p w14:paraId="63B6879D"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w:t>
            </w:r>
          </w:p>
        </w:tc>
        <w:tc>
          <w:tcPr>
            <w:tcW w:w="343" w:type="pct"/>
            <w:tcBorders>
              <w:top w:val="nil"/>
              <w:left w:val="nil"/>
              <w:bottom w:val="single" w:sz="4" w:space="0" w:color="auto"/>
              <w:right w:val="single" w:sz="4" w:space="0" w:color="auto"/>
            </w:tcBorders>
            <w:shd w:val="clear" w:color="auto" w:fill="auto"/>
            <w:vAlign w:val="center"/>
            <w:hideMark/>
          </w:tcPr>
          <w:p w14:paraId="6C7D8DBE"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 mediu lunar</w:t>
            </w:r>
          </w:p>
        </w:tc>
        <w:tc>
          <w:tcPr>
            <w:tcW w:w="317" w:type="pct"/>
            <w:tcBorders>
              <w:top w:val="nil"/>
              <w:left w:val="nil"/>
              <w:bottom w:val="single" w:sz="4" w:space="0" w:color="auto"/>
              <w:right w:val="single" w:sz="4" w:space="0" w:color="auto"/>
            </w:tcBorders>
            <w:shd w:val="clear" w:color="auto" w:fill="auto"/>
            <w:vAlign w:val="center"/>
            <w:hideMark/>
          </w:tcPr>
          <w:p w14:paraId="27B3930F" w14:textId="521ADEDE"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Nr</w:t>
            </w:r>
            <w:r w:rsidR="008B504B">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de unități</w:t>
            </w:r>
          </w:p>
        </w:tc>
        <w:tc>
          <w:tcPr>
            <w:tcW w:w="416" w:type="pct"/>
            <w:tcBorders>
              <w:top w:val="nil"/>
              <w:left w:val="nil"/>
              <w:bottom w:val="single" w:sz="4" w:space="0" w:color="auto"/>
              <w:right w:val="single" w:sz="4" w:space="0" w:color="auto"/>
            </w:tcBorders>
            <w:shd w:val="clear" w:color="auto" w:fill="auto"/>
            <w:vAlign w:val="center"/>
            <w:hideMark/>
          </w:tcPr>
          <w:p w14:paraId="2F1D629E"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w:t>
            </w:r>
          </w:p>
        </w:tc>
        <w:tc>
          <w:tcPr>
            <w:tcW w:w="343" w:type="pct"/>
            <w:tcBorders>
              <w:top w:val="nil"/>
              <w:left w:val="nil"/>
              <w:bottom w:val="single" w:sz="4" w:space="0" w:color="auto"/>
              <w:right w:val="single" w:sz="4" w:space="0" w:color="auto"/>
            </w:tcBorders>
            <w:shd w:val="clear" w:color="auto" w:fill="auto"/>
            <w:vAlign w:val="center"/>
            <w:hideMark/>
          </w:tcPr>
          <w:p w14:paraId="155D1BC5"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 mediu lunar</w:t>
            </w:r>
          </w:p>
        </w:tc>
        <w:tc>
          <w:tcPr>
            <w:tcW w:w="317" w:type="pct"/>
            <w:tcBorders>
              <w:top w:val="nil"/>
              <w:left w:val="nil"/>
              <w:bottom w:val="single" w:sz="4" w:space="0" w:color="auto"/>
              <w:right w:val="single" w:sz="4" w:space="0" w:color="auto"/>
            </w:tcBorders>
            <w:shd w:val="clear" w:color="auto" w:fill="auto"/>
            <w:vAlign w:val="center"/>
            <w:hideMark/>
          </w:tcPr>
          <w:p w14:paraId="2FFF1C46" w14:textId="26D3DDDD"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Nr</w:t>
            </w:r>
            <w:r w:rsidR="008B504B">
              <w:rPr>
                <w:rFonts w:ascii="Times New Roman" w:hAnsi="Times New Roman" w:cs="Times New Roman"/>
                <w:b/>
                <w:sz w:val="18"/>
                <w:szCs w:val="18"/>
                <w:lang w:val="ro-RO"/>
              </w:rPr>
              <w:t>.</w:t>
            </w:r>
            <w:r w:rsidRPr="00650D66">
              <w:rPr>
                <w:rFonts w:ascii="Times New Roman" w:hAnsi="Times New Roman" w:cs="Times New Roman"/>
                <w:b/>
                <w:sz w:val="18"/>
                <w:szCs w:val="18"/>
                <w:lang w:val="ro-RO"/>
              </w:rPr>
              <w:t xml:space="preserve"> de unități</w:t>
            </w:r>
          </w:p>
        </w:tc>
        <w:tc>
          <w:tcPr>
            <w:tcW w:w="416" w:type="pct"/>
            <w:tcBorders>
              <w:top w:val="nil"/>
              <w:left w:val="nil"/>
              <w:bottom w:val="single" w:sz="4" w:space="0" w:color="auto"/>
              <w:right w:val="single" w:sz="4" w:space="0" w:color="auto"/>
            </w:tcBorders>
            <w:shd w:val="clear" w:color="auto" w:fill="auto"/>
            <w:vAlign w:val="center"/>
            <w:hideMark/>
          </w:tcPr>
          <w:p w14:paraId="68EC7CBF"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w:t>
            </w:r>
          </w:p>
        </w:tc>
        <w:tc>
          <w:tcPr>
            <w:tcW w:w="343" w:type="pct"/>
            <w:tcBorders>
              <w:top w:val="nil"/>
              <w:left w:val="nil"/>
              <w:bottom w:val="single" w:sz="4" w:space="0" w:color="auto"/>
              <w:right w:val="single" w:sz="4" w:space="0" w:color="auto"/>
            </w:tcBorders>
            <w:shd w:val="clear" w:color="auto" w:fill="auto"/>
            <w:vAlign w:val="center"/>
            <w:hideMark/>
          </w:tcPr>
          <w:p w14:paraId="537AAAFD"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Salariul de bază mediu lunar</w:t>
            </w:r>
          </w:p>
        </w:tc>
        <w:tc>
          <w:tcPr>
            <w:tcW w:w="499" w:type="pct"/>
            <w:vMerge/>
            <w:tcBorders>
              <w:top w:val="single" w:sz="4" w:space="0" w:color="auto"/>
              <w:left w:val="single" w:sz="4" w:space="0" w:color="auto"/>
              <w:bottom w:val="single" w:sz="4" w:space="0" w:color="000000"/>
              <w:right w:val="single" w:sz="4" w:space="0" w:color="auto"/>
            </w:tcBorders>
            <w:vAlign w:val="center"/>
            <w:hideMark/>
          </w:tcPr>
          <w:p w14:paraId="23FE9290" w14:textId="77777777" w:rsidR="008D5D9D" w:rsidRPr="00650D66" w:rsidRDefault="008D5D9D" w:rsidP="00643407">
            <w:pPr>
              <w:pStyle w:val="NoSpacing"/>
              <w:jc w:val="center"/>
              <w:rPr>
                <w:rFonts w:ascii="Times New Roman" w:hAnsi="Times New Roman" w:cs="Times New Roman"/>
                <w:sz w:val="18"/>
                <w:szCs w:val="18"/>
                <w:lang w:val="ro-RO"/>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14:paraId="7849724E" w14:textId="77777777" w:rsidR="008D5D9D" w:rsidRPr="00650D66" w:rsidRDefault="008D5D9D" w:rsidP="00643407">
            <w:pPr>
              <w:pStyle w:val="NoSpacing"/>
              <w:jc w:val="center"/>
              <w:rPr>
                <w:rFonts w:ascii="Times New Roman" w:hAnsi="Times New Roman" w:cs="Times New Roman"/>
                <w:sz w:val="18"/>
                <w:szCs w:val="18"/>
                <w:lang w:val="ro-RO"/>
              </w:rPr>
            </w:pPr>
          </w:p>
        </w:tc>
      </w:tr>
      <w:tr w:rsidR="008D5D9D" w:rsidRPr="00650D66" w14:paraId="05366FFA" w14:textId="77777777" w:rsidTr="002F5DE3">
        <w:trPr>
          <w:trHeight w:val="207"/>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53DD6B06"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Conducerea BNM (membri CE)</w:t>
            </w:r>
          </w:p>
        </w:tc>
        <w:tc>
          <w:tcPr>
            <w:tcW w:w="317" w:type="pct"/>
            <w:tcBorders>
              <w:top w:val="nil"/>
              <w:left w:val="nil"/>
              <w:bottom w:val="single" w:sz="4" w:space="0" w:color="auto"/>
              <w:right w:val="single" w:sz="4" w:space="0" w:color="auto"/>
            </w:tcBorders>
            <w:shd w:val="clear" w:color="auto" w:fill="auto"/>
            <w:vAlign w:val="center"/>
            <w:hideMark/>
          </w:tcPr>
          <w:p w14:paraId="705F9C8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w:t>
            </w:r>
          </w:p>
        </w:tc>
        <w:tc>
          <w:tcPr>
            <w:tcW w:w="374" w:type="pct"/>
            <w:tcBorders>
              <w:top w:val="nil"/>
              <w:left w:val="nil"/>
              <w:bottom w:val="single" w:sz="4" w:space="0" w:color="auto"/>
              <w:right w:val="single" w:sz="4" w:space="0" w:color="auto"/>
            </w:tcBorders>
            <w:shd w:val="clear" w:color="auto" w:fill="auto"/>
            <w:vAlign w:val="center"/>
            <w:hideMark/>
          </w:tcPr>
          <w:p w14:paraId="1F0578C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714,8</w:t>
            </w:r>
          </w:p>
        </w:tc>
        <w:tc>
          <w:tcPr>
            <w:tcW w:w="343" w:type="pct"/>
            <w:tcBorders>
              <w:top w:val="nil"/>
              <w:left w:val="nil"/>
              <w:bottom w:val="single" w:sz="4" w:space="0" w:color="auto"/>
              <w:right w:val="single" w:sz="4" w:space="0" w:color="auto"/>
            </w:tcBorders>
            <w:shd w:val="clear" w:color="auto" w:fill="auto"/>
            <w:vAlign w:val="center"/>
            <w:hideMark/>
          </w:tcPr>
          <w:p w14:paraId="2FF6727C"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143,0</w:t>
            </w:r>
          </w:p>
        </w:tc>
        <w:tc>
          <w:tcPr>
            <w:tcW w:w="317" w:type="pct"/>
            <w:tcBorders>
              <w:top w:val="nil"/>
              <w:left w:val="nil"/>
              <w:bottom w:val="single" w:sz="4" w:space="0" w:color="auto"/>
              <w:right w:val="single" w:sz="4" w:space="0" w:color="auto"/>
            </w:tcBorders>
            <w:shd w:val="clear" w:color="auto" w:fill="auto"/>
            <w:vAlign w:val="center"/>
            <w:hideMark/>
          </w:tcPr>
          <w:p w14:paraId="1C92C7E1"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w:t>
            </w:r>
          </w:p>
        </w:tc>
        <w:tc>
          <w:tcPr>
            <w:tcW w:w="416" w:type="pct"/>
            <w:tcBorders>
              <w:top w:val="nil"/>
              <w:left w:val="nil"/>
              <w:bottom w:val="single" w:sz="4" w:space="0" w:color="auto"/>
              <w:right w:val="single" w:sz="4" w:space="0" w:color="auto"/>
            </w:tcBorders>
            <w:shd w:val="clear" w:color="auto" w:fill="auto"/>
            <w:vAlign w:val="center"/>
            <w:hideMark/>
          </w:tcPr>
          <w:p w14:paraId="460ACB7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786,4</w:t>
            </w:r>
          </w:p>
        </w:tc>
        <w:tc>
          <w:tcPr>
            <w:tcW w:w="343" w:type="pct"/>
            <w:tcBorders>
              <w:top w:val="nil"/>
              <w:left w:val="nil"/>
              <w:bottom w:val="single" w:sz="4" w:space="0" w:color="auto"/>
              <w:right w:val="single" w:sz="4" w:space="0" w:color="auto"/>
            </w:tcBorders>
            <w:shd w:val="clear" w:color="auto" w:fill="auto"/>
            <w:vAlign w:val="center"/>
            <w:hideMark/>
          </w:tcPr>
          <w:p w14:paraId="272D88ED"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157,3</w:t>
            </w:r>
          </w:p>
        </w:tc>
        <w:tc>
          <w:tcPr>
            <w:tcW w:w="317" w:type="pct"/>
            <w:tcBorders>
              <w:top w:val="nil"/>
              <w:left w:val="nil"/>
              <w:bottom w:val="single" w:sz="4" w:space="0" w:color="auto"/>
              <w:right w:val="single" w:sz="4" w:space="0" w:color="auto"/>
            </w:tcBorders>
            <w:shd w:val="clear" w:color="auto" w:fill="auto"/>
            <w:vAlign w:val="center"/>
            <w:hideMark/>
          </w:tcPr>
          <w:p w14:paraId="18EAB20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w:t>
            </w:r>
          </w:p>
        </w:tc>
        <w:tc>
          <w:tcPr>
            <w:tcW w:w="416" w:type="pct"/>
            <w:tcBorders>
              <w:top w:val="nil"/>
              <w:left w:val="nil"/>
              <w:bottom w:val="single" w:sz="4" w:space="0" w:color="auto"/>
              <w:right w:val="single" w:sz="4" w:space="0" w:color="auto"/>
            </w:tcBorders>
            <w:shd w:val="clear" w:color="auto" w:fill="auto"/>
            <w:vAlign w:val="center"/>
            <w:hideMark/>
          </w:tcPr>
          <w:p w14:paraId="7EBBBC4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786,4</w:t>
            </w:r>
          </w:p>
        </w:tc>
        <w:tc>
          <w:tcPr>
            <w:tcW w:w="343" w:type="pct"/>
            <w:tcBorders>
              <w:top w:val="nil"/>
              <w:left w:val="nil"/>
              <w:bottom w:val="single" w:sz="4" w:space="0" w:color="auto"/>
              <w:right w:val="single" w:sz="4" w:space="0" w:color="auto"/>
            </w:tcBorders>
            <w:shd w:val="clear" w:color="auto" w:fill="auto"/>
            <w:vAlign w:val="center"/>
            <w:hideMark/>
          </w:tcPr>
          <w:p w14:paraId="03321F66"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157,3</w:t>
            </w:r>
          </w:p>
        </w:tc>
        <w:tc>
          <w:tcPr>
            <w:tcW w:w="499" w:type="pct"/>
            <w:tcBorders>
              <w:top w:val="nil"/>
              <w:left w:val="nil"/>
              <w:bottom w:val="single" w:sz="4" w:space="0" w:color="auto"/>
              <w:right w:val="single" w:sz="4" w:space="0" w:color="auto"/>
            </w:tcBorders>
            <w:shd w:val="clear" w:color="auto" w:fill="auto"/>
            <w:noWrap/>
            <w:vAlign w:val="center"/>
            <w:hideMark/>
          </w:tcPr>
          <w:p w14:paraId="34EB436D"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0,0%</w:t>
            </w:r>
          </w:p>
        </w:tc>
        <w:tc>
          <w:tcPr>
            <w:tcW w:w="499" w:type="pct"/>
            <w:tcBorders>
              <w:top w:val="nil"/>
              <w:left w:val="nil"/>
              <w:bottom w:val="single" w:sz="4" w:space="0" w:color="auto"/>
              <w:right w:val="single" w:sz="4" w:space="0" w:color="auto"/>
            </w:tcBorders>
            <w:shd w:val="clear" w:color="auto" w:fill="auto"/>
            <w:noWrap/>
            <w:vAlign w:val="center"/>
            <w:hideMark/>
          </w:tcPr>
          <w:p w14:paraId="40868F5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10,0%</w:t>
            </w:r>
          </w:p>
        </w:tc>
      </w:tr>
      <w:tr w:rsidR="008D5D9D" w:rsidRPr="00650D66" w14:paraId="4A451D4F" w14:textId="77777777" w:rsidTr="002F5DE3">
        <w:trPr>
          <w:trHeight w:val="197"/>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14727C1A"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Consilier al guvernatorului</w:t>
            </w:r>
          </w:p>
        </w:tc>
        <w:tc>
          <w:tcPr>
            <w:tcW w:w="317" w:type="pct"/>
            <w:tcBorders>
              <w:top w:val="nil"/>
              <w:left w:val="nil"/>
              <w:bottom w:val="single" w:sz="4" w:space="0" w:color="auto"/>
              <w:right w:val="single" w:sz="4" w:space="0" w:color="auto"/>
            </w:tcBorders>
            <w:shd w:val="clear" w:color="auto" w:fill="auto"/>
            <w:vAlign w:val="center"/>
            <w:hideMark/>
          </w:tcPr>
          <w:p w14:paraId="070FA05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w:t>
            </w:r>
          </w:p>
        </w:tc>
        <w:tc>
          <w:tcPr>
            <w:tcW w:w="374" w:type="pct"/>
            <w:tcBorders>
              <w:top w:val="nil"/>
              <w:left w:val="nil"/>
              <w:bottom w:val="single" w:sz="4" w:space="0" w:color="auto"/>
              <w:right w:val="single" w:sz="4" w:space="0" w:color="auto"/>
            </w:tcBorders>
            <w:shd w:val="clear" w:color="auto" w:fill="auto"/>
            <w:vAlign w:val="center"/>
            <w:hideMark/>
          </w:tcPr>
          <w:p w14:paraId="7D876B4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262,85</w:t>
            </w:r>
          </w:p>
        </w:tc>
        <w:tc>
          <w:tcPr>
            <w:tcW w:w="343" w:type="pct"/>
            <w:tcBorders>
              <w:top w:val="nil"/>
              <w:left w:val="nil"/>
              <w:bottom w:val="single" w:sz="4" w:space="0" w:color="auto"/>
              <w:right w:val="single" w:sz="4" w:space="0" w:color="auto"/>
            </w:tcBorders>
            <w:shd w:val="clear" w:color="auto" w:fill="auto"/>
            <w:vAlign w:val="center"/>
            <w:hideMark/>
          </w:tcPr>
          <w:p w14:paraId="4F2C0AD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65,7</w:t>
            </w:r>
          </w:p>
        </w:tc>
        <w:tc>
          <w:tcPr>
            <w:tcW w:w="317" w:type="pct"/>
            <w:tcBorders>
              <w:top w:val="nil"/>
              <w:left w:val="nil"/>
              <w:bottom w:val="single" w:sz="4" w:space="0" w:color="auto"/>
              <w:right w:val="single" w:sz="4" w:space="0" w:color="auto"/>
            </w:tcBorders>
            <w:shd w:val="clear" w:color="auto" w:fill="auto"/>
            <w:vAlign w:val="center"/>
            <w:hideMark/>
          </w:tcPr>
          <w:p w14:paraId="67A8B7D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w:t>
            </w:r>
          </w:p>
        </w:tc>
        <w:tc>
          <w:tcPr>
            <w:tcW w:w="416" w:type="pct"/>
            <w:tcBorders>
              <w:top w:val="nil"/>
              <w:left w:val="nil"/>
              <w:bottom w:val="single" w:sz="4" w:space="0" w:color="auto"/>
              <w:right w:val="single" w:sz="4" w:space="0" w:color="auto"/>
            </w:tcBorders>
            <w:shd w:val="clear" w:color="auto" w:fill="auto"/>
            <w:vAlign w:val="center"/>
            <w:hideMark/>
          </w:tcPr>
          <w:p w14:paraId="4EA195DC"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200,95</w:t>
            </w:r>
          </w:p>
        </w:tc>
        <w:tc>
          <w:tcPr>
            <w:tcW w:w="343" w:type="pct"/>
            <w:tcBorders>
              <w:top w:val="nil"/>
              <w:left w:val="nil"/>
              <w:bottom w:val="single" w:sz="4" w:space="0" w:color="auto"/>
              <w:right w:val="single" w:sz="4" w:space="0" w:color="auto"/>
            </w:tcBorders>
            <w:shd w:val="clear" w:color="auto" w:fill="auto"/>
            <w:vAlign w:val="center"/>
            <w:hideMark/>
          </w:tcPr>
          <w:p w14:paraId="27FF023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67,0</w:t>
            </w:r>
          </w:p>
        </w:tc>
        <w:tc>
          <w:tcPr>
            <w:tcW w:w="317" w:type="pct"/>
            <w:tcBorders>
              <w:top w:val="nil"/>
              <w:left w:val="nil"/>
              <w:bottom w:val="single" w:sz="4" w:space="0" w:color="auto"/>
              <w:right w:val="single" w:sz="4" w:space="0" w:color="auto"/>
            </w:tcBorders>
            <w:shd w:val="clear" w:color="auto" w:fill="auto"/>
            <w:vAlign w:val="center"/>
            <w:hideMark/>
          </w:tcPr>
          <w:p w14:paraId="7D0419D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w:t>
            </w:r>
          </w:p>
        </w:tc>
        <w:tc>
          <w:tcPr>
            <w:tcW w:w="416" w:type="pct"/>
            <w:tcBorders>
              <w:top w:val="nil"/>
              <w:left w:val="nil"/>
              <w:bottom w:val="single" w:sz="4" w:space="0" w:color="auto"/>
              <w:right w:val="single" w:sz="4" w:space="0" w:color="auto"/>
            </w:tcBorders>
            <w:shd w:val="clear" w:color="auto" w:fill="auto"/>
            <w:vAlign w:val="center"/>
            <w:hideMark/>
          </w:tcPr>
          <w:p w14:paraId="21615475"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298,2</w:t>
            </w:r>
          </w:p>
        </w:tc>
        <w:tc>
          <w:tcPr>
            <w:tcW w:w="343" w:type="pct"/>
            <w:tcBorders>
              <w:top w:val="nil"/>
              <w:left w:val="nil"/>
              <w:bottom w:val="single" w:sz="4" w:space="0" w:color="auto"/>
              <w:right w:val="single" w:sz="4" w:space="0" w:color="auto"/>
            </w:tcBorders>
            <w:shd w:val="clear" w:color="auto" w:fill="auto"/>
            <w:vAlign w:val="center"/>
            <w:hideMark/>
          </w:tcPr>
          <w:p w14:paraId="2DF1DB41"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99,4</w:t>
            </w:r>
          </w:p>
        </w:tc>
        <w:tc>
          <w:tcPr>
            <w:tcW w:w="499" w:type="pct"/>
            <w:tcBorders>
              <w:top w:val="nil"/>
              <w:left w:val="nil"/>
              <w:bottom w:val="single" w:sz="4" w:space="0" w:color="auto"/>
              <w:right w:val="single" w:sz="4" w:space="0" w:color="auto"/>
            </w:tcBorders>
            <w:shd w:val="clear" w:color="auto" w:fill="auto"/>
            <w:noWrap/>
            <w:vAlign w:val="center"/>
            <w:hideMark/>
          </w:tcPr>
          <w:p w14:paraId="327522C8"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48,4%</w:t>
            </w:r>
          </w:p>
        </w:tc>
        <w:tc>
          <w:tcPr>
            <w:tcW w:w="499" w:type="pct"/>
            <w:tcBorders>
              <w:top w:val="nil"/>
              <w:left w:val="nil"/>
              <w:bottom w:val="single" w:sz="4" w:space="0" w:color="auto"/>
              <w:right w:val="single" w:sz="4" w:space="0" w:color="auto"/>
            </w:tcBorders>
            <w:shd w:val="clear" w:color="auto" w:fill="auto"/>
            <w:noWrap/>
            <w:vAlign w:val="center"/>
            <w:hideMark/>
          </w:tcPr>
          <w:p w14:paraId="52C42826"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51,3%</w:t>
            </w:r>
          </w:p>
        </w:tc>
      </w:tr>
      <w:tr w:rsidR="008D5D9D" w:rsidRPr="00650D66" w14:paraId="57A38F2B" w14:textId="77777777" w:rsidTr="002F5DE3">
        <w:trPr>
          <w:trHeight w:val="173"/>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588241EE"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 xml:space="preserve">Directori de departamente </w:t>
            </w:r>
          </w:p>
        </w:tc>
        <w:tc>
          <w:tcPr>
            <w:tcW w:w="317" w:type="pct"/>
            <w:tcBorders>
              <w:top w:val="nil"/>
              <w:left w:val="nil"/>
              <w:bottom w:val="single" w:sz="4" w:space="0" w:color="auto"/>
              <w:right w:val="single" w:sz="4" w:space="0" w:color="auto"/>
            </w:tcBorders>
            <w:shd w:val="clear" w:color="auto" w:fill="auto"/>
            <w:vAlign w:val="center"/>
            <w:hideMark/>
          </w:tcPr>
          <w:p w14:paraId="1828265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w:t>
            </w:r>
          </w:p>
        </w:tc>
        <w:tc>
          <w:tcPr>
            <w:tcW w:w="374" w:type="pct"/>
            <w:tcBorders>
              <w:top w:val="nil"/>
              <w:left w:val="nil"/>
              <w:bottom w:val="single" w:sz="4" w:space="0" w:color="auto"/>
              <w:right w:val="single" w:sz="4" w:space="0" w:color="auto"/>
            </w:tcBorders>
            <w:shd w:val="clear" w:color="auto" w:fill="auto"/>
            <w:vAlign w:val="center"/>
            <w:hideMark/>
          </w:tcPr>
          <w:p w14:paraId="5752EFF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829,4</w:t>
            </w:r>
          </w:p>
        </w:tc>
        <w:tc>
          <w:tcPr>
            <w:tcW w:w="343" w:type="pct"/>
            <w:tcBorders>
              <w:top w:val="nil"/>
              <w:left w:val="nil"/>
              <w:bottom w:val="single" w:sz="4" w:space="0" w:color="auto"/>
              <w:right w:val="single" w:sz="4" w:space="0" w:color="auto"/>
            </w:tcBorders>
            <w:shd w:val="clear" w:color="auto" w:fill="auto"/>
            <w:vAlign w:val="center"/>
            <w:hideMark/>
          </w:tcPr>
          <w:p w14:paraId="23CD420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55,3</w:t>
            </w:r>
          </w:p>
        </w:tc>
        <w:tc>
          <w:tcPr>
            <w:tcW w:w="317" w:type="pct"/>
            <w:tcBorders>
              <w:top w:val="nil"/>
              <w:left w:val="nil"/>
              <w:bottom w:val="single" w:sz="4" w:space="0" w:color="auto"/>
              <w:right w:val="single" w:sz="4" w:space="0" w:color="auto"/>
            </w:tcBorders>
            <w:shd w:val="clear" w:color="auto" w:fill="auto"/>
            <w:vAlign w:val="center"/>
            <w:hideMark/>
          </w:tcPr>
          <w:p w14:paraId="146A07B1"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w:t>
            </w:r>
          </w:p>
        </w:tc>
        <w:tc>
          <w:tcPr>
            <w:tcW w:w="416" w:type="pct"/>
            <w:tcBorders>
              <w:top w:val="nil"/>
              <w:left w:val="nil"/>
              <w:bottom w:val="single" w:sz="4" w:space="0" w:color="auto"/>
              <w:right w:val="single" w:sz="4" w:space="0" w:color="auto"/>
            </w:tcBorders>
            <w:shd w:val="clear" w:color="auto" w:fill="auto"/>
            <w:vAlign w:val="center"/>
            <w:hideMark/>
          </w:tcPr>
          <w:p w14:paraId="42B5D749"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903,05</w:t>
            </w:r>
          </w:p>
        </w:tc>
        <w:tc>
          <w:tcPr>
            <w:tcW w:w="343" w:type="pct"/>
            <w:tcBorders>
              <w:top w:val="nil"/>
              <w:left w:val="nil"/>
              <w:bottom w:val="single" w:sz="4" w:space="0" w:color="auto"/>
              <w:right w:val="single" w:sz="4" w:space="0" w:color="auto"/>
            </w:tcBorders>
            <w:shd w:val="clear" w:color="auto" w:fill="auto"/>
            <w:vAlign w:val="center"/>
            <w:hideMark/>
          </w:tcPr>
          <w:p w14:paraId="5510D805"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60,2</w:t>
            </w:r>
          </w:p>
        </w:tc>
        <w:tc>
          <w:tcPr>
            <w:tcW w:w="317" w:type="pct"/>
            <w:tcBorders>
              <w:top w:val="nil"/>
              <w:left w:val="nil"/>
              <w:bottom w:val="single" w:sz="4" w:space="0" w:color="auto"/>
              <w:right w:val="single" w:sz="4" w:space="0" w:color="auto"/>
            </w:tcBorders>
            <w:shd w:val="clear" w:color="auto" w:fill="auto"/>
            <w:vAlign w:val="center"/>
            <w:hideMark/>
          </w:tcPr>
          <w:p w14:paraId="023C231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16</w:t>
            </w:r>
          </w:p>
        </w:tc>
        <w:tc>
          <w:tcPr>
            <w:tcW w:w="416" w:type="pct"/>
            <w:tcBorders>
              <w:top w:val="nil"/>
              <w:left w:val="nil"/>
              <w:bottom w:val="single" w:sz="4" w:space="0" w:color="auto"/>
              <w:right w:val="single" w:sz="4" w:space="0" w:color="auto"/>
            </w:tcBorders>
            <w:shd w:val="clear" w:color="auto" w:fill="auto"/>
            <w:vAlign w:val="center"/>
            <w:hideMark/>
          </w:tcPr>
          <w:p w14:paraId="581BED9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1396,45</w:t>
            </w:r>
          </w:p>
        </w:tc>
        <w:tc>
          <w:tcPr>
            <w:tcW w:w="343" w:type="pct"/>
            <w:tcBorders>
              <w:top w:val="nil"/>
              <w:left w:val="nil"/>
              <w:bottom w:val="single" w:sz="4" w:space="0" w:color="auto"/>
              <w:right w:val="single" w:sz="4" w:space="0" w:color="auto"/>
            </w:tcBorders>
            <w:shd w:val="clear" w:color="auto" w:fill="auto"/>
            <w:vAlign w:val="center"/>
            <w:hideMark/>
          </w:tcPr>
          <w:p w14:paraId="4275D24F"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87,3</w:t>
            </w:r>
          </w:p>
        </w:tc>
        <w:tc>
          <w:tcPr>
            <w:tcW w:w="499" w:type="pct"/>
            <w:tcBorders>
              <w:top w:val="nil"/>
              <w:left w:val="nil"/>
              <w:bottom w:val="single" w:sz="4" w:space="0" w:color="auto"/>
              <w:right w:val="single" w:sz="4" w:space="0" w:color="auto"/>
            </w:tcBorders>
            <w:shd w:val="clear" w:color="auto" w:fill="auto"/>
            <w:noWrap/>
            <w:vAlign w:val="center"/>
            <w:hideMark/>
          </w:tcPr>
          <w:p w14:paraId="3D11EA21"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45,0%</w:t>
            </w:r>
          </w:p>
        </w:tc>
        <w:tc>
          <w:tcPr>
            <w:tcW w:w="499" w:type="pct"/>
            <w:tcBorders>
              <w:top w:val="nil"/>
              <w:left w:val="nil"/>
              <w:bottom w:val="single" w:sz="4" w:space="0" w:color="auto"/>
              <w:right w:val="single" w:sz="4" w:space="0" w:color="auto"/>
            </w:tcBorders>
            <w:shd w:val="clear" w:color="auto" w:fill="auto"/>
            <w:noWrap/>
            <w:vAlign w:val="center"/>
            <w:hideMark/>
          </w:tcPr>
          <w:p w14:paraId="734FCE20"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57,8%</w:t>
            </w:r>
          </w:p>
        </w:tc>
      </w:tr>
      <w:tr w:rsidR="008D5D9D" w:rsidRPr="00650D66" w14:paraId="47F7EE1D" w14:textId="77777777" w:rsidTr="00643407">
        <w:trPr>
          <w:trHeight w:val="371"/>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38B8540A"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 xml:space="preserve">Directori adjuncți de departamente </w:t>
            </w:r>
          </w:p>
        </w:tc>
        <w:tc>
          <w:tcPr>
            <w:tcW w:w="317" w:type="pct"/>
            <w:tcBorders>
              <w:top w:val="nil"/>
              <w:left w:val="nil"/>
              <w:bottom w:val="single" w:sz="4" w:space="0" w:color="auto"/>
              <w:right w:val="single" w:sz="4" w:space="0" w:color="auto"/>
            </w:tcBorders>
            <w:shd w:val="clear" w:color="auto" w:fill="auto"/>
            <w:vAlign w:val="center"/>
            <w:hideMark/>
          </w:tcPr>
          <w:p w14:paraId="127CE14C"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w:t>
            </w:r>
          </w:p>
        </w:tc>
        <w:tc>
          <w:tcPr>
            <w:tcW w:w="374" w:type="pct"/>
            <w:tcBorders>
              <w:top w:val="nil"/>
              <w:left w:val="nil"/>
              <w:bottom w:val="single" w:sz="4" w:space="0" w:color="auto"/>
              <w:right w:val="single" w:sz="4" w:space="0" w:color="auto"/>
            </w:tcBorders>
            <w:shd w:val="clear" w:color="auto" w:fill="auto"/>
            <w:vAlign w:val="center"/>
            <w:hideMark/>
          </w:tcPr>
          <w:p w14:paraId="5BDBD608"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299,35</w:t>
            </w:r>
          </w:p>
        </w:tc>
        <w:tc>
          <w:tcPr>
            <w:tcW w:w="343" w:type="pct"/>
            <w:tcBorders>
              <w:top w:val="nil"/>
              <w:left w:val="nil"/>
              <w:bottom w:val="single" w:sz="4" w:space="0" w:color="auto"/>
              <w:right w:val="single" w:sz="4" w:space="0" w:color="auto"/>
            </w:tcBorders>
            <w:shd w:val="clear" w:color="auto" w:fill="auto"/>
            <w:vAlign w:val="center"/>
            <w:hideMark/>
          </w:tcPr>
          <w:p w14:paraId="1BAEDE4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37,4</w:t>
            </w:r>
          </w:p>
        </w:tc>
        <w:tc>
          <w:tcPr>
            <w:tcW w:w="317" w:type="pct"/>
            <w:tcBorders>
              <w:top w:val="nil"/>
              <w:left w:val="nil"/>
              <w:bottom w:val="single" w:sz="4" w:space="0" w:color="auto"/>
              <w:right w:val="single" w:sz="4" w:space="0" w:color="auto"/>
            </w:tcBorders>
            <w:shd w:val="clear" w:color="auto" w:fill="auto"/>
            <w:vAlign w:val="center"/>
            <w:hideMark/>
          </w:tcPr>
          <w:p w14:paraId="1E93114F"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w:t>
            </w:r>
          </w:p>
        </w:tc>
        <w:tc>
          <w:tcPr>
            <w:tcW w:w="416" w:type="pct"/>
            <w:tcBorders>
              <w:top w:val="nil"/>
              <w:left w:val="nil"/>
              <w:bottom w:val="single" w:sz="4" w:space="0" w:color="auto"/>
              <w:right w:val="single" w:sz="4" w:space="0" w:color="auto"/>
            </w:tcBorders>
            <w:shd w:val="clear" w:color="auto" w:fill="auto"/>
            <w:vAlign w:val="center"/>
            <w:hideMark/>
          </w:tcPr>
          <w:p w14:paraId="0B0BB54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350,25</w:t>
            </w:r>
          </w:p>
        </w:tc>
        <w:tc>
          <w:tcPr>
            <w:tcW w:w="343" w:type="pct"/>
            <w:tcBorders>
              <w:top w:val="nil"/>
              <w:left w:val="nil"/>
              <w:bottom w:val="single" w:sz="4" w:space="0" w:color="auto"/>
              <w:right w:val="single" w:sz="4" w:space="0" w:color="auto"/>
            </w:tcBorders>
            <w:shd w:val="clear" w:color="auto" w:fill="auto"/>
            <w:vAlign w:val="center"/>
            <w:hideMark/>
          </w:tcPr>
          <w:p w14:paraId="5B372E40"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43,8</w:t>
            </w:r>
          </w:p>
        </w:tc>
        <w:tc>
          <w:tcPr>
            <w:tcW w:w="317" w:type="pct"/>
            <w:tcBorders>
              <w:top w:val="nil"/>
              <w:left w:val="nil"/>
              <w:bottom w:val="single" w:sz="4" w:space="0" w:color="auto"/>
              <w:right w:val="single" w:sz="4" w:space="0" w:color="auto"/>
            </w:tcBorders>
            <w:shd w:val="clear" w:color="auto" w:fill="auto"/>
            <w:vAlign w:val="center"/>
            <w:hideMark/>
          </w:tcPr>
          <w:p w14:paraId="6EF640F0"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w:t>
            </w:r>
          </w:p>
        </w:tc>
        <w:tc>
          <w:tcPr>
            <w:tcW w:w="416" w:type="pct"/>
            <w:tcBorders>
              <w:top w:val="nil"/>
              <w:left w:val="nil"/>
              <w:bottom w:val="single" w:sz="4" w:space="0" w:color="auto"/>
              <w:right w:val="single" w:sz="4" w:space="0" w:color="auto"/>
            </w:tcBorders>
            <w:shd w:val="clear" w:color="auto" w:fill="auto"/>
            <w:vAlign w:val="center"/>
            <w:hideMark/>
          </w:tcPr>
          <w:p w14:paraId="78262268"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434,95</w:t>
            </w:r>
          </w:p>
        </w:tc>
        <w:tc>
          <w:tcPr>
            <w:tcW w:w="343" w:type="pct"/>
            <w:tcBorders>
              <w:top w:val="nil"/>
              <w:left w:val="nil"/>
              <w:bottom w:val="single" w:sz="4" w:space="0" w:color="auto"/>
              <w:right w:val="single" w:sz="4" w:space="0" w:color="auto"/>
            </w:tcBorders>
            <w:shd w:val="clear" w:color="auto" w:fill="auto"/>
            <w:vAlign w:val="center"/>
            <w:hideMark/>
          </w:tcPr>
          <w:p w14:paraId="6A02ED49"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54,4</w:t>
            </w:r>
          </w:p>
        </w:tc>
        <w:tc>
          <w:tcPr>
            <w:tcW w:w="499" w:type="pct"/>
            <w:tcBorders>
              <w:top w:val="nil"/>
              <w:left w:val="nil"/>
              <w:bottom w:val="single" w:sz="4" w:space="0" w:color="auto"/>
              <w:right w:val="single" w:sz="4" w:space="0" w:color="auto"/>
            </w:tcBorders>
            <w:shd w:val="clear" w:color="auto" w:fill="auto"/>
            <w:noWrap/>
            <w:vAlign w:val="center"/>
            <w:hideMark/>
          </w:tcPr>
          <w:p w14:paraId="0D55ECF4"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24,2%</w:t>
            </w:r>
          </w:p>
        </w:tc>
        <w:tc>
          <w:tcPr>
            <w:tcW w:w="499" w:type="pct"/>
            <w:tcBorders>
              <w:top w:val="nil"/>
              <w:left w:val="nil"/>
              <w:bottom w:val="single" w:sz="4" w:space="0" w:color="auto"/>
              <w:right w:val="single" w:sz="4" w:space="0" w:color="auto"/>
            </w:tcBorders>
            <w:shd w:val="clear" w:color="auto" w:fill="auto"/>
            <w:noWrap/>
            <w:vAlign w:val="center"/>
            <w:hideMark/>
          </w:tcPr>
          <w:p w14:paraId="3470018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45,3%</w:t>
            </w:r>
          </w:p>
        </w:tc>
      </w:tr>
      <w:tr w:rsidR="008D5D9D" w:rsidRPr="00650D66" w14:paraId="490C2731" w14:textId="77777777" w:rsidTr="00643407">
        <w:trPr>
          <w:trHeight w:val="209"/>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0D76A65B"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Șefi de direcție</w:t>
            </w:r>
          </w:p>
        </w:tc>
        <w:tc>
          <w:tcPr>
            <w:tcW w:w="317" w:type="pct"/>
            <w:tcBorders>
              <w:top w:val="nil"/>
              <w:left w:val="nil"/>
              <w:bottom w:val="single" w:sz="4" w:space="0" w:color="auto"/>
              <w:right w:val="single" w:sz="4" w:space="0" w:color="auto"/>
            </w:tcBorders>
            <w:shd w:val="clear" w:color="auto" w:fill="auto"/>
            <w:vAlign w:val="center"/>
            <w:hideMark/>
          </w:tcPr>
          <w:p w14:paraId="1BD8A00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39</w:t>
            </w:r>
          </w:p>
        </w:tc>
        <w:tc>
          <w:tcPr>
            <w:tcW w:w="374" w:type="pct"/>
            <w:tcBorders>
              <w:top w:val="nil"/>
              <w:left w:val="nil"/>
              <w:bottom w:val="single" w:sz="4" w:space="0" w:color="auto"/>
              <w:right w:val="single" w:sz="4" w:space="0" w:color="auto"/>
            </w:tcBorders>
            <w:shd w:val="clear" w:color="auto" w:fill="auto"/>
            <w:vAlign w:val="center"/>
            <w:hideMark/>
          </w:tcPr>
          <w:p w14:paraId="6080753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1173,8</w:t>
            </w:r>
          </w:p>
        </w:tc>
        <w:tc>
          <w:tcPr>
            <w:tcW w:w="343" w:type="pct"/>
            <w:tcBorders>
              <w:top w:val="nil"/>
              <w:left w:val="nil"/>
              <w:bottom w:val="single" w:sz="4" w:space="0" w:color="auto"/>
              <w:right w:val="single" w:sz="4" w:space="0" w:color="auto"/>
            </w:tcBorders>
            <w:shd w:val="clear" w:color="auto" w:fill="auto"/>
            <w:vAlign w:val="center"/>
            <w:hideMark/>
          </w:tcPr>
          <w:p w14:paraId="3B1D1000"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30,1</w:t>
            </w:r>
          </w:p>
        </w:tc>
        <w:tc>
          <w:tcPr>
            <w:tcW w:w="317" w:type="pct"/>
            <w:tcBorders>
              <w:top w:val="nil"/>
              <w:left w:val="nil"/>
              <w:bottom w:val="single" w:sz="4" w:space="0" w:color="auto"/>
              <w:right w:val="single" w:sz="4" w:space="0" w:color="auto"/>
            </w:tcBorders>
            <w:shd w:val="clear" w:color="auto" w:fill="auto"/>
            <w:vAlign w:val="center"/>
            <w:hideMark/>
          </w:tcPr>
          <w:p w14:paraId="64FBAE1C"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39</w:t>
            </w:r>
          </w:p>
        </w:tc>
        <w:tc>
          <w:tcPr>
            <w:tcW w:w="416" w:type="pct"/>
            <w:tcBorders>
              <w:top w:val="nil"/>
              <w:left w:val="nil"/>
              <w:bottom w:val="single" w:sz="4" w:space="0" w:color="auto"/>
              <w:right w:val="single" w:sz="4" w:space="0" w:color="auto"/>
            </w:tcBorders>
            <w:shd w:val="clear" w:color="auto" w:fill="auto"/>
            <w:vAlign w:val="center"/>
            <w:hideMark/>
          </w:tcPr>
          <w:p w14:paraId="26534768"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1433,9</w:t>
            </w:r>
          </w:p>
        </w:tc>
        <w:tc>
          <w:tcPr>
            <w:tcW w:w="343" w:type="pct"/>
            <w:tcBorders>
              <w:top w:val="nil"/>
              <w:left w:val="nil"/>
              <w:bottom w:val="single" w:sz="4" w:space="0" w:color="auto"/>
              <w:right w:val="single" w:sz="4" w:space="0" w:color="auto"/>
            </w:tcBorders>
            <w:shd w:val="clear" w:color="auto" w:fill="auto"/>
            <w:vAlign w:val="center"/>
            <w:hideMark/>
          </w:tcPr>
          <w:p w14:paraId="63E7357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36,8</w:t>
            </w:r>
          </w:p>
        </w:tc>
        <w:tc>
          <w:tcPr>
            <w:tcW w:w="317" w:type="pct"/>
            <w:tcBorders>
              <w:top w:val="nil"/>
              <w:left w:val="nil"/>
              <w:bottom w:val="single" w:sz="4" w:space="0" w:color="auto"/>
              <w:right w:val="single" w:sz="4" w:space="0" w:color="auto"/>
            </w:tcBorders>
            <w:shd w:val="clear" w:color="auto" w:fill="auto"/>
            <w:vAlign w:val="center"/>
            <w:hideMark/>
          </w:tcPr>
          <w:p w14:paraId="37FA605C"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40</w:t>
            </w:r>
          </w:p>
        </w:tc>
        <w:tc>
          <w:tcPr>
            <w:tcW w:w="416" w:type="pct"/>
            <w:tcBorders>
              <w:top w:val="nil"/>
              <w:left w:val="nil"/>
              <w:bottom w:val="single" w:sz="4" w:space="0" w:color="auto"/>
              <w:right w:val="single" w:sz="4" w:space="0" w:color="auto"/>
            </w:tcBorders>
            <w:shd w:val="clear" w:color="auto" w:fill="auto"/>
            <w:vAlign w:val="center"/>
            <w:hideMark/>
          </w:tcPr>
          <w:p w14:paraId="1B4F6C4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1935,05</w:t>
            </w:r>
          </w:p>
        </w:tc>
        <w:tc>
          <w:tcPr>
            <w:tcW w:w="343" w:type="pct"/>
            <w:tcBorders>
              <w:top w:val="nil"/>
              <w:left w:val="nil"/>
              <w:bottom w:val="single" w:sz="4" w:space="0" w:color="auto"/>
              <w:right w:val="single" w:sz="4" w:space="0" w:color="auto"/>
            </w:tcBorders>
            <w:shd w:val="clear" w:color="auto" w:fill="auto"/>
            <w:vAlign w:val="center"/>
            <w:hideMark/>
          </w:tcPr>
          <w:p w14:paraId="50F8FAB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48,4</w:t>
            </w:r>
          </w:p>
        </w:tc>
        <w:tc>
          <w:tcPr>
            <w:tcW w:w="499" w:type="pct"/>
            <w:tcBorders>
              <w:top w:val="nil"/>
              <w:left w:val="nil"/>
              <w:bottom w:val="single" w:sz="4" w:space="0" w:color="auto"/>
              <w:right w:val="single" w:sz="4" w:space="0" w:color="auto"/>
            </w:tcBorders>
            <w:shd w:val="clear" w:color="auto" w:fill="auto"/>
            <w:noWrap/>
            <w:vAlign w:val="center"/>
            <w:hideMark/>
          </w:tcPr>
          <w:p w14:paraId="7AB7170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31,6%</w:t>
            </w:r>
          </w:p>
        </w:tc>
        <w:tc>
          <w:tcPr>
            <w:tcW w:w="499" w:type="pct"/>
            <w:tcBorders>
              <w:top w:val="nil"/>
              <w:left w:val="nil"/>
              <w:bottom w:val="single" w:sz="4" w:space="0" w:color="auto"/>
              <w:right w:val="single" w:sz="4" w:space="0" w:color="auto"/>
            </w:tcBorders>
            <w:shd w:val="clear" w:color="auto" w:fill="auto"/>
            <w:noWrap/>
            <w:vAlign w:val="center"/>
            <w:hideMark/>
          </w:tcPr>
          <w:p w14:paraId="5CFBF5A8"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60,7%</w:t>
            </w:r>
          </w:p>
        </w:tc>
      </w:tr>
      <w:tr w:rsidR="008D5D9D" w:rsidRPr="00650D66" w14:paraId="6160BAEB" w14:textId="77777777" w:rsidTr="002F5DE3">
        <w:trPr>
          <w:trHeight w:val="255"/>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7248519F"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lastRenderedPageBreak/>
              <w:t>Șefi adjuncți de direcție</w:t>
            </w:r>
          </w:p>
        </w:tc>
        <w:tc>
          <w:tcPr>
            <w:tcW w:w="317" w:type="pct"/>
            <w:tcBorders>
              <w:top w:val="nil"/>
              <w:left w:val="nil"/>
              <w:bottom w:val="single" w:sz="4" w:space="0" w:color="auto"/>
              <w:right w:val="single" w:sz="4" w:space="0" w:color="auto"/>
            </w:tcBorders>
            <w:shd w:val="clear" w:color="auto" w:fill="auto"/>
            <w:vAlign w:val="center"/>
            <w:hideMark/>
          </w:tcPr>
          <w:p w14:paraId="5B70444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24</w:t>
            </w:r>
          </w:p>
        </w:tc>
        <w:tc>
          <w:tcPr>
            <w:tcW w:w="374" w:type="pct"/>
            <w:tcBorders>
              <w:top w:val="nil"/>
              <w:left w:val="nil"/>
              <w:bottom w:val="single" w:sz="4" w:space="0" w:color="auto"/>
              <w:right w:val="single" w:sz="4" w:space="0" w:color="auto"/>
            </w:tcBorders>
            <w:shd w:val="clear" w:color="auto" w:fill="auto"/>
            <w:vAlign w:val="center"/>
            <w:hideMark/>
          </w:tcPr>
          <w:p w14:paraId="7CF78FC9"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619,5</w:t>
            </w:r>
          </w:p>
        </w:tc>
        <w:tc>
          <w:tcPr>
            <w:tcW w:w="343" w:type="pct"/>
            <w:tcBorders>
              <w:top w:val="nil"/>
              <w:left w:val="nil"/>
              <w:bottom w:val="single" w:sz="4" w:space="0" w:color="auto"/>
              <w:right w:val="single" w:sz="4" w:space="0" w:color="auto"/>
            </w:tcBorders>
            <w:shd w:val="clear" w:color="auto" w:fill="auto"/>
            <w:vAlign w:val="center"/>
            <w:hideMark/>
          </w:tcPr>
          <w:p w14:paraId="4053FCD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25,8</w:t>
            </w:r>
          </w:p>
        </w:tc>
        <w:tc>
          <w:tcPr>
            <w:tcW w:w="317" w:type="pct"/>
            <w:tcBorders>
              <w:top w:val="nil"/>
              <w:left w:val="nil"/>
              <w:bottom w:val="single" w:sz="4" w:space="0" w:color="auto"/>
              <w:right w:val="single" w:sz="4" w:space="0" w:color="auto"/>
            </w:tcBorders>
            <w:shd w:val="clear" w:color="auto" w:fill="auto"/>
            <w:vAlign w:val="center"/>
            <w:hideMark/>
          </w:tcPr>
          <w:p w14:paraId="7118AB6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28</w:t>
            </w:r>
          </w:p>
        </w:tc>
        <w:tc>
          <w:tcPr>
            <w:tcW w:w="416" w:type="pct"/>
            <w:tcBorders>
              <w:top w:val="nil"/>
              <w:left w:val="nil"/>
              <w:bottom w:val="single" w:sz="4" w:space="0" w:color="auto"/>
              <w:right w:val="single" w:sz="4" w:space="0" w:color="auto"/>
            </w:tcBorders>
            <w:shd w:val="clear" w:color="auto" w:fill="auto"/>
            <w:vAlign w:val="center"/>
            <w:hideMark/>
          </w:tcPr>
          <w:p w14:paraId="5A73CD8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775,95</w:t>
            </w:r>
          </w:p>
        </w:tc>
        <w:tc>
          <w:tcPr>
            <w:tcW w:w="343" w:type="pct"/>
            <w:tcBorders>
              <w:top w:val="nil"/>
              <w:left w:val="nil"/>
              <w:bottom w:val="single" w:sz="4" w:space="0" w:color="auto"/>
              <w:right w:val="single" w:sz="4" w:space="0" w:color="auto"/>
            </w:tcBorders>
            <w:shd w:val="clear" w:color="auto" w:fill="auto"/>
            <w:vAlign w:val="center"/>
            <w:hideMark/>
          </w:tcPr>
          <w:p w14:paraId="27A0A8DC"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27,7</w:t>
            </w:r>
          </w:p>
        </w:tc>
        <w:tc>
          <w:tcPr>
            <w:tcW w:w="317" w:type="pct"/>
            <w:tcBorders>
              <w:top w:val="nil"/>
              <w:left w:val="nil"/>
              <w:bottom w:val="single" w:sz="4" w:space="0" w:color="auto"/>
              <w:right w:val="single" w:sz="4" w:space="0" w:color="auto"/>
            </w:tcBorders>
            <w:shd w:val="clear" w:color="auto" w:fill="auto"/>
            <w:vAlign w:val="center"/>
            <w:hideMark/>
          </w:tcPr>
          <w:p w14:paraId="597ABA3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29</w:t>
            </w:r>
          </w:p>
        </w:tc>
        <w:tc>
          <w:tcPr>
            <w:tcW w:w="416" w:type="pct"/>
            <w:tcBorders>
              <w:top w:val="nil"/>
              <w:left w:val="nil"/>
              <w:bottom w:val="single" w:sz="4" w:space="0" w:color="auto"/>
              <w:right w:val="single" w:sz="4" w:space="0" w:color="auto"/>
            </w:tcBorders>
            <w:shd w:val="clear" w:color="auto" w:fill="auto"/>
            <w:vAlign w:val="center"/>
            <w:hideMark/>
          </w:tcPr>
          <w:p w14:paraId="5446B5F5"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1118,45</w:t>
            </w:r>
          </w:p>
        </w:tc>
        <w:tc>
          <w:tcPr>
            <w:tcW w:w="343" w:type="pct"/>
            <w:tcBorders>
              <w:top w:val="nil"/>
              <w:left w:val="nil"/>
              <w:bottom w:val="single" w:sz="4" w:space="0" w:color="auto"/>
              <w:right w:val="single" w:sz="4" w:space="0" w:color="auto"/>
            </w:tcBorders>
            <w:shd w:val="clear" w:color="auto" w:fill="auto"/>
            <w:vAlign w:val="center"/>
            <w:hideMark/>
          </w:tcPr>
          <w:p w14:paraId="37BF5A0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38,6</w:t>
            </w:r>
          </w:p>
        </w:tc>
        <w:tc>
          <w:tcPr>
            <w:tcW w:w="499" w:type="pct"/>
            <w:tcBorders>
              <w:top w:val="nil"/>
              <w:left w:val="nil"/>
              <w:bottom w:val="single" w:sz="4" w:space="0" w:color="auto"/>
              <w:right w:val="single" w:sz="4" w:space="0" w:color="auto"/>
            </w:tcBorders>
            <w:shd w:val="clear" w:color="auto" w:fill="auto"/>
            <w:noWrap/>
            <w:vAlign w:val="center"/>
            <w:hideMark/>
          </w:tcPr>
          <w:p w14:paraId="42ECEF0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39,2%</w:t>
            </w:r>
          </w:p>
        </w:tc>
        <w:tc>
          <w:tcPr>
            <w:tcW w:w="499" w:type="pct"/>
            <w:tcBorders>
              <w:top w:val="nil"/>
              <w:left w:val="nil"/>
              <w:bottom w:val="single" w:sz="4" w:space="0" w:color="auto"/>
              <w:right w:val="single" w:sz="4" w:space="0" w:color="auto"/>
            </w:tcBorders>
            <w:shd w:val="clear" w:color="auto" w:fill="auto"/>
            <w:noWrap/>
            <w:vAlign w:val="center"/>
            <w:hideMark/>
          </w:tcPr>
          <w:p w14:paraId="169B5D8D"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49,4%</w:t>
            </w:r>
          </w:p>
        </w:tc>
      </w:tr>
      <w:tr w:rsidR="008D5D9D" w:rsidRPr="00650D66" w14:paraId="719EF2FE" w14:textId="77777777" w:rsidTr="00643407">
        <w:trPr>
          <w:trHeight w:val="333"/>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56EFBB43"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Șefi de secție/serviciu</w:t>
            </w:r>
          </w:p>
          <w:p w14:paraId="45EFD6C6"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/arhivă</w:t>
            </w:r>
          </w:p>
        </w:tc>
        <w:tc>
          <w:tcPr>
            <w:tcW w:w="317" w:type="pct"/>
            <w:tcBorders>
              <w:top w:val="nil"/>
              <w:left w:val="nil"/>
              <w:bottom w:val="single" w:sz="4" w:space="0" w:color="auto"/>
              <w:right w:val="single" w:sz="4" w:space="0" w:color="auto"/>
            </w:tcBorders>
            <w:shd w:val="clear" w:color="auto" w:fill="auto"/>
            <w:vAlign w:val="center"/>
            <w:hideMark/>
          </w:tcPr>
          <w:p w14:paraId="1D0F572D"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19</w:t>
            </w:r>
          </w:p>
        </w:tc>
        <w:tc>
          <w:tcPr>
            <w:tcW w:w="374" w:type="pct"/>
            <w:tcBorders>
              <w:top w:val="nil"/>
              <w:left w:val="nil"/>
              <w:bottom w:val="single" w:sz="4" w:space="0" w:color="auto"/>
              <w:right w:val="single" w:sz="4" w:space="0" w:color="auto"/>
            </w:tcBorders>
            <w:shd w:val="clear" w:color="auto" w:fill="auto"/>
            <w:vAlign w:val="center"/>
            <w:hideMark/>
          </w:tcPr>
          <w:p w14:paraId="70902CBD"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398,25</w:t>
            </w:r>
          </w:p>
        </w:tc>
        <w:tc>
          <w:tcPr>
            <w:tcW w:w="343" w:type="pct"/>
            <w:tcBorders>
              <w:top w:val="nil"/>
              <w:left w:val="nil"/>
              <w:bottom w:val="single" w:sz="4" w:space="0" w:color="auto"/>
              <w:right w:val="single" w:sz="4" w:space="0" w:color="auto"/>
            </w:tcBorders>
            <w:shd w:val="clear" w:color="auto" w:fill="auto"/>
            <w:vAlign w:val="center"/>
            <w:hideMark/>
          </w:tcPr>
          <w:p w14:paraId="6611553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21,0</w:t>
            </w:r>
          </w:p>
        </w:tc>
        <w:tc>
          <w:tcPr>
            <w:tcW w:w="317" w:type="pct"/>
            <w:tcBorders>
              <w:top w:val="nil"/>
              <w:left w:val="nil"/>
              <w:bottom w:val="single" w:sz="4" w:space="0" w:color="auto"/>
              <w:right w:val="single" w:sz="4" w:space="0" w:color="auto"/>
            </w:tcBorders>
            <w:shd w:val="clear" w:color="auto" w:fill="auto"/>
            <w:vAlign w:val="center"/>
            <w:hideMark/>
          </w:tcPr>
          <w:p w14:paraId="41FF9AF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16</w:t>
            </w:r>
          </w:p>
        </w:tc>
        <w:tc>
          <w:tcPr>
            <w:tcW w:w="416" w:type="pct"/>
            <w:tcBorders>
              <w:top w:val="nil"/>
              <w:left w:val="nil"/>
              <w:bottom w:val="single" w:sz="4" w:space="0" w:color="auto"/>
              <w:right w:val="single" w:sz="4" w:space="0" w:color="auto"/>
            </w:tcBorders>
            <w:shd w:val="clear" w:color="auto" w:fill="auto"/>
            <w:vAlign w:val="center"/>
            <w:hideMark/>
          </w:tcPr>
          <w:p w14:paraId="05E8CA1B"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345,5</w:t>
            </w:r>
          </w:p>
        </w:tc>
        <w:tc>
          <w:tcPr>
            <w:tcW w:w="343" w:type="pct"/>
            <w:tcBorders>
              <w:top w:val="nil"/>
              <w:left w:val="nil"/>
              <w:bottom w:val="single" w:sz="4" w:space="0" w:color="auto"/>
              <w:right w:val="single" w:sz="4" w:space="0" w:color="auto"/>
            </w:tcBorders>
            <w:shd w:val="clear" w:color="auto" w:fill="auto"/>
            <w:vAlign w:val="center"/>
            <w:hideMark/>
          </w:tcPr>
          <w:p w14:paraId="4E9E0F2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21,6</w:t>
            </w:r>
          </w:p>
        </w:tc>
        <w:tc>
          <w:tcPr>
            <w:tcW w:w="317" w:type="pct"/>
            <w:tcBorders>
              <w:top w:val="nil"/>
              <w:left w:val="nil"/>
              <w:bottom w:val="single" w:sz="4" w:space="0" w:color="auto"/>
              <w:right w:val="single" w:sz="4" w:space="0" w:color="auto"/>
            </w:tcBorders>
            <w:shd w:val="clear" w:color="auto" w:fill="auto"/>
            <w:vAlign w:val="center"/>
            <w:hideMark/>
          </w:tcPr>
          <w:p w14:paraId="20B81E7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16</w:t>
            </w:r>
          </w:p>
        </w:tc>
        <w:tc>
          <w:tcPr>
            <w:tcW w:w="416" w:type="pct"/>
            <w:tcBorders>
              <w:top w:val="nil"/>
              <w:left w:val="nil"/>
              <w:bottom w:val="single" w:sz="4" w:space="0" w:color="auto"/>
              <w:right w:val="single" w:sz="4" w:space="0" w:color="auto"/>
            </w:tcBorders>
            <w:shd w:val="clear" w:color="auto" w:fill="auto"/>
            <w:vAlign w:val="center"/>
            <w:hideMark/>
          </w:tcPr>
          <w:p w14:paraId="52767AA6"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462,9</w:t>
            </w:r>
          </w:p>
        </w:tc>
        <w:tc>
          <w:tcPr>
            <w:tcW w:w="343" w:type="pct"/>
            <w:tcBorders>
              <w:top w:val="nil"/>
              <w:left w:val="nil"/>
              <w:bottom w:val="single" w:sz="4" w:space="0" w:color="auto"/>
              <w:right w:val="single" w:sz="4" w:space="0" w:color="auto"/>
            </w:tcBorders>
            <w:shd w:val="clear" w:color="auto" w:fill="auto"/>
            <w:vAlign w:val="center"/>
            <w:hideMark/>
          </w:tcPr>
          <w:p w14:paraId="264C18F5"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28,9</w:t>
            </w:r>
          </w:p>
        </w:tc>
        <w:tc>
          <w:tcPr>
            <w:tcW w:w="499" w:type="pct"/>
            <w:tcBorders>
              <w:top w:val="nil"/>
              <w:left w:val="nil"/>
              <w:bottom w:val="single" w:sz="4" w:space="0" w:color="auto"/>
              <w:right w:val="single" w:sz="4" w:space="0" w:color="auto"/>
            </w:tcBorders>
            <w:shd w:val="clear" w:color="auto" w:fill="auto"/>
            <w:noWrap/>
            <w:vAlign w:val="center"/>
            <w:hideMark/>
          </w:tcPr>
          <w:p w14:paraId="506642FF"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34,0%</w:t>
            </w:r>
          </w:p>
        </w:tc>
        <w:tc>
          <w:tcPr>
            <w:tcW w:w="499" w:type="pct"/>
            <w:tcBorders>
              <w:top w:val="nil"/>
              <w:left w:val="nil"/>
              <w:bottom w:val="single" w:sz="4" w:space="0" w:color="auto"/>
              <w:right w:val="single" w:sz="4" w:space="0" w:color="auto"/>
            </w:tcBorders>
            <w:shd w:val="clear" w:color="auto" w:fill="auto"/>
            <w:noWrap/>
            <w:vAlign w:val="center"/>
            <w:hideMark/>
          </w:tcPr>
          <w:p w14:paraId="7E252239"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38,0%</w:t>
            </w:r>
          </w:p>
        </w:tc>
      </w:tr>
      <w:tr w:rsidR="008D5D9D" w:rsidRPr="00650D66" w14:paraId="2B608674" w14:textId="77777777" w:rsidTr="00DC533C">
        <w:trPr>
          <w:trHeight w:val="157"/>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79DCF813" w14:textId="58B06982" w:rsidR="008D5D9D" w:rsidRPr="00650D66" w:rsidRDefault="008B504B" w:rsidP="008B504B">
            <w:pPr>
              <w:pStyle w:val="NoSpacing"/>
              <w:rPr>
                <w:rFonts w:ascii="Times New Roman" w:hAnsi="Times New Roman" w:cs="Times New Roman"/>
                <w:sz w:val="18"/>
                <w:szCs w:val="18"/>
                <w:lang w:val="ro-RO"/>
              </w:rPr>
            </w:pPr>
            <w:r>
              <w:rPr>
                <w:rFonts w:ascii="Times New Roman" w:hAnsi="Times New Roman" w:cs="Times New Roman"/>
                <w:sz w:val="18"/>
                <w:szCs w:val="18"/>
                <w:lang w:val="ro-RO"/>
              </w:rPr>
              <w:t>Ș</w:t>
            </w:r>
            <w:r w:rsidR="008D5D9D" w:rsidRPr="00650D66">
              <w:rPr>
                <w:rFonts w:ascii="Times New Roman" w:hAnsi="Times New Roman" w:cs="Times New Roman"/>
                <w:sz w:val="18"/>
                <w:szCs w:val="18"/>
                <w:lang w:val="ro-RO"/>
              </w:rPr>
              <w:t>ef adjunct al secției</w:t>
            </w:r>
          </w:p>
        </w:tc>
        <w:tc>
          <w:tcPr>
            <w:tcW w:w="317" w:type="pct"/>
            <w:tcBorders>
              <w:top w:val="nil"/>
              <w:left w:val="nil"/>
              <w:bottom w:val="single" w:sz="4" w:space="0" w:color="auto"/>
              <w:right w:val="single" w:sz="4" w:space="0" w:color="auto"/>
            </w:tcBorders>
            <w:shd w:val="clear" w:color="auto" w:fill="auto"/>
            <w:vAlign w:val="center"/>
            <w:hideMark/>
          </w:tcPr>
          <w:p w14:paraId="2D25F035"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w:t>
            </w:r>
          </w:p>
        </w:tc>
        <w:tc>
          <w:tcPr>
            <w:tcW w:w="374" w:type="pct"/>
            <w:tcBorders>
              <w:top w:val="nil"/>
              <w:left w:val="nil"/>
              <w:bottom w:val="single" w:sz="4" w:space="0" w:color="auto"/>
              <w:right w:val="single" w:sz="4" w:space="0" w:color="auto"/>
            </w:tcBorders>
            <w:shd w:val="clear" w:color="auto" w:fill="auto"/>
            <w:vAlign w:val="center"/>
            <w:hideMark/>
          </w:tcPr>
          <w:p w14:paraId="237CEC1C"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120,1</w:t>
            </w:r>
          </w:p>
        </w:tc>
        <w:tc>
          <w:tcPr>
            <w:tcW w:w="343" w:type="pct"/>
            <w:tcBorders>
              <w:top w:val="nil"/>
              <w:left w:val="nil"/>
              <w:bottom w:val="single" w:sz="4" w:space="0" w:color="auto"/>
              <w:right w:val="single" w:sz="4" w:space="0" w:color="auto"/>
            </w:tcBorders>
            <w:shd w:val="clear" w:color="auto" w:fill="auto"/>
            <w:vAlign w:val="center"/>
            <w:hideMark/>
          </w:tcPr>
          <w:p w14:paraId="0A7AB34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20,0</w:t>
            </w:r>
          </w:p>
        </w:tc>
        <w:tc>
          <w:tcPr>
            <w:tcW w:w="317" w:type="pct"/>
            <w:tcBorders>
              <w:top w:val="nil"/>
              <w:left w:val="nil"/>
              <w:bottom w:val="single" w:sz="4" w:space="0" w:color="auto"/>
              <w:right w:val="single" w:sz="4" w:space="0" w:color="auto"/>
            </w:tcBorders>
            <w:shd w:val="clear" w:color="auto" w:fill="auto"/>
            <w:vAlign w:val="center"/>
            <w:hideMark/>
          </w:tcPr>
          <w:p w14:paraId="203BB096"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w:t>
            </w:r>
          </w:p>
        </w:tc>
        <w:tc>
          <w:tcPr>
            <w:tcW w:w="416" w:type="pct"/>
            <w:tcBorders>
              <w:top w:val="nil"/>
              <w:left w:val="nil"/>
              <w:bottom w:val="single" w:sz="4" w:space="0" w:color="auto"/>
              <w:right w:val="single" w:sz="4" w:space="0" w:color="auto"/>
            </w:tcBorders>
            <w:shd w:val="clear" w:color="auto" w:fill="auto"/>
            <w:vAlign w:val="center"/>
            <w:hideMark/>
          </w:tcPr>
          <w:p w14:paraId="2CF23A84"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91,4</w:t>
            </w:r>
          </w:p>
        </w:tc>
        <w:tc>
          <w:tcPr>
            <w:tcW w:w="343" w:type="pct"/>
            <w:tcBorders>
              <w:top w:val="nil"/>
              <w:left w:val="nil"/>
              <w:bottom w:val="single" w:sz="4" w:space="0" w:color="auto"/>
              <w:right w:val="single" w:sz="4" w:space="0" w:color="auto"/>
            </w:tcBorders>
            <w:shd w:val="clear" w:color="auto" w:fill="auto"/>
            <w:vAlign w:val="center"/>
            <w:hideMark/>
          </w:tcPr>
          <w:p w14:paraId="63BBB37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22,9</w:t>
            </w:r>
          </w:p>
        </w:tc>
        <w:tc>
          <w:tcPr>
            <w:tcW w:w="317" w:type="pct"/>
            <w:tcBorders>
              <w:top w:val="nil"/>
              <w:left w:val="nil"/>
              <w:bottom w:val="single" w:sz="4" w:space="0" w:color="auto"/>
              <w:right w:val="single" w:sz="4" w:space="0" w:color="auto"/>
            </w:tcBorders>
            <w:shd w:val="clear" w:color="auto" w:fill="auto"/>
            <w:vAlign w:val="center"/>
            <w:hideMark/>
          </w:tcPr>
          <w:p w14:paraId="32E1C4F0"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w:t>
            </w:r>
          </w:p>
        </w:tc>
        <w:tc>
          <w:tcPr>
            <w:tcW w:w="416" w:type="pct"/>
            <w:tcBorders>
              <w:top w:val="nil"/>
              <w:left w:val="nil"/>
              <w:bottom w:val="single" w:sz="4" w:space="0" w:color="auto"/>
              <w:right w:val="single" w:sz="4" w:space="0" w:color="auto"/>
            </w:tcBorders>
            <w:shd w:val="clear" w:color="auto" w:fill="auto"/>
            <w:vAlign w:val="center"/>
            <w:hideMark/>
          </w:tcPr>
          <w:p w14:paraId="1A4CEEB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121,5</w:t>
            </w:r>
          </w:p>
        </w:tc>
        <w:tc>
          <w:tcPr>
            <w:tcW w:w="343" w:type="pct"/>
            <w:tcBorders>
              <w:top w:val="nil"/>
              <w:left w:val="nil"/>
              <w:bottom w:val="single" w:sz="4" w:space="0" w:color="auto"/>
              <w:right w:val="single" w:sz="4" w:space="0" w:color="auto"/>
            </w:tcBorders>
            <w:shd w:val="clear" w:color="auto" w:fill="auto"/>
            <w:vAlign w:val="center"/>
            <w:hideMark/>
          </w:tcPr>
          <w:p w14:paraId="146E15C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30,4</w:t>
            </w:r>
          </w:p>
        </w:tc>
        <w:tc>
          <w:tcPr>
            <w:tcW w:w="499" w:type="pct"/>
            <w:tcBorders>
              <w:top w:val="nil"/>
              <w:left w:val="nil"/>
              <w:bottom w:val="single" w:sz="4" w:space="0" w:color="auto"/>
              <w:right w:val="single" w:sz="4" w:space="0" w:color="auto"/>
            </w:tcBorders>
            <w:shd w:val="clear" w:color="auto" w:fill="auto"/>
            <w:noWrap/>
            <w:vAlign w:val="center"/>
            <w:hideMark/>
          </w:tcPr>
          <w:p w14:paraId="5E4566F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32,9%</w:t>
            </w:r>
          </w:p>
        </w:tc>
        <w:tc>
          <w:tcPr>
            <w:tcW w:w="499" w:type="pct"/>
            <w:tcBorders>
              <w:top w:val="nil"/>
              <w:left w:val="nil"/>
              <w:bottom w:val="single" w:sz="4" w:space="0" w:color="auto"/>
              <w:right w:val="single" w:sz="4" w:space="0" w:color="auto"/>
            </w:tcBorders>
            <w:shd w:val="clear" w:color="auto" w:fill="auto"/>
            <w:noWrap/>
            <w:vAlign w:val="center"/>
            <w:hideMark/>
          </w:tcPr>
          <w:p w14:paraId="278B7050"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51,7%</w:t>
            </w:r>
          </w:p>
        </w:tc>
      </w:tr>
      <w:tr w:rsidR="008D5D9D" w:rsidRPr="00650D66" w14:paraId="4A32C045" w14:textId="77777777" w:rsidTr="00643407">
        <w:trPr>
          <w:trHeight w:val="209"/>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3112DE5E"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 xml:space="preserve">Specialiști </w:t>
            </w:r>
          </w:p>
        </w:tc>
        <w:tc>
          <w:tcPr>
            <w:tcW w:w="317" w:type="pct"/>
            <w:tcBorders>
              <w:top w:val="nil"/>
              <w:left w:val="nil"/>
              <w:bottom w:val="single" w:sz="4" w:space="0" w:color="auto"/>
              <w:right w:val="single" w:sz="4" w:space="0" w:color="auto"/>
            </w:tcBorders>
            <w:shd w:val="clear" w:color="auto" w:fill="auto"/>
            <w:vAlign w:val="center"/>
            <w:hideMark/>
          </w:tcPr>
          <w:p w14:paraId="3BE987E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318</w:t>
            </w:r>
          </w:p>
        </w:tc>
        <w:tc>
          <w:tcPr>
            <w:tcW w:w="374" w:type="pct"/>
            <w:tcBorders>
              <w:top w:val="nil"/>
              <w:left w:val="nil"/>
              <w:bottom w:val="single" w:sz="4" w:space="0" w:color="auto"/>
              <w:right w:val="single" w:sz="4" w:space="0" w:color="auto"/>
            </w:tcBorders>
            <w:shd w:val="clear" w:color="auto" w:fill="auto"/>
            <w:vAlign w:val="center"/>
            <w:hideMark/>
          </w:tcPr>
          <w:p w14:paraId="090F74E6"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3625,53</w:t>
            </w:r>
          </w:p>
        </w:tc>
        <w:tc>
          <w:tcPr>
            <w:tcW w:w="343" w:type="pct"/>
            <w:tcBorders>
              <w:top w:val="nil"/>
              <w:left w:val="nil"/>
              <w:bottom w:val="single" w:sz="4" w:space="0" w:color="auto"/>
              <w:right w:val="single" w:sz="4" w:space="0" w:color="auto"/>
            </w:tcBorders>
            <w:shd w:val="clear" w:color="auto" w:fill="auto"/>
            <w:vAlign w:val="center"/>
            <w:hideMark/>
          </w:tcPr>
          <w:p w14:paraId="3104561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11,4</w:t>
            </w:r>
          </w:p>
        </w:tc>
        <w:tc>
          <w:tcPr>
            <w:tcW w:w="317" w:type="pct"/>
            <w:tcBorders>
              <w:top w:val="nil"/>
              <w:left w:val="nil"/>
              <w:bottom w:val="single" w:sz="4" w:space="0" w:color="auto"/>
              <w:right w:val="single" w:sz="4" w:space="0" w:color="auto"/>
            </w:tcBorders>
            <w:shd w:val="clear" w:color="auto" w:fill="auto"/>
            <w:vAlign w:val="center"/>
            <w:hideMark/>
          </w:tcPr>
          <w:p w14:paraId="0E66EB6D"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362</w:t>
            </w:r>
          </w:p>
        </w:tc>
        <w:tc>
          <w:tcPr>
            <w:tcW w:w="416" w:type="pct"/>
            <w:tcBorders>
              <w:top w:val="nil"/>
              <w:left w:val="nil"/>
              <w:bottom w:val="single" w:sz="4" w:space="0" w:color="auto"/>
              <w:right w:val="single" w:sz="4" w:space="0" w:color="auto"/>
            </w:tcBorders>
            <w:shd w:val="clear" w:color="auto" w:fill="auto"/>
            <w:vAlign w:val="center"/>
            <w:hideMark/>
          </w:tcPr>
          <w:p w14:paraId="1D6263E1"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4485,4</w:t>
            </w:r>
          </w:p>
        </w:tc>
        <w:tc>
          <w:tcPr>
            <w:tcW w:w="343" w:type="pct"/>
            <w:tcBorders>
              <w:top w:val="nil"/>
              <w:left w:val="nil"/>
              <w:bottom w:val="single" w:sz="4" w:space="0" w:color="auto"/>
              <w:right w:val="single" w:sz="4" w:space="0" w:color="auto"/>
            </w:tcBorders>
            <w:shd w:val="clear" w:color="auto" w:fill="auto"/>
            <w:vAlign w:val="center"/>
            <w:hideMark/>
          </w:tcPr>
          <w:p w14:paraId="629E79D1"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12,4</w:t>
            </w:r>
          </w:p>
        </w:tc>
        <w:tc>
          <w:tcPr>
            <w:tcW w:w="317" w:type="pct"/>
            <w:tcBorders>
              <w:top w:val="nil"/>
              <w:left w:val="nil"/>
              <w:bottom w:val="single" w:sz="4" w:space="0" w:color="auto"/>
              <w:right w:val="single" w:sz="4" w:space="0" w:color="auto"/>
            </w:tcBorders>
            <w:shd w:val="clear" w:color="auto" w:fill="auto"/>
            <w:vAlign w:val="center"/>
            <w:hideMark/>
          </w:tcPr>
          <w:p w14:paraId="74B420E9"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373</w:t>
            </w:r>
          </w:p>
        </w:tc>
        <w:tc>
          <w:tcPr>
            <w:tcW w:w="416" w:type="pct"/>
            <w:tcBorders>
              <w:top w:val="nil"/>
              <w:left w:val="nil"/>
              <w:bottom w:val="single" w:sz="4" w:space="0" w:color="auto"/>
              <w:right w:val="single" w:sz="4" w:space="0" w:color="auto"/>
            </w:tcBorders>
            <w:shd w:val="clear" w:color="auto" w:fill="auto"/>
            <w:vAlign w:val="center"/>
            <w:hideMark/>
          </w:tcPr>
          <w:p w14:paraId="3D5F909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6057,8</w:t>
            </w:r>
          </w:p>
        </w:tc>
        <w:tc>
          <w:tcPr>
            <w:tcW w:w="343" w:type="pct"/>
            <w:tcBorders>
              <w:top w:val="nil"/>
              <w:left w:val="nil"/>
              <w:bottom w:val="single" w:sz="4" w:space="0" w:color="auto"/>
              <w:right w:val="single" w:sz="4" w:space="0" w:color="auto"/>
            </w:tcBorders>
            <w:shd w:val="clear" w:color="auto" w:fill="auto"/>
            <w:vAlign w:val="center"/>
            <w:hideMark/>
          </w:tcPr>
          <w:p w14:paraId="163BCE8C"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16,2</w:t>
            </w:r>
          </w:p>
        </w:tc>
        <w:tc>
          <w:tcPr>
            <w:tcW w:w="499" w:type="pct"/>
            <w:tcBorders>
              <w:top w:val="nil"/>
              <w:left w:val="nil"/>
              <w:bottom w:val="single" w:sz="4" w:space="0" w:color="auto"/>
              <w:right w:val="single" w:sz="4" w:space="0" w:color="auto"/>
            </w:tcBorders>
            <w:shd w:val="clear" w:color="auto" w:fill="auto"/>
            <w:noWrap/>
            <w:vAlign w:val="center"/>
            <w:hideMark/>
          </w:tcPr>
          <w:p w14:paraId="0F6F9FD6"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31,1%</w:t>
            </w:r>
          </w:p>
        </w:tc>
        <w:tc>
          <w:tcPr>
            <w:tcW w:w="499" w:type="pct"/>
            <w:tcBorders>
              <w:top w:val="nil"/>
              <w:left w:val="nil"/>
              <w:bottom w:val="single" w:sz="4" w:space="0" w:color="auto"/>
              <w:right w:val="single" w:sz="4" w:space="0" w:color="auto"/>
            </w:tcBorders>
            <w:shd w:val="clear" w:color="auto" w:fill="auto"/>
            <w:noWrap/>
            <w:vAlign w:val="center"/>
            <w:hideMark/>
          </w:tcPr>
          <w:p w14:paraId="48539974"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42,4%</w:t>
            </w:r>
          </w:p>
        </w:tc>
      </w:tr>
      <w:tr w:rsidR="008D5D9D" w:rsidRPr="00650D66" w14:paraId="01D4EF94" w14:textId="77777777" w:rsidTr="00643407">
        <w:trPr>
          <w:trHeight w:val="209"/>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1806FBB3"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 xml:space="preserve">Secretari </w:t>
            </w:r>
          </w:p>
        </w:tc>
        <w:tc>
          <w:tcPr>
            <w:tcW w:w="317" w:type="pct"/>
            <w:tcBorders>
              <w:top w:val="nil"/>
              <w:left w:val="nil"/>
              <w:bottom w:val="single" w:sz="4" w:space="0" w:color="auto"/>
              <w:right w:val="single" w:sz="4" w:space="0" w:color="auto"/>
            </w:tcBorders>
            <w:shd w:val="clear" w:color="auto" w:fill="auto"/>
            <w:vAlign w:val="center"/>
            <w:hideMark/>
          </w:tcPr>
          <w:p w14:paraId="5EF2B354"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w:t>
            </w:r>
          </w:p>
        </w:tc>
        <w:tc>
          <w:tcPr>
            <w:tcW w:w="374" w:type="pct"/>
            <w:tcBorders>
              <w:top w:val="nil"/>
              <w:left w:val="nil"/>
              <w:bottom w:val="single" w:sz="4" w:space="0" w:color="auto"/>
              <w:right w:val="single" w:sz="4" w:space="0" w:color="auto"/>
            </w:tcBorders>
            <w:shd w:val="clear" w:color="auto" w:fill="auto"/>
            <w:vAlign w:val="center"/>
            <w:hideMark/>
          </w:tcPr>
          <w:p w14:paraId="1FD68B4A"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89,4</w:t>
            </w:r>
          </w:p>
        </w:tc>
        <w:tc>
          <w:tcPr>
            <w:tcW w:w="343" w:type="pct"/>
            <w:tcBorders>
              <w:top w:val="nil"/>
              <w:left w:val="nil"/>
              <w:bottom w:val="single" w:sz="4" w:space="0" w:color="auto"/>
              <w:right w:val="single" w:sz="4" w:space="0" w:color="auto"/>
            </w:tcBorders>
            <w:shd w:val="clear" w:color="auto" w:fill="auto"/>
            <w:vAlign w:val="center"/>
            <w:hideMark/>
          </w:tcPr>
          <w:p w14:paraId="04AA4D55"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14,9</w:t>
            </w:r>
          </w:p>
        </w:tc>
        <w:tc>
          <w:tcPr>
            <w:tcW w:w="317" w:type="pct"/>
            <w:tcBorders>
              <w:top w:val="nil"/>
              <w:left w:val="nil"/>
              <w:bottom w:val="single" w:sz="4" w:space="0" w:color="auto"/>
              <w:right w:val="single" w:sz="4" w:space="0" w:color="auto"/>
            </w:tcBorders>
            <w:shd w:val="clear" w:color="auto" w:fill="auto"/>
            <w:vAlign w:val="center"/>
            <w:hideMark/>
          </w:tcPr>
          <w:p w14:paraId="1465793E"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w:t>
            </w:r>
          </w:p>
        </w:tc>
        <w:tc>
          <w:tcPr>
            <w:tcW w:w="416" w:type="pct"/>
            <w:tcBorders>
              <w:top w:val="nil"/>
              <w:left w:val="nil"/>
              <w:bottom w:val="single" w:sz="4" w:space="0" w:color="auto"/>
              <w:right w:val="single" w:sz="4" w:space="0" w:color="auto"/>
            </w:tcBorders>
            <w:shd w:val="clear" w:color="auto" w:fill="auto"/>
            <w:vAlign w:val="center"/>
            <w:hideMark/>
          </w:tcPr>
          <w:p w14:paraId="13E8FE51"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105,9</w:t>
            </w:r>
          </w:p>
        </w:tc>
        <w:tc>
          <w:tcPr>
            <w:tcW w:w="343" w:type="pct"/>
            <w:tcBorders>
              <w:top w:val="nil"/>
              <w:left w:val="nil"/>
              <w:bottom w:val="single" w:sz="4" w:space="0" w:color="auto"/>
              <w:right w:val="single" w:sz="4" w:space="0" w:color="auto"/>
            </w:tcBorders>
            <w:shd w:val="clear" w:color="auto" w:fill="auto"/>
            <w:vAlign w:val="center"/>
            <w:hideMark/>
          </w:tcPr>
          <w:p w14:paraId="6C712524"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17,7</w:t>
            </w:r>
          </w:p>
        </w:tc>
        <w:tc>
          <w:tcPr>
            <w:tcW w:w="317" w:type="pct"/>
            <w:tcBorders>
              <w:top w:val="nil"/>
              <w:left w:val="nil"/>
              <w:bottom w:val="single" w:sz="4" w:space="0" w:color="auto"/>
              <w:right w:val="single" w:sz="4" w:space="0" w:color="auto"/>
            </w:tcBorders>
            <w:shd w:val="clear" w:color="auto" w:fill="auto"/>
            <w:vAlign w:val="center"/>
            <w:hideMark/>
          </w:tcPr>
          <w:p w14:paraId="4BAACD5D"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6</w:t>
            </w:r>
          </w:p>
        </w:tc>
        <w:tc>
          <w:tcPr>
            <w:tcW w:w="416" w:type="pct"/>
            <w:tcBorders>
              <w:top w:val="nil"/>
              <w:left w:val="nil"/>
              <w:bottom w:val="single" w:sz="4" w:space="0" w:color="auto"/>
              <w:right w:val="single" w:sz="4" w:space="0" w:color="auto"/>
            </w:tcBorders>
            <w:shd w:val="clear" w:color="auto" w:fill="auto"/>
            <w:vAlign w:val="center"/>
            <w:hideMark/>
          </w:tcPr>
          <w:p w14:paraId="7295493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138,95</w:t>
            </w:r>
          </w:p>
        </w:tc>
        <w:tc>
          <w:tcPr>
            <w:tcW w:w="343" w:type="pct"/>
            <w:tcBorders>
              <w:top w:val="nil"/>
              <w:left w:val="nil"/>
              <w:bottom w:val="single" w:sz="4" w:space="0" w:color="auto"/>
              <w:right w:val="single" w:sz="4" w:space="0" w:color="auto"/>
            </w:tcBorders>
            <w:shd w:val="clear" w:color="auto" w:fill="auto"/>
            <w:vAlign w:val="center"/>
            <w:hideMark/>
          </w:tcPr>
          <w:p w14:paraId="6426BA6A"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23,2</w:t>
            </w:r>
          </w:p>
        </w:tc>
        <w:tc>
          <w:tcPr>
            <w:tcW w:w="499" w:type="pct"/>
            <w:tcBorders>
              <w:top w:val="nil"/>
              <w:left w:val="nil"/>
              <w:bottom w:val="single" w:sz="4" w:space="0" w:color="auto"/>
              <w:right w:val="single" w:sz="4" w:space="0" w:color="auto"/>
            </w:tcBorders>
            <w:shd w:val="clear" w:color="auto" w:fill="auto"/>
            <w:noWrap/>
            <w:vAlign w:val="center"/>
            <w:hideMark/>
          </w:tcPr>
          <w:p w14:paraId="3CCA630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31,2%</w:t>
            </w:r>
          </w:p>
        </w:tc>
        <w:tc>
          <w:tcPr>
            <w:tcW w:w="499" w:type="pct"/>
            <w:tcBorders>
              <w:top w:val="nil"/>
              <w:left w:val="nil"/>
              <w:bottom w:val="single" w:sz="4" w:space="0" w:color="auto"/>
              <w:right w:val="single" w:sz="4" w:space="0" w:color="auto"/>
            </w:tcBorders>
            <w:shd w:val="clear" w:color="auto" w:fill="auto"/>
            <w:noWrap/>
            <w:vAlign w:val="center"/>
            <w:hideMark/>
          </w:tcPr>
          <w:p w14:paraId="3B45DA4F"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55,4%</w:t>
            </w:r>
          </w:p>
        </w:tc>
      </w:tr>
      <w:tr w:rsidR="008D5D9D" w:rsidRPr="00650D66" w14:paraId="1CB1D407" w14:textId="77777777" w:rsidTr="00643407">
        <w:trPr>
          <w:trHeight w:val="111"/>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60F7C34D" w14:textId="77777777" w:rsidR="008D5D9D" w:rsidRPr="00650D66" w:rsidRDefault="008D5D9D" w:rsidP="00643407">
            <w:pPr>
              <w:pStyle w:val="NoSpacing"/>
              <w:rPr>
                <w:rFonts w:ascii="Times New Roman" w:hAnsi="Times New Roman" w:cs="Times New Roman"/>
                <w:sz w:val="18"/>
                <w:szCs w:val="18"/>
                <w:lang w:val="ro-RO"/>
              </w:rPr>
            </w:pPr>
            <w:r w:rsidRPr="00650D66">
              <w:rPr>
                <w:rFonts w:ascii="Times New Roman" w:hAnsi="Times New Roman" w:cs="Times New Roman"/>
                <w:sz w:val="18"/>
                <w:szCs w:val="18"/>
                <w:lang w:val="ro-RO"/>
              </w:rPr>
              <w:t>Personal tehnic</w:t>
            </w:r>
          </w:p>
        </w:tc>
        <w:tc>
          <w:tcPr>
            <w:tcW w:w="317" w:type="pct"/>
            <w:tcBorders>
              <w:top w:val="nil"/>
              <w:left w:val="nil"/>
              <w:bottom w:val="single" w:sz="4" w:space="0" w:color="auto"/>
              <w:right w:val="single" w:sz="4" w:space="0" w:color="auto"/>
            </w:tcBorders>
            <w:shd w:val="clear" w:color="auto" w:fill="auto"/>
            <w:vAlign w:val="center"/>
            <w:hideMark/>
          </w:tcPr>
          <w:p w14:paraId="1C0C4635"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75</w:t>
            </w:r>
          </w:p>
        </w:tc>
        <w:tc>
          <w:tcPr>
            <w:tcW w:w="374" w:type="pct"/>
            <w:tcBorders>
              <w:top w:val="nil"/>
              <w:left w:val="nil"/>
              <w:bottom w:val="single" w:sz="4" w:space="0" w:color="auto"/>
              <w:right w:val="single" w:sz="4" w:space="0" w:color="auto"/>
            </w:tcBorders>
            <w:shd w:val="clear" w:color="auto" w:fill="auto"/>
            <w:vAlign w:val="center"/>
            <w:hideMark/>
          </w:tcPr>
          <w:p w14:paraId="1DEE1295"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741,07</w:t>
            </w:r>
          </w:p>
        </w:tc>
        <w:tc>
          <w:tcPr>
            <w:tcW w:w="343" w:type="pct"/>
            <w:tcBorders>
              <w:top w:val="nil"/>
              <w:left w:val="nil"/>
              <w:bottom w:val="single" w:sz="4" w:space="0" w:color="auto"/>
              <w:right w:val="single" w:sz="4" w:space="0" w:color="auto"/>
            </w:tcBorders>
            <w:shd w:val="clear" w:color="auto" w:fill="auto"/>
            <w:vAlign w:val="center"/>
            <w:hideMark/>
          </w:tcPr>
          <w:p w14:paraId="514BA1DD"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9,9</w:t>
            </w:r>
          </w:p>
        </w:tc>
        <w:tc>
          <w:tcPr>
            <w:tcW w:w="317" w:type="pct"/>
            <w:tcBorders>
              <w:top w:val="nil"/>
              <w:left w:val="nil"/>
              <w:bottom w:val="single" w:sz="4" w:space="0" w:color="auto"/>
              <w:right w:val="single" w:sz="4" w:space="0" w:color="auto"/>
            </w:tcBorders>
            <w:shd w:val="clear" w:color="auto" w:fill="auto"/>
            <w:vAlign w:val="center"/>
            <w:hideMark/>
          </w:tcPr>
          <w:p w14:paraId="5D8D7CEA"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74</w:t>
            </w:r>
          </w:p>
        </w:tc>
        <w:tc>
          <w:tcPr>
            <w:tcW w:w="416" w:type="pct"/>
            <w:tcBorders>
              <w:top w:val="nil"/>
              <w:left w:val="nil"/>
              <w:bottom w:val="single" w:sz="4" w:space="0" w:color="auto"/>
              <w:right w:val="single" w:sz="4" w:space="0" w:color="auto"/>
            </w:tcBorders>
            <w:shd w:val="clear" w:color="auto" w:fill="auto"/>
            <w:vAlign w:val="center"/>
            <w:hideMark/>
          </w:tcPr>
          <w:p w14:paraId="17FE10DA"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842,8</w:t>
            </w:r>
          </w:p>
        </w:tc>
        <w:tc>
          <w:tcPr>
            <w:tcW w:w="343" w:type="pct"/>
            <w:tcBorders>
              <w:top w:val="nil"/>
              <w:left w:val="nil"/>
              <w:bottom w:val="single" w:sz="4" w:space="0" w:color="auto"/>
              <w:right w:val="single" w:sz="4" w:space="0" w:color="auto"/>
            </w:tcBorders>
            <w:shd w:val="clear" w:color="auto" w:fill="auto"/>
            <w:vAlign w:val="center"/>
            <w:hideMark/>
          </w:tcPr>
          <w:p w14:paraId="08D927A2"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11,4</w:t>
            </w:r>
          </w:p>
        </w:tc>
        <w:tc>
          <w:tcPr>
            <w:tcW w:w="317" w:type="pct"/>
            <w:tcBorders>
              <w:top w:val="nil"/>
              <w:left w:val="nil"/>
              <w:bottom w:val="single" w:sz="4" w:space="0" w:color="auto"/>
              <w:right w:val="single" w:sz="4" w:space="0" w:color="auto"/>
            </w:tcBorders>
            <w:shd w:val="clear" w:color="auto" w:fill="auto"/>
            <w:vAlign w:val="center"/>
            <w:hideMark/>
          </w:tcPr>
          <w:p w14:paraId="0DD21A51"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74</w:t>
            </w:r>
          </w:p>
        </w:tc>
        <w:tc>
          <w:tcPr>
            <w:tcW w:w="416" w:type="pct"/>
            <w:tcBorders>
              <w:top w:val="nil"/>
              <w:left w:val="nil"/>
              <w:bottom w:val="single" w:sz="4" w:space="0" w:color="auto"/>
              <w:right w:val="single" w:sz="4" w:space="0" w:color="auto"/>
            </w:tcBorders>
            <w:shd w:val="clear" w:color="auto" w:fill="auto"/>
            <w:vAlign w:val="center"/>
            <w:hideMark/>
          </w:tcPr>
          <w:p w14:paraId="50484C33"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1128,9</w:t>
            </w:r>
          </w:p>
        </w:tc>
        <w:tc>
          <w:tcPr>
            <w:tcW w:w="343" w:type="pct"/>
            <w:tcBorders>
              <w:top w:val="nil"/>
              <w:left w:val="nil"/>
              <w:bottom w:val="single" w:sz="4" w:space="0" w:color="auto"/>
              <w:right w:val="single" w:sz="4" w:space="0" w:color="auto"/>
            </w:tcBorders>
            <w:shd w:val="clear" w:color="auto" w:fill="auto"/>
            <w:vAlign w:val="center"/>
            <w:hideMark/>
          </w:tcPr>
          <w:p w14:paraId="00A011E7"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15,3</w:t>
            </w:r>
          </w:p>
        </w:tc>
        <w:tc>
          <w:tcPr>
            <w:tcW w:w="499" w:type="pct"/>
            <w:tcBorders>
              <w:top w:val="nil"/>
              <w:left w:val="nil"/>
              <w:bottom w:val="single" w:sz="4" w:space="0" w:color="auto"/>
              <w:right w:val="single" w:sz="4" w:space="0" w:color="auto"/>
            </w:tcBorders>
            <w:shd w:val="clear" w:color="auto" w:fill="auto"/>
            <w:noWrap/>
            <w:vAlign w:val="center"/>
            <w:hideMark/>
          </w:tcPr>
          <w:p w14:paraId="17DB8870"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34,0%</w:t>
            </w:r>
          </w:p>
        </w:tc>
        <w:tc>
          <w:tcPr>
            <w:tcW w:w="499" w:type="pct"/>
            <w:tcBorders>
              <w:top w:val="nil"/>
              <w:left w:val="nil"/>
              <w:bottom w:val="single" w:sz="4" w:space="0" w:color="auto"/>
              <w:right w:val="single" w:sz="4" w:space="0" w:color="auto"/>
            </w:tcBorders>
            <w:shd w:val="clear" w:color="auto" w:fill="auto"/>
            <w:noWrap/>
            <w:vAlign w:val="center"/>
            <w:hideMark/>
          </w:tcPr>
          <w:p w14:paraId="5C0DE909" w14:textId="77777777" w:rsidR="008D5D9D" w:rsidRPr="00650D66" w:rsidRDefault="008D5D9D" w:rsidP="00643407">
            <w:pPr>
              <w:pStyle w:val="NoSpacing"/>
              <w:jc w:val="center"/>
              <w:rPr>
                <w:rFonts w:ascii="Times New Roman" w:hAnsi="Times New Roman" w:cs="Times New Roman"/>
                <w:sz w:val="18"/>
                <w:szCs w:val="18"/>
                <w:lang w:val="ro-RO"/>
              </w:rPr>
            </w:pPr>
            <w:r w:rsidRPr="00650D66">
              <w:rPr>
                <w:rFonts w:ascii="Times New Roman" w:hAnsi="Times New Roman" w:cs="Times New Roman"/>
                <w:sz w:val="18"/>
                <w:szCs w:val="18"/>
                <w:lang w:val="ro-RO"/>
              </w:rPr>
              <w:t>54,4%</w:t>
            </w:r>
          </w:p>
        </w:tc>
      </w:tr>
      <w:tr w:rsidR="008D5D9D" w:rsidRPr="00650D66" w14:paraId="62F2E9FC" w14:textId="77777777" w:rsidTr="00643407">
        <w:trPr>
          <w:trHeight w:val="209"/>
          <w:jc w:val="center"/>
        </w:trPr>
        <w:tc>
          <w:tcPr>
            <w:tcW w:w="815" w:type="pct"/>
            <w:tcBorders>
              <w:top w:val="nil"/>
              <w:left w:val="single" w:sz="4" w:space="0" w:color="auto"/>
              <w:bottom w:val="single" w:sz="4" w:space="0" w:color="auto"/>
              <w:right w:val="single" w:sz="4" w:space="0" w:color="auto"/>
            </w:tcBorders>
            <w:shd w:val="clear" w:color="auto" w:fill="auto"/>
            <w:vAlign w:val="center"/>
            <w:hideMark/>
          </w:tcPr>
          <w:p w14:paraId="6D1FD2ED" w14:textId="77777777" w:rsidR="008D5D9D" w:rsidRPr="00650D66" w:rsidRDefault="008D5D9D" w:rsidP="00643407">
            <w:pPr>
              <w:pStyle w:val="NoSpacing"/>
              <w:rPr>
                <w:rFonts w:ascii="Times New Roman" w:hAnsi="Times New Roman" w:cs="Times New Roman"/>
                <w:b/>
                <w:sz w:val="18"/>
                <w:szCs w:val="18"/>
                <w:lang w:val="ro-RO"/>
              </w:rPr>
            </w:pPr>
            <w:r w:rsidRPr="00650D66">
              <w:rPr>
                <w:rFonts w:ascii="Times New Roman" w:hAnsi="Times New Roman" w:cs="Times New Roman"/>
                <w:b/>
                <w:sz w:val="18"/>
                <w:szCs w:val="18"/>
                <w:lang w:val="ro-RO"/>
              </w:rPr>
              <w:t>Total</w:t>
            </w:r>
          </w:p>
        </w:tc>
        <w:tc>
          <w:tcPr>
            <w:tcW w:w="317" w:type="pct"/>
            <w:tcBorders>
              <w:top w:val="nil"/>
              <w:left w:val="nil"/>
              <w:bottom w:val="single" w:sz="4" w:space="0" w:color="auto"/>
              <w:right w:val="single" w:sz="4" w:space="0" w:color="auto"/>
            </w:tcBorders>
            <w:shd w:val="clear" w:color="auto" w:fill="auto"/>
            <w:vAlign w:val="center"/>
            <w:hideMark/>
          </w:tcPr>
          <w:p w14:paraId="78EBCBC0"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519</w:t>
            </w:r>
          </w:p>
        </w:tc>
        <w:tc>
          <w:tcPr>
            <w:tcW w:w="374" w:type="pct"/>
            <w:tcBorders>
              <w:top w:val="nil"/>
              <w:left w:val="nil"/>
              <w:bottom w:val="single" w:sz="4" w:space="0" w:color="auto"/>
              <w:right w:val="single" w:sz="4" w:space="0" w:color="auto"/>
            </w:tcBorders>
            <w:shd w:val="clear" w:color="auto" w:fill="auto"/>
            <w:vAlign w:val="center"/>
            <w:hideMark/>
          </w:tcPr>
          <w:p w14:paraId="08F4761F"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8874,05</w:t>
            </w:r>
          </w:p>
        </w:tc>
        <w:tc>
          <w:tcPr>
            <w:tcW w:w="343" w:type="pct"/>
            <w:tcBorders>
              <w:top w:val="nil"/>
              <w:left w:val="nil"/>
              <w:bottom w:val="single" w:sz="4" w:space="0" w:color="auto"/>
              <w:right w:val="single" w:sz="4" w:space="0" w:color="auto"/>
            </w:tcBorders>
            <w:shd w:val="clear" w:color="auto" w:fill="auto"/>
            <w:vAlign w:val="center"/>
            <w:hideMark/>
          </w:tcPr>
          <w:p w14:paraId="25642FFF"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17,1</w:t>
            </w:r>
          </w:p>
        </w:tc>
        <w:tc>
          <w:tcPr>
            <w:tcW w:w="317" w:type="pct"/>
            <w:tcBorders>
              <w:top w:val="nil"/>
              <w:left w:val="nil"/>
              <w:bottom w:val="single" w:sz="4" w:space="0" w:color="auto"/>
              <w:right w:val="single" w:sz="4" w:space="0" w:color="auto"/>
            </w:tcBorders>
            <w:shd w:val="clear" w:color="auto" w:fill="auto"/>
            <w:vAlign w:val="center"/>
            <w:hideMark/>
          </w:tcPr>
          <w:p w14:paraId="0F920DF9"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560</w:t>
            </w:r>
          </w:p>
        </w:tc>
        <w:tc>
          <w:tcPr>
            <w:tcW w:w="416" w:type="pct"/>
            <w:tcBorders>
              <w:top w:val="nil"/>
              <w:left w:val="nil"/>
              <w:bottom w:val="single" w:sz="4" w:space="0" w:color="auto"/>
              <w:right w:val="single" w:sz="4" w:space="0" w:color="auto"/>
            </w:tcBorders>
            <w:shd w:val="clear" w:color="auto" w:fill="auto"/>
            <w:vAlign w:val="center"/>
            <w:hideMark/>
          </w:tcPr>
          <w:p w14:paraId="712ED61B"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10321,45</w:t>
            </w:r>
          </w:p>
        </w:tc>
        <w:tc>
          <w:tcPr>
            <w:tcW w:w="343" w:type="pct"/>
            <w:tcBorders>
              <w:top w:val="nil"/>
              <w:left w:val="nil"/>
              <w:bottom w:val="single" w:sz="4" w:space="0" w:color="auto"/>
              <w:right w:val="single" w:sz="4" w:space="0" w:color="auto"/>
            </w:tcBorders>
            <w:shd w:val="clear" w:color="auto" w:fill="auto"/>
            <w:vAlign w:val="center"/>
            <w:hideMark/>
          </w:tcPr>
          <w:p w14:paraId="2CD8C30B"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18,4</w:t>
            </w:r>
          </w:p>
        </w:tc>
        <w:tc>
          <w:tcPr>
            <w:tcW w:w="317" w:type="pct"/>
            <w:tcBorders>
              <w:top w:val="nil"/>
              <w:left w:val="nil"/>
              <w:bottom w:val="single" w:sz="4" w:space="0" w:color="auto"/>
              <w:right w:val="single" w:sz="4" w:space="0" w:color="auto"/>
            </w:tcBorders>
            <w:shd w:val="clear" w:color="auto" w:fill="auto"/>
            <w:vAlign w:val="center"/>
            <w:hideMark/>
          </w:tcPr>
          <w:p w14:paraId="12BF52F1"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574</w:t>
            </w:r>
          </w:p>
        </w:tc>
        <w:tc>
          <w:tcPr>
            <w:tcW w:w="416" w:type="pct"/>
            <w:tcBorders>
              <w:top w:val="nil"/>
              <w:left w:val="nil"/>
              <w:bottom w:val="single" w:sz="4" w:space="0" w:color="auto"/>
              <w:right w:val="single" w:sz="4" w:space="0" w:color="auto"/>
            </w:tcBorders>
            <w:shd w:val="clear" w:color="auto" w:fill="auto"/>
            <w:vAlign w:val="center"/>
            <w:hideMark/>
          </w:tcPr>
          <w:p w14:paraId="50DDA823"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13879,55</w:t>
            </w:r>
          </w:p>
        </w:tc>
        <w:tc>
          <w:tcPr>
            <w:tcW w:w="343" w:type="pct"/>
            <w:tcBorders>
              <w:top w:val="nil"/>
              <w:left w:val="nil"/>
              <w:bottom w:val="single" w:sz="4" w:space="0" w:color="auto"/>
              <w:right w:val="single" w:sz="4" w:space="0" w:color="auto"/>
            </w:tcBorders>
            <w:shd w:val="clear" w:color="auto" w:fill="auto"/>
            <w:vAlign w:val="center"/>
            <w:hideMark/>
          </w:tcPr>
          <w:p w14:paraId="62883695"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24,2</w:t>
            </w:r>
          </w:p>
        </w:tc>
        <w:tc>
          <w:tcPr>
            <w:tcW w:w="499" w:type="pct"/>
            <w:tcBorders>
              <w:top w:val="nil"/>
              <w:left w:val="nil"/>
              <w:bottom w:val="single" w:sz="4" w:space="0" w:color="auto"/>
              <w:right w:val="single" w:sz="4" w:space="0" w:color="auto"/>
            </w:tcBorders>
            <w:shd w:val="clear" w:color="auto" w:fill="auto"/>
            <w:noWrap/>
            <w:vAlign w:val="center"/>
            <w:hideMark/>
          </w:tcPr>
          <w:p w14:paraId="1EA2D33D"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31,2%</w:t>
            </w:r>
          </w:p>
        </w:tc>
        <w:tc>
          <w:tcPr>
            <w:tcW w:w="499" w:type="pct"/>
            <w:tcBorders>
              <w:top w:val="nil"/>
              <w:left w:val="nil"/>
              <w:bottom w:val="single" w:sz="4" w:space="0" w:color="auto"/>
              <w:right w:val="single" w:sz="4" w:space="0" w:color="auto"/>
            </w:tcBorders>
            <w:shd w:val="clear" w:color="auto" w:fill="auto"/>
            <w:noWrap/>
            <w:vAlign w:val="center"/>
            <w:hideMark/>
          </w:tcPr>
          <w:p w14:paraId="678E8E38" w14:textId="77777777" w:rsidR="008D5D9D" w:rsidRPr="00650D66" w:rsidRDefault="008D5D9D" w:rsidP="00643407">
            <w:pPr>
              <w:pStyle w:val="NoSpacing"/>
              <w:jc w:val="center"/>
              <w:rPr>
                <w:rFonts w:ascii="Times New Roman" w:hAnsi="Times New Roman" w:cs="Times New Roman"/>
                <w:b/>
                <w:sz w:val="18"/>
                <w:szCs w:val="18"/>
                <w:lang w:val="ro-RO"/>
              </w:rPr>
            </w:pPr>
            <w:r w:rsidRPr="00650D66">
              <w:rPr>
                <w:rFonts w:ascii="Times New Roman" w:hAnsi="Times New Roman" w:cs="Times New Roman"/>
                <w:b/>
                <w:sz w:val="18"/>
                <w:szCs w:val="18"/>
                <w:lang w:val="ro-RO"/>
              </w:rPr>
              <w:t>41,4%</w:t>
            </w:r>
          </w:p>
        </w:tc>
      </w:tr>
    </w:tbl>
    <w:p w14:paraId="52A3CCC9" w14:textId="77777777" w:rsidR="008B504B" w:rsidRDefault="008D5D9D" w:rsidP="008D5D9D">
      <w:pPr>
        <w:spacing w:after="0" w:line="276" w:lineRule="auto"/>
        <w:rPr>
          <w:rFonts w:ascii="Times New Roman" w:eastAsia="Times New Roman" w:hAnsi="Times New Roman" w:cs="Times New Roman"/>
          <w:i/>
          <w:sz w:val="20"/>
          <w:szCs w:val="20"/>
          <w:lang w:val="ro-RO"/>
        </w:rPr>
      </w:pPr>
      <w:r w:rsidRPr="00650D66">
        <w:rPr>
          <w:rFonts w:ascii="Times New Roman" w:eastAsia="Times New Roman" w:hAnsi="Times New Roman" w:cs="Times New Roman"/>
          <w:b/>
          <w:i/>
          <w:sz w:val="20"/>
          <w:szCs w:val="20"/>
          <w:lang w:val="ro-RO"/>
        </w:rPr>
        <w:t>Sursă:</w:t>
      </w:r>
      <w:r w:rsidRPr="00650D66">
        <w:rPr>
          <w:rFonts w:ascii="Times New Roman" w:eastAsia="Times New Roman" w:hAnsi="Times New Roman" w:cs="Times New Roman"/>
          <w:i/>
          <w:sz w:val="20"/>
          <w:szCs w:val="20"/>
          <w:lang w:val="ro-RO"/>
        </w:rPr>
        <w:t xml:space="preserve"> Statele de personal aprobate de către Comitetul Executiv pentru anii 2019 și 2022.</w:t>
      </w:r>
      <w:r w:rsidR="00F83ACB" w:rsidRPr="00650D66">
        <w:rPr>
          <w:rFonts w:ascii="Times New Roman" w:eastAsia="Times New Roman" w:hAnsi="Times New Roman" w:cs="Times New Roman"/>
          <w:i/>
          <w:sz w:val="20"/>
          <w:szCs w:val="20"/>
          <w:lang w:val="ro-RO"/>
        </w:rPr>
        <w:t xml:space="preserve"> </w:t>
      </w:r>
    </w:p>
    <w:p w14:paraId="1C075B1D" w14:textId="6BE88784" w:rsidR="008D5D9D" w:rsidRPr="00650D66" w:rsidRDefault="00F83ACB" w:rsidP="008D5D9D">
      <w:pPr>
        <w:spacing w:after="0" w:line="276" w:lineRule="auto"/>
        <w:rPr>
          <w:rFonts w:ascii="Times New Roman" w:eastAsia="Times New Roman" w:hAnsi="Times New Roman" w:cs="Times New Roman"/>
          <w:i/>
          <w:sz w:val="20"/>
          <w:szCs w:val="20"/>
          <w:lang w:val="ro-RO"/>
        </w:rPr>
      </w:pPr>
      <w:r w:rsidRPr="00650D66">
        <w:rPr>
          <w:rFonts w:ascii="Times New Roman" w:eastAsia="Times New Roman" w:hAnsi="Times New Roman" w:cs="Times New Roman"/>
          <w:b/>
          <w:i/>
          <w:sz w:val="20"/>
          <w:szCs w:val="20"/>
          <w:lang w:val="ro-RO"/>
        </w:rPr>
        <w:t>Notă:</w:t>
      </w:r>
      <w:r w:rsidRPr="00650D66">
        <w:rPr>
          <w:rFonts w:ascii="Times New Roman" w:eastAsia="Times New Roman" w:hAnsi="Times New Roman" w:cs="Times New Roman"/>
          <w:i/>
          <w:sz w:val="20"/>
          <w:szCs w:val="20"/>
          <w:lang w:val="ro-RO"/>
        </w:rPr>
        <w:t xml:space="preserve"> Doar în anul 2019 s-a inclus sporul pentru acces la secretul de stat, care era valabil la acel moment și se includea în salariul de bază.</w:t>
      </w:r>
    </w:p>
    <w:p w14:paraId="613F36F5" w14:textId="77777777" w:rsidR="008D5D9D" w:rsidRPr="00650D66" w:rsidRDefault="008D5D9D" w:rsidP="0087127B">
      <w:pPr>
        <w:rPr>
          <w:rFonts w:ascii="Times New Roman" w:hAnsi="Times New Roman" w:cs="Times New Roman"/>
          <w:lang w:val="ro-RO"/>
        </w:rPr>
      </w:pPr>
    </w:p>
    <w:p w14:paraId="512C4386" w14:textId="2C9397FD" w:rsidR="00D83488" w:rsidRPr="00EA0E29" w:rsidRDefault="00FD52C8" w:rsidP="00EA0E29">
      <w:pPr>
        <w:jc w:val="center"/>
        <w:rPr>
          <w:rFonts w:ascii="Times New Roman" w:hAnsi="Times New Roman" w:cs="Times New Roman"/>
          <w:b/>
          <w:noProof/>
          <w:sz w:val="24"/>
          <w:szCs w:val="24"/>
          <w:lang w:val="ro-RO"/>
        </w:rPr>
      </w:pPr>
      <w:r w:rsidRPr="00EA0E29">
        <w:rPr>
          <w:rFonts w:ascii="Times New Roman" w:eastAsia="Times New Roman" w:hAnsi="Times New Roman" w:cs="Times New Roman"/>
          <w:b/>
          <w:sz w:val="24"/>
          <w:szCs w:val="24"/>
          <w:lang w:val="ro-RO"/>
        </w:rPr>
        <w:t>Anexa nr</w:t>
      </w:r>
      <w:r w:rsidR="00120790" w:rsidRPr="00EA0E29">
        <w:rPr>
          <w:rFonts w:ascii="Times New Roman" w:eastAsia="Times New Roman" w:hAnsi="Times New Roman" w:cs="Times New Roman"/>
          <w:b/>
          <w:sz w:val="24"/>
          <w:szCs w:val="24"/>
          <w:lang w:val="ro-RO"/>
        </w:rPr>
        <w:t>.5</w:t>
      </w:r>
      <w:r w:rsidR="00D83488" w:rsidRPr="00EA0E29">
        <w:rPr>
          <w:rFonts w:ascii="Times New Roman" w:eastAsia="Times New Roman" w:hAnsi="Times New Roman" w:cs="Times New Roman"/>
          <w:b/>
          <w:i/>
          <w:sz w:val="24"/>
          <w:szCs w:val="24"/>
          <w:lang w:val="ro-RO"/>
        </w:rPr>
        <w:t xml:space="preserve"> </w:t>
      </w:r>
      <w:r w:rsidR="00D83488" w:rsidRPr="00EA0E29">
        <w:rPr>
          <w:rFonts w:ascii="Times New Roman" w:hAnsi="Times New Roman" w:cs="Times New Roman"/>
          <w:b/>
          <w:noProof/>
          <w:sz w:val="24"/>
          <w:szCs w:val="24"/>
          <w:lang w:val="ro-RO"/>
        </w:rPr>
        <w:t>Informați</w:t>
      </w:r>
      <w:r w:rsidR="002B493F" w:rsidRPr="00EA0E29">
        <w:rPr>
          <w:rFonts w:ascii="Times New Roman" w:hAnsi="Times New Roman" w:cs="Times New Roman"/>
          <w:b/>
          <w:noProof/>
          <w:sz w:val="24"/>
          <w:szCs w:val="24"/>
          <w:lang w:val="ro-RO"/>
        </w:rPr>
        <w:t>i</w:t>
      </w:r>
      <w:r w:rsidR="00D83488" w:rsidRPr="00EA0E29">
        <w:rPr>
          <w:rFonts w:ascii="Times New Roman" w:hAnsi="Times New Roman" w:cs="Times New Roman"/>
          <w:b/>
          <w:noProof/>
          <w:sz w:val="24"/>
          <w:szCs w:val="24"/>
          <w:lang w:val="ro-RO"/>
        </w:rPr>
        <w:t xml:space="preserve"> privind executarea alocațiilor planificate pentru achiziționarea bunurilor, lucrărilor și serviciilor în perioada 2019-2022</w:t>
      </w:r>
      <w:r w:rsidR="00C0385C" w:rsidRPr="00EA0E29">
        <w:rPr>
          <w:rFonts w:ascii="Times New Roman" w:hAnsi="Times New Roman" w:cs="Times New Roman"/>
          <w:b/>
          <w:noProof/>
          <w:sz w:val="24"/>
          <w:szCs w:val="24"/>
          <w:lang w:val="ro-RO"/>
        </w:rPr>
        <w:t xml:space="preserve"> (conform Planului de achiziții)</w:t>
      </w:r>
    </w:p>
    <w:p w14:paraId="353A9BD4" w14:textId="77777777" w:rsidR="00EA0E29" w:rsidRPr="00EA0E29" w:rsidRDefault="00EA0E29" w:rsidP="00EA0E29">
      <w:pPr>
        <w:rPr>
          <w:lang w:val="ro-RO"/>
        </w:rPr>
      </w:pPr>
    </w:p>
    <w:p w14:paraId="2A274273" w14:textId="77777777" w:rsidR="00D83488" w:rsidRPr="00650D66" w:rsidRDefault="00D83488" w:rsidP="00D83488">
      <w:pPr>
        <w:rPr>
          <w:rFonts w:ascii="Times New Roman" w:hAnsi="Times New Roman" w:cs="Times New Roman"/>
          <w:sz w:val="24"/>
          <w:szCs w:val="24"/>
          <w:lang w:val="ro-RO"/>
        </w:rPr>
      </w:pPr>
      <w:r w:rsidRPr="00650D66">
        <w:rPr>
          <w:rFonts w:ascii="Times New Roman" w:hAnsi="Times New Roman" w:cs="Times New Roman"/>
          <w:noProof/>
          <w:lang w:val="en-US"/>
        </w:rPr>
        <w:drawing>
          <wp:inline distT="0" distB="0" distL="0" distR="0" wp14:anchorId="274A0A93" wp14:editId="5E846079">
            <wp:extent cx="897763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77630" cy="1009650"/>
                    </a:xfrm>
                    <a:prstGeom prst="rect">
                      <a:avLst/>
                    </a:prstGeom>
                    <a:noFill/>
                    <a:ln>
                      <a:noFill/>
                    </a:ln>
                  </pic:spPr>
                </pic:pic>
              </a:graphicData>
            </a:graphic>
          </wp:inline>
        </w:drawing>
      </w:r>
    </w:p>
    <w:p w14:paraId="3F2CF64A" w14:textId="77777777" w:rsidR="00D83488" w:rsidRPr="00650D66" w:rsidRDefault="00DA0CF2" w:rsidP="00DA0CF2">
      <w:pPr>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Informație sintetizată de către echipa de audit din Rapoartele de sinteză privind executarea Planului de achiziții al BNM.</w:t>
      </w:r>
    </w:p>
    <w:p w14:paraId="3AF15DC8" w14:textId="77777777" w:rsidR="00754E15" w:rsidRPr="00650D66" w:rsidRDefault="00754E15" w:rsidP="0087127B">
      <w:pPr>
        <w:rPr>
          <w:rFonts w:ascii="Times New Roman" w:hAnsi="Times New Roman" w:cs="Times New Roman"/>
          <w:lang w:val="ro-RO"/>
        </w:rPr>
      </w:pPr>
    </w:p>
    <w:p w14:paraId="58A7A6E2" w14:textId="668ABE9A" w:rsidR="007E03FE" w:rsidRPr="00EA0E29" w:rsidRDefault="00120790" w:rsidP="00EA0E29">
      <w:pPr>
        <w:jc w:val="center"/>
        <w:rPr>
          <w:rFonts w:ascii="Times New Roman" w:hAnsi="Times New Roman" w:cs="Times New Roman"/>
          <w:b/>
          <w:lang w:val="ro-RO"/>
        </w:rPr>
      </w:pPr>
      <w:r w:rsidRPr="00EA0E29">
        <w:rPr>
          <w:rFonts w:ascii="Times New Roman" w:hAnsi="Times New Roman" w:cs="Times New Roman"/>
          <w:b/>
          <w:lang w:val="ro-RO"/>
        </w:rPr>
        <w:t>Anexa nr.6</w:t>
      </w:r>
      <w:r w:rsidR="00F85F62" w:rsidRPr="00EA0E29">
        <w:rPr>
          <w:rFonts w:ascii="Times New Roman" w:hAnsi="Times New Roman" w:cs="Times New Roman"/>
          <w:b/>
          <w:lang w:val="ro-RO"/>
        </w:rPr>
        <w:t xml:space="preserve"> </w:t>
      </w:r>
      <w:r w:rsidR="007E03FE" w:rsidRPr="00EA0E29">
        <w:rPr>
          <w:rFonts w:ascii="Times New Roman" w:hAnsi="Times New Roman" w:cs="Times New Roman"/>
          <w:b/>
          <w:lang w:val="ro-RO"/>
        </w:rPr>
        <w:t>Informați</w:t>
      </w:r>
      <w:r w:rsidR="002B493F" w:rsidRPr="00EA0E29">
        <w:rPr>
          <w:rFonts w:ascii="Times New Roman" w:hAnsi="Times New Roman" w:cs="Times New Roman"/>
          <w:b/>
          <w:lang w:val="ro-RO"/>
        </w:rPr>
        <w:t>i</w:t>
      </w:r>
      <w:r w:rsidR="007E03FE" w:rsidRPr="00EA0E29">
        <w:rPr>
          <w:rFonts w:ascii="Times New Roman" w:hAnsi="Times New Roman" w:cs="Times New Roman"/>
          <w:b/>
          <w:lang w:val="ro-RO"/>
        </w:rPr>
        <w:t xml:space="preserve"> privind procedurile de achiziții planificate, realizate și numărul contractelor încheiate de către BNM în perioada 2019-2022</w:t>
      </w:r>
      <w:r w:rsidR="00C0385C" w:rsidRPr="00EA0E29">
        <w:rPr>
          <w:rFonts w:ascii="Times New Roman" w:hAnsi="Times New Roman" w:cs="Times New Roman"/>
          <w:b/>
          <w:lang w:val="ro-RO"/>
        </w:rPr>
        <w:t xml:space="preserve"> </w:t>
      </w:r>
      <w:r w:rsidR="00C0385C" w:rsidRPr="00EA0E29">
        <w:rPr>
          <w:rFonts w:ascii="Times New Roman" w:hAnsi="Times New Roman" w:cs="Times New Roman"/>
          <w:b/>
          <w:noProof/>
          <w:color w:val="000000" w:themeColor="text1"/>
          <w:lang w:val="ro-RO"/>
        </w:rPr>
        <w:t>(conform Planului de achiziții)</w:t>
      </w:r>
    </w:p>
    <w:tbl>
      <w:tblPr>
        <w:tblW w:w="14771" w:type="dxa"/>
        <w:tblLook w:val="04A0" w:firstRow="1" w:lastRow="0" w:firstColumn="1" w:lastColumn="0" w:noHBand="0" w:noVBand="1"/>
      </w:tblPr>
      <w:tblGrid>
        <w:gridCol w:w="1555"/>
        <w:gridCol w:w="1116"/>
        <w:gridCol w:w="1005"/>
        <w:gridCol w:w="1260"/>
        <w:gridCol w:w="1116"/>
        <w:gridCol w:w="1005"/>
        <w:gridCol w:w="1260"/>
        <w:gridCol w:w="1116"/>
        <w:gridCol w:w="1005"/>
        <w:gridCol w:w="1260"/>
        <w:gridCol w:w="1116"/>
        <w:gridCol w:w="1005"/>
        <w:gridCol w:w="1260"/>
      </w:tblGrid>
      <w:tr w:rsidR="007E03FE" w:rsidRPr="00650D66" w14:paraId="13D57F47" w14:textId="77777777" w:rsidTr="002925F1">
        <w:trPr>
          <w:trHeight w:val="288"/>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1527"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Proceduri de achiziție (p/a)</w:t>
            </w:r>
          </w:p>
        </w:tc>
        <w:tc>
          <w:tcPr>
            <w:tcW w:w="3304" w:type="dxa"/>
            <w:gridSpan w:val="3"/>
            <w:tcBorders>
              <w:top w:val="single" w:sz="4" w:space="0" w:color="auto"/>
              <w:left w:val="nil"/>
              <w:bottom w:val="single" w:sz="4" w:space="0" w:color="auto"/>
              <w:right w:val="single" w:sz="4" w:space="0" w:color="000000"/>
            </w:tcBorders>
            <w:shd w:val="clear" w:color="000000" w:fill="92D050"/>
            <w:noWrap/>
            <w:vAlign w:val="center"/>
            <w:hideMark/>
          </w:tcPr>
          <w:p w14:paraId="27CA45F9"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2019</w:t>
            </w:r>
          </w:p>
        </w:tc>
        <w:tc>
          <w:tcPr>
            <w:tcW w:w="330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5EB1BE7"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2020</w:t>
            </w:r>
          </w:p>
        </w:tc>
        <w:tc>
          <w:tcPr>
            <w:tcW w:w="3304" w:type="dxa"/>
            <w:gridSpan w:val="3"/>
            <w:tcBorders>
              <w:top w:val="single" w:sz="4" w:space="0" w:color="auto"/>
              <w:left w:val="nil"/>
              <w:bottom w:val="single" w:sz="4" w:space="0" w:color="auto"/>
              <w:right w:val="single" w:sz="4" w:space="0" w:color="000000"/>
            </w:tcBorders>
            <w:shd w:val="clear" w:color="000000" w:fill="92D050"/>
            <w:noWrap/>
            <w:vAlign w:val="bottom"/>
            <w:hideMark/>
          </w:tcPr>
          <w:p w14:paraId="779A3A77"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2021</w:t>
            </w:r>
          </w:p>
        </w:tc>
        <w:tc>
          <w:tcPr>
            <w:tcW w:w="330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C1E75B"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2022</w:t>
            </w:r>
          </w:p>
        </w:tc>
      </w:tr>
      <w:tr w:rsidR="007E03FE" w:rsidRPr="00650D66" w14:paraId="34940EAE" w14:textId="77777777" w:rsidTr="002925F1">
        <w:trPr>
          <w:trHeight w:val="52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0808BF5" w14:textId="77777777" w:rsidR="007E03FE" w:rsidRPr="00650D66" w:rsidRDefault="007E03FE" w:rsidP="007E03FE">
            <w:pPr>
              <w:spacing w:after="0" w:line="240" w:lineRule="auto"/>
              <w:rPr>
                <w:rFonts w:ascii="Times New Roman" w:eastAsia="Times New Roman" w:hAnsi="Times New Roman" w:cs="Times New Roman"/>
                <w:b/>
                <w:bCs/>
                <w:color w:val="000000"/>
                <w:sz w:val="20"/>
                <w:szCs w:val="20"/>
                <w:lang w:val="ro-RO"/>
              </w:rPr>
            </w:pPr>
          </w:p>
        </w:tc>
        <w:tc>
          <w:tcPr>
            <w:tcW w:w="1039" w:type="dxa"/>
            <w:tcBorders>
              <w:top w:val="nil"/>
              <w:left w:val="nil"/>
              <w:bottom w:val="single" w:sz="4" w:space="0" w:color="auto"/>
              <w:right w:val="single" w:sz="4" w:space="0" w:color="auto"/>
            </w:tcBorders>
            <w:shd w:val="clear" w:color="auto" w:fill="auto"/>
            <w:vAlign w:val="center"/>
            <w:hideMark/>
          </w:tcPr>
          <w:p w14:paraId="5E85DC37" w14:textId="2C6EBF46" w:rsidR="007E03FE" w:rsidRPr="00650D66" w:rsidRDefault="007E03FE" w:rsidP="002B493F">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sidR="002B493F">
              <w:rPr>
                <w:rFonts w:ascii="Times New Roman" w:eastAsia="Times New Roman" w:hAnsi="Times New Roman" w:cs="Times New Roman"/>
                <w:b/>
                <w:bCs/>
                <w:color w:val="000000"/>
                <w:sz w:val="20"/>
                <w:szCs w:val="20"/>
                <w:lang w:val="ro-RO"/>
              </w:rPr>
              <w:t>p</w:t>
            </w:r>
            <w:r w:rsidRPr="00650D66">
              <w:rPr>
                <w:rFonts w:ascii="Times New Roman" w:eastAsia="Times New Roman" w:hAnsi="Times New Roman" w:cs="Times New Roman"/>
                <w:b/>
                <w:bCs/>
                <w:color w:val="000000"/>
                <w:sz w:val="20"/>
                <w:szCs w:val="20"/>
                <w:lang w:val="ro-RO"/>
              </w:rPr>
              <w:t>lanificat</w:t>
            </w:r>
            <w:r w:rsidR="002B493F">
              <w:rPr>
                <w:rFonts w:ascii="Times New Roman" w:eastAsia="Times New Roman" w:hAnsi="Times New Roman" w:cs="Times New Roman"/>
                <w:b/>
                <w:bCs/>
                <w:color w:val="000000"/>
                <w:sz w:val="20"/>
                <w:szCs w:val="20"/>
                <w:lang w:val="ro-RO"/>
              </w:rPr>
              <w:t>e</w:t>
            </w:r>
          </w:p>
        </w:tc>
        <w:tc>
          <w:tcPr>
            <w:tcW w:w="1005" w:type="dxa"/>
            <w:tcBorders>
              <w:top w:val="nil"/>
              <w:left w:val="nil"/>
              <w:bottom w:val="single" w:sz="4" w:space="0" w:color="auto"/>
              <w:right w:val="single" w:sz="4" w:space="0" w:color="auto"/>
            </w:tcBorders>
            <w:shd w:val="clear" w:color="auto" w:fill="auto"/>
            <w:vAlign w:val="center"/>
            <w:hideMark/>
          </w:tcPr>
          <w:p w14:paraId="505E1C3F" w14:textId="2FACB014" w:rsidR="007E03FE" w:rsidRPr="00650D66" w:rsidRDefault="007E03FE" w:rsidP="002B493F">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sidR="002B493F">
              <w:rPr>
                <w:rFonts w:ascii="Times New Roman" w:eastAsia="Times New Roman" w:hAnsi="Times New Roman" w:cs="Times New Roman"/>
                <w:b/>
                <w:bCs/>
                <w:color w:val="000000"/>
                <w:sz w:val="20"/>
                <w:szCs w:val="20"/>
                <w:lang w:val="ro-RO"/>
              </w:rPr>
              <w:t>r</w:t>
            </w:r>
            <w:r w:rsidRPr="00650D66">
              <w:rPr>
                <w:rFonts w:ascii="Times New Roman" w:eastAsia="Times New Roman" w:hAnsi="Times New Roman" w:cs="Times New Roman"/>
                <w:b/>
                <w:bCs/>
                <w:color w:val="000000"/>
                <w:sz w:val="20"/>
                <w:szCs w:val="20"/>
                <w:lang w:val="ro-RO"/>
              </w:rPr>
              <w:t>ealizate</w:t>
            </w:r>
          </w:p>
        </w:tc>
        <w:tc>
          <w:tcPr>
            <w:tcW w:w="1260" w:type="dxa"/>
            <w:tcBorders>
              <w:top w:val="nil"/>
              <w:left w:val="nil"/>
              <w:bottom w:val="single" w:sz="4" w:space="0" w:color="auto"/>
              <w:right w:val="single" w:sz="4" w:space="0" w:color="auto"/>
            </w:tcBorders>
            <w:shd w:val="clear" w:color="auto" w:fill="auto"/>
            <w:vAlign w:val="center"/>
            <w:hideMark/>
          </w:tcPr>
          <w:p w14:paraId="456E8244"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contractelor încheiate</w:t>
            </w:r>
          </w:p>
        </w:tc>
        <w:tc>
          <w:tcPr>
            <w:tcW w:w="1039" w:type="dxa"/>
            <w:tcBorders>
              <w:top w:val="nil"/>
              <w:left w:val="nil"/>
              <w:bottom w:val="single" w:sz="4" w:space="0" w:color="auto"/>
              <w:right w:val="single" w:sz="4" w:space="0" w:color="auto"/>
            </w:tcBorders>
            <w:shd w:val="clear" w:color="auto" w:fill="auto"/>
            <w:vAlign w:val="center"/>
            <w:hideMark/>
          </w:tcPr>
          <w:p w14:paraId="3B883B54" w14:textId="0EEBCC54" w:rsidR="007E03FE" w:rsidRPr="00650D66" w:rsidRDefault="007E03FE" w:rsidP="002B493F">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sidR="002B493F">
              <w:rPr>
                <w:rFonts w:ascii="Times New Roman" w:eastAsia="Times New Roman" w:hAnsi="Times New Roman" w:cs="Times New Roman"/>
                <w:b/>
                <w:bCs/>
                <w:color w:val="000000"/>
                <w:sz w:val="20"/>
                <w:szCs w:val="20"/>
                <w:lang w:val="ro-RO"/>
              </w:rPr>
              <w:t>p</w:t>
            </w:r>
            <w:r w:rsidRPr="00650D66">
              <w:rPr>
                <w:rFonts w:ascii="Times New Roman" w:eastAsia="Times New Roman" w:hAnsi="Times New Roman" w:cs="Times New Roman"/>
                <w:b/>
                <w:bCs/>
                <w:color w:val="000000"/>
                <w:sz w:val="20"/>
                <w:szCs w:val="20"/>
                <w:lang w:val="ro-RO"/>
              </w:rPr>
              <w:t>lanificat</w:t>
            </w:r>
            <w:r w:rsidR="002B493F">
              <w:rPr>
                <w:rFonts w:ascii="Times New Roman" w:eastAsia="Times New Roman" w:hAnsi="Times New Roman" w:cs="Times New Roman"/>
                <w:b/>
                <w:bCs/>
                <w:color w:val="000000"/>
                <w:sz w:val="20"/>
                <w:szCs w:val="20"/>
                <w:lang w:val="ro-RO"/>
              </w:rPr>
              <w:t>e</w:t>
            </w:r>
          </w:p>
        </w:tc>
        <w:tc>
          <w:tcPr>
            <w:tcW w:w="1005" w:type="dxa"/>
            <w:tcBorders>
              <w:top w:val="nil"/>
              <w:left w:val="nil"/>
              <w:bottom w:val="single" w:sz="4" w:space="0" w:color="auto"/>
              <w:right w:val="single" w:sz="4" w:space="0" w:color="auto"/>
            </w:tcBorders>
            <w:shd w:val="clear" w:color="auto" w:fill="auto"/>
            <w:vAlign w:val="center"/>
            <w:hideMark/>
          </w:tcPr>
          <w:p w14:paraId="7458CA12" w14:textId="070A7CEC" w:rsidR="007E03FE" w:rsidRPr="00650D66" w:rsidRDefault="007E03FE" w:rsidP="002B493F">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sidR="002B493F">
              <w:rPr>
                <w:rFonts w:ascii="Times New Roman" w:eastAsia="Times New Roman" w:hAnsi="Times New Roman" w:cs="Times New Roman"/>
                <w:b/>
                <w:bCs/>
                <w:color w:val="000000"/>
                <w:sz w:val="20"/>
                <w:szCs w:val="20"/>
                <w:lang w:val="ro-RO"/>
              </w:rPr>
              <w:t>r</w:t>
            </w:r>
            <w:r w:rsidRPr="00650D66">
              <w:rPr>
                <w:rFonts w:ascii="Times New Roman" w:eastAsia="Times New Roman" w:hAnsi="Times New Roman" w:cs="Times New Roman"/>
                <w:b/>
                <w:bCs/>
                <w:color w:val="000000"/>
                <w:sz w:val="20"/>
                <w:szCs w:val="20"/>
                <w:lang w:val="ro-RO"/>
              </w:rPr>
              <w:t>ealizate</w:t>
            </w:r>
          </w:p>
        </w:tc>
        <w:tc>
          <w:tcPr>
            <w:tcW w:w="1260" w:type="dxa"/>
            <w:tcBorders>
              <w:top w:val="nil"/>
              <w:left w:val="nil"/>
              <w:bottom w:val="single" w:sz="4" w:space="0" w:color="auto"/>
              <w:right w:val="single" w:sz="4" w:space="0" w:color="auto"/>
            </w:tcBorders>
            <w:shd w:val="clear" w:color="auto" w:fill="auto"/>
            <w:vAlign w:val="center"/>
            <w:hideMark/>
          </w:tcPr>
          <w:p w14:paraId="0D4D1C76"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contractelor încheiate</w:t>
            </w:r>
          </w:p>
        </w:tc>
        <w:tc>
          <w:tcPr>
            <w:tcW w:w="1039" w:type="dxa"/>
            <w:tcBorders>
              <w:top w:val="nil"/>
              <w:left w:val="nil"/>
              <w:bottom w:val="single" w:sz="4" w:space="0" w:color="auto"/>
              <w:right w:val="single" w:sz="4" w:space="0" w:color="auto"/>
            </w:tcBorders>
            <w:shd w:val="clear" w:color="auto" w:fill="auto"/>
            <w:vAlign w:val="center"/>
            <w:hideMark/>
          </w:tcPr>
          <w:p w14:paraId="6249A186" w14:textId="38672B5F"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sidR="002B493F">
              <w:rPr>
                <w:rFonts w:ascii="Times New Roman" w:eastAsia="Times New Roman" w:hAnsi="Times New Roman" w:cs="Times New Roman"/>
                <w:b/>
                <w:bCs/>
                <w:color w:val="000000"/>
                <w:sz w:val="20"/>
                <w:szCs w:val="20"/>
                <w:lang w:val="ro-RO"/>
              </w:rPr>
              <w:t>p</w:t>
            </w:r>
            <w:r w:rsidRPr="00650D66">
              <w:rPr>
                <w:rFonts w:ascii="Times New Roman" w:eastAsia="Times New Roman" w:hAnsi="Times New Roman" w:cs="Times New Roman"/>
                <w:b/>
                <w:bCs/>
                <w:color w:val="000000"/>
                <w:sz w:val="20"/>
                <w:szCs w:val="20"/>
                <w:lang w:val="ro-RO"/>
              </w:rPr>
              <w:t>lanificat</w:t>
            </w:r>
            <w:r w:rsidR="002B493F">
              <w:rPr>
                <w:rFonts w:ascii="Times New Roman" w:eastAsia="Times New Roman" w:hAnsi="Times New Roman" w:cs="Times New Roman"/>
                <w:b/>
                <w:bCs/>
                <w:color w:val="000000"/>
                <w:sz w:val="20"/>
                <w:szCs w:val="20"/>
                <w:lang w:val="ro-RO"/>
              </w:rPr>
              <w:t>e</w:t>
            </w:r>
          </w:p>
        </w:tc>
        <w:tc>
          <w:tcPr>
            <w:tcW w:w="1005" w:type="dxa"/>
            <w:tcBorders>
              <w:top w:val="nil"/>
              <w:left w:val="nil"/>
              <w:bottom w:val="single" w:sz="4" w:space="0" w:color="auto"/>
              <w:right w:val="single" w:sz="4" w:space="0" w:color="auto"/>
            </w:tcBorders>
            <w:shd w:val="clear" w:color="auto" w:fill="auto"/>
            <w:vAlign w:val="center"/>
            <w:hideMark/>
          </w:tcPr>
          <w:p w14:paraId="3DC67689" w14:textId="68F7B9D8" w:rsidR="007E03FE" w:rsidRPr="00650D66" w:rsidRDefault="007E03FE" w:rsidP="002B493F">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sidR="002B493F">
              <w:rPr>
                <w:rFonts w:ascii="Times New Roman" w:eastAsia="Times New Roman" w:hAnsi="Times New Roman" w:cs="Times New Roman"/>
                <w:b/>
                <w:bCs/>
                <w:color w:val="000000"/>
                <w:sz w:val="20"/>
                <w:szCs w:val="20"/>
                <w:lang w:val="ro-RO"/>
              </w:rPr>
              <w:t>r</w:t>
            </w:r>
            <w:r w:rsidRPr="00650D66">
              <w:rPr>
                <w:rFonts w:ascii="Times New Roman" w:eastAsia="Times New Roman" w:hAnsi="Times New Roman" w:cs="Times New Roman"/>
                <w:b/>
                <w:bCs/>
                <w:color w:val="000000"/>
                <w:sz w:val="20"/>
                <w:szCs w:val="20"/>
                <w:lang w:val="ro-RO"/>
              </w:rPr>
              <w:t>ealizate</w:t>
            </w:r>
          </w:p>
        </w:tc>
        <w:tc>
          <w:tcPr>
            <w:tcW w:w="1260" w:type="dxa"/>
            <w:tcBorders>
              <w:top w:val="nil"/>
              <w:left w:val="nil"/>
              <w:bottom w:val="single" w:sz="4" w:space="0" w:color="auto"/>
              <w:right w:val="single" w:sz="4" w:space="0" w:color="auto"/>
            </w:tcBorders>
            <w:shd w:val="clear" w:color="auto" w:fill="auto"/>
            <w:vAlign w:val="center"/>
            <w:hideMark/>
          </w:tcPr>
          <w:p w14:paraId="01BE2BFB"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contractelor încheiate</w:t>
            </w:r>
          </w:p>
        </w:tc>
        <w:tc>
          <w:tcPr>
            <w:tcW w:w="1039" w:type="dxa"/>
            <w:tcBorders>
              <w:top w:val="nil"/>
              <w:left w:val="nil"/>
              <w:bottom w:val="single" w:sz="4" w:space="0" w:color="auto"/>
              <w:right w:val="single" w:sz="4" w:space="0" w:color="auto"/>
            </w:tcBorders>
            <w:shd w:val="clear" w:color="auto" w:fill="auto"/>
            <w:vAlign w:val="center"/>
            <w:hideMark/>
          </w:tcPr>
          <w:p w14:paraId="77A9F739" w14:textId="02A1879D" w:rsidR="007E03FE" w:rsidRPr="00650D66" w:rsidRDefault="007E03FE" w:rsidP="002B493F">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sidR="002B493F">
              <w:rPr>
                <w:rFonts w:ascii="Times New Roman" w:eastAsia="Times New Roman" w:hAnsi="Times New Roman" w:cs="Times New Roman"/>
                <w:b/>
                <w:bCs/>
                <w:color w:val="000000"/>
                <w:sz w:val="20"/>
                <w:szCs w:val="20"/>
                <w:lang w:val="ro-RO"/>
              </w:rPr>
              <w:t>p</w:t>
            </w:r>
            <w:r w:rsidRPr="00650D66">
              <w:rPr>
                <w:rFonts w:ascii="Times New Roman" w:eastAsia="Times New Roman" w:hAnsi="Times New Roman" w:cs="Times New Roman"/>
                <w:b/>
                <w:bCs/>
                <w:color w:val="000000"/>
                <w:sz w:val="20"/>
                <w:szCs w:val="20"/>
                <w:lang w:val="ro-RO"/>
              </w:rPr>
              <w:t>lanificat</w:t>
            </w:r>
            <w:r w:rsidR="002B493F">
              <w:rPr>
                <w:rFonts w:ascii="Times New Roman" w:eastAsia="Times New Roman" w:hAnsi="Times New Roman" w:cs="Times New Roman"/>
                <w:b/>
                <w:bCs/>
                <w:color w:val="000000"/>
                <w:sz w:val="20"/>
                <w:szCs w:val="20"/>
                <w:lang w:val="ro-RO"/>
              </w:rPr>
              <w:t>e</w:t>
            </w:r>
          </w:p>
        </w:tc>
        <w:tc>
          <w:tcPr>
            <w:tcW w:w="1005" w:type="dxa"/>
            <w:tcBorders>
              <w:top w:val="nil"/>
              <w:left w:val="nil"/>
              <w:bottom w:val="single" w:sz="4" w:space="0" w:color="auto"/>
              <w:right w:val="single" w:sz="4" w:space="0" w:color="auto"/>
            </w:tcBorders>
            <w:shd w:val="clear" w:color="auto" w:fill="auto"/>
            <w:vAlign w:val="center"/>
            <w:hideMark/>
          </w:tcPr>
          <w:p w14:paraId="4E7E4B02" w14:textId="09DC33FB"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xml:space="preserve">Nr. p/a </w:t>
            </w:r>
            <w:r w:rsidR="002B493F">
              <w:rPr>
                <w:rFonts w:ascii="Times New Roman" w:eastAsia="Times New Roman" w:hAnsi="Times New Roman" w:cs="Times New Roman"/>
                <w:b/>
                <w:bCs/>
                <w:color w:val="000000"/>
                <w:sz w:val="20"/>
                <w:szCs w:val="20"/>
                <w:lang w:val="ro-RO"/>
              </w:rPr>
              <w:t>r</w:t>
            </w:r>
            <w:r w:rsidRPr="00650D66">
              <w:rPr>
                <w:rFonts w:ascii="Times New Roman" w:eastAsia="Times New Roman" w:hAnsi="Times New Roman" w:cs="Times New Roman"/>
                <w:b/>
                <w:bCs/>
                <w:color w:val="000000"/>
                <w:sz w:val="20"/>
                <w:szCs w:val="20"/>
                <w:lang w:val="ro-RO"/>
              </w:rPr>
              <w:t>ealizate</w:t>
            </w:r>
          </w:p>
        </w:tc>
        <w:tc>
          <w:tcPr>
            <w:tcW w:w="1260" w:type="dxa"/>
            <w:tcBorders>
              <w:top w:val="nil"/>
              <w:left w:val="nil"/>
              <w:bottom w:val="single" w:sz="4" w:space="0" w:color="auto"/>
              <w:right w:val="single" w:sz="4" w:space="0" w:color="auto"/>
            </w:tcBorders>
            <w:shd w:val="clear" w:color="auto" w:fill="auto"/>
            <w:vAlign w:val="center"/>
            <w:hideMark/>
          </w:tcPr>
          <w:p w14:paraId="5E105B86"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contractelor încheiate</w:t>
            </w:r>
          </w:p>
        </w:tc>
      </w:tr>
      <w:tr w:rsidR="007E03FE" w:rsidRPr="00650D66" w14:paraId="70CF4507" w14:textId="77777777" w:rsidTr="002925F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F03EB60" w14:textId="77777777" w:rsidR="007E03FE" w:rsidRPr="00650D66" w:rsidRDefault="007E03FE" w:rsidP="007E03FE">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Licitații deschise</w:t>
            </w:r>
          </w:p>
        </w:tc>
        <w:tc>
          <w:tcPr>
            <w:tcW w:w="1039" w:type="dxa"/>
            <w:tcBorders>
              <w:top w:val="nil"/>
              <w:left w:val="nil"/>
              <w:bottom w:val="single" w:sz="4" w:space="0" w:color="auto"/>
              <w:right w:val="single" w:sz="4" w:space="0" w:color="auto"/>
            </w:tcBorders>
            <w:shd w:val="clear" w:color="auto" w:fill="auto"/>
            <w:noWrap/>
            <w:vAlign w:val="center"/>
            <w:hideMark/>
          </w:tcPr>
          <w:p w14:paraId="44698443"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25</w:t>
            </w:r>
          </w:p>
        </w:tc>
        <w:tc>
          <w:tcPr>
            <w:tcW w:w="1005" w:type="dxa"/>
            <w:tcBorders>
              <w:top w:val="nil"/>
              <w:left w:val="nil"/>
              <w:bottom w:val="single" w:sz="4" w:space="0" w:color="auto"/>
              <w:right w:val="single" w:sz="4" w:space="0" w:color="auto"/>
            </w:tcBorders>
            <w:shd w:val="clear" w:color="auto" w:fill="auto"/>
            <w:noWrap/>
            <w:vAlign w:val="center"/>
            <w:hideMark/>
          </w:tcPr>
          <w:p w14:paraId="1F03D5A2"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w:t>
            </w:r>
          </w:p>
        </w:tc>
        <w:tc>
          <w:tcPr>
            <w:tcW w:w="1260" w:type="dxa"/>
            <w:tcBorders>
              <w:top w:val="nil"/>
              <w:left w:val="nil"/>
              <w:bottom w:val="single" w:sz="4" w:space="0" w:color="auto"/>
              <w:right w:val="single" w:sz="4" w:space="0" w:color="auto"/>
            </w:tcBorders>
            <w:shd w:val="clear" w:color="auto" w:fill="auto"/>
            <w:noWrap/>
            <w:vAlign w:val="center"/>
            <w:hideMark/>
          </w:tcPr>
          <w:p w14:paraId="712772C7"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41</w:t>
            </w:r>
          </w:p>
        </w:tc>
        <w:tc>
          <w:tcPr>
            <w:tcW w:w="1039" w:type="dxa"/>
            <w:tcBorders>
              <w:top w:val="nil"/>
              <w:left w:val="nil"/>
              <w:bottom w:val="single" w:sz="4" w:space="0" w:color="auto"/>
              <w:right w:val="single" w:sz="4" w:space="0" w:color="auto"/>
            </w:tcBorders>
            <w:shd w:val="clear" w:color="auto" w:fill="auto"/>
            <w:noWrap/>
            <w:vAlign w:val="bottom"/>
            <w:hideMark/>
          </w:tcPr>
          <w:p w14:paraId="116B2EB6"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23</w:t>
            </w:r>
          </w:p>
        </w:tc>
        <w:tc>
          <w:tcPr>
            <w:tcW w:w="1005" w:type="dxa"/>
            <w:tcBorders>
              <w:top w:val="nil"/>
              <w:left w:val="nil"/>
              <w:bottom w:val="single" w:sz="4" w:space="0" w:color="auto"/>
              <w:right w:val="single" w:sz="4" w:space="0" w:color="auto"/>
            </w:tcBorders>
            <w:shd w:val="clear" w:color="auto" w:fill="auto"/>
            <w:noWrap/>
            <w:vAlign w:val="bottom"/>
            <w:hideMark/>
          </w:tcPr>
          <w:p w14:paraId="57EBBDAE"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w:t>
            </w:r>
          </w:p>
        </w:tc>
        <w:tc>
          <w:tcPr>
            <w:tcW w:w="1260" w:type="dxa"/>
            <w:tcBorders>
              <w:top w:val="nil"/>
              <w:left w:val="nil"/>
              <w:bottom w:val="single" w:sz="4" w:space="0" w:color="auto"/>
              <w:right w:val="single" w:sz="4" w:space="0" w:color="auto"/>
            </w:tcBorders>
            <w:shd w:val="clear" w:color="auto" w:fill="auto"/>
            <w:noWrap/>
            <w:vAlign w:val="bottom"/>
            <w:hideMark/>
          </w:tcPr>
          <w:p w14:paraId="09D89395"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42</w:t>
            </w:r>
          </w:p>
        </w:tc>
        <w:tc>
          <w:tcPr>
            <w:tcW w:w="1039" w:type="dxa"/>
            <w:tcBorders>
              <w:top w:val="nil"/>
              <w:left w:val="nil"/>
              <w:bottom w:val="single" w:sz="4" w:space="0" w:color="auto"/>
              <w:right w:val="single" w:sz="4" w:space="0" w:color="auto"/>
            </w:tcBorders>
            <w:shd w:val="clear" w:color="auto" w:fill="auto"/>
            <w:noWrap/>
            <w:vAlign w:val="bottom"/>
            <w:hideMark/>
          </w:tcPr>
          <w:p w14:paraId="54A266A9"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27</w:t>
            </w:r>
          </w:p>
        </w:tc>
        <w:tc>
          <w:tcPr>
            <w:tcW w:w="1005" w:type="dxa"/>
            <w:tcBorders>
              <w:top w:val="nil"/>
              <w:left w:val="nil"/>
              <w:bottom w:val="single" w:sz="4" w:space="0" w:color="auto"/>
              <w:right w:val="single" w:sz="4" w:space="0" w:color="auto"/>
            </w:tcBorders>
            <w:shd w:val="clear" w:color="auto" w:fill="auto"/>
            <w:noWrap/>
            <w:vAlign w:val="bottom"/>
            <w:hideMark/>
          </w:tcPr>
          <w:p w14:paraId="75494FB0"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21</w:t>
            </w:r>
          </w:p>
        </w:tc>
        <w:tc>
          <w:tcPr>
            <w:tcW w:w="1260" w:type="dxa"/>
            <w:tcBorders>
              <w:top w:val="nil"/>
              <w:left w:val="nil"/>
              <w:bottom w:val="single" w:sz="4" w:space="0" w:color="auto"/>
              <w:right w:val="single" w:sz="4" w:space="0" w:color="auto"/>
            </w:tcBorders>
            <w:shd w:val="clear" w:color="auto" w:fill="auto"/>
            <w:noWrap/>
            <w:vAlign w:val="bottom"/>
            <w:hideMark/>
          </w:tcPr>
          <w:p w14:paraId="1882FB2A"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50</w:t>
            </w:r>
          </w:p>
        </w:tc>
        <w:tc>
          <w:tcPr>
            <w:tcW w:w="1039" w:type="dxa"/>
            <w:tcBorders>
              <w:top w:val="nil"/>
              <w:left w:val="nil"/>
              <w:bottom w:val="single" w:sz="4" w:space="0" w:color="auto"/>
              <w:right w:val="single" w:sz="4" w:space="0" w:color="auto"/>
            </w:tcBorders>
            <w:shd w:val="clear" w:color="auto" w:fill="auto"/>
            <w:noWrap/>
            <w:vAlign w:val="bottom"/>
            <w:hideMark/>
          </w:tcPr>
          <w:p w14:paraId="73EA4735"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26</w:t>
            </w:r>
          </w:p>
        </w:tc>
        <w:tc>
          <w:tcPr>
            <w:tcW w:w="1005" w:type="dxa"/>
            <w:tcBorders>
              <w:top w:val="nil"/>
              <w:left w:val="nil"/>
              <w:bottom w:val="single" w:sz="4" w:space="0" w:color="auto"/>
              <w:right w:val="single" w:sz="4" w:space="0" w:color="auto"/>
            </w:tcBorders>
            <w:shd w:val="clear" w:color="auto" w:fill="auto"/>
            <w:noWrap/>
            <w:vAlign w:val="bottom"/>
            <w:hideMark/>
          </w:tcPr>
          <w:p w14:paraId="7DBAAAFF"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18</w:t>
            </w:r>
          </w:p>
        </w:tc>
        <w:tc>
          <w:tcPr>
            <w:tcW w:w="1260" w:type="dxa"/>
            <w:tcBorders>
              <w:top w:val="nil"/>
              <w:left w:val="nil"/>
              <w:bottom w:val="single" w:sz="4" w:space="0" w:color="auto"/>
              <w:right w:val="single" w:sz="4" w:space="0" w:color="auto"/>
            </w:tcBorders>
            <w:shd w:val="clear" w:color="auto" w:fill="auto"/>
            <w:noWrap/>
            <w:vAlign w:val="bottom"/>
            <w:hideMark/>
          </w:tcPr>
          <w:p w14:paraId="7D3EE475"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44</w:t>
            </w:r>
          </w:p>
        </w:tc>
      </w:tr>
      <w:tr w:rsidR="007E03FE" w:rsidRPr="00650D66" w14:paraId="6DB88142" w14:textId="77777777" w:rsidTr="002925F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A98065E" w14:textId="77777777" w:rsidR="007E03FE" w:rsidRPr="00650D66" w:rsidRDefault="007E03FE" w:rsidP="007E03FE">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COP</w:t>
            </w:r>
          </w:p>
        </w:tc>
        <w:tc>
          <w:tcPr>
            <w:tcW w:w="1039" w:type="dxa"/>
            <w:tcBorders>
              <w:top w:val="nil"/>
              <w:left w:val="nil"/>
              <w:bottom w:val="single" w:sz="4" w:space="0" w:color="auto"/>
              <w:right w:val="single" w:sz="4" w:space="0" w:color="auto"/>
            </w:tcBorders>
            <w:shd w:val="clear" w:color="auto" w:fill="auto"/>
            <w:noWrap/>
            <w:vAlign w:val="center"/>
            <w:hideMark/>
          </w:tcPr>
          <w:p w14:paraId="1539227C"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w:t>
            </w:r>
          </w:p>
        </w:tc>
        <w:tc>
          <w:tcPr>
            <w:tcW w:w="1005" w:type="dxa"/>
            <w:tcBorders>
              <w:top w:val="nil"/>
              <w:left w:val="nil"/>
              <w:bottom w:val="single" w:sz="4" w:space="0" w:color="auto"/>
              <w:right w:val="single" w:sz="4" w:space="0" w:color="auto"/>
            </w:tcBorders>
            <w:shd w:val="clear" w:color="auto" w:fill="auto"/>
            <w:noWrap/>
            <w:vAlign w:val="center"/>
            <w:hideMark/>
          </w:tcPr>
          <w:p w14:paraId="4BECBCD2"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260" w:type="dxa"/>
            <w:tcBorders>
              <w:top w:val="nil"/>
              <w:left w:val="nil"/>
              <w:bottom w:val="single" w:sz="4" w:space="0" w:color="auto"/>
              <w:right w:val="single" w:sz="4" w:space="0" w:color="auto"/>
            </w:tcBorders>
            <w:shd w:val="clear" w:color="auto" w:fill="auto"/>
            <w:noWrap/>
            <w:vAlign w:val="center"/>
            <w:hideMark/>
          </w:tcPr>
          <w:p w14:paraId="5414B2F5"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w:t>
            </w:r>
          </w:p>
        </w:tc>
        <w:tc>
          <w:tcPr>
            <w:tcW w:w="1039" w:type="dxa"/>
            <w:tcBorders>
              <w:top w:val="nil"/>
              <w:left w:val="nil"/>
              <w:bottom w:val="single" w:sz="4" w:space="0" w:color="auto"/>
              <w:right w:val="single" w:sz="4" w:space="0" w:color="auto"/>
            </w:tcBorders>
            <w:shd w:val="clear" w:color="auto" w:fill="auto"/>
            <w:noWrap/>
            <w:vAlign w:val="bottom"/>
            <w:hideMark/>
          </w:tcPr>
          <w:p w14:paraId="392245B5"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18</w:t>
            </w:r>
          </w:p>
        </w:tc>
        <w:tc>
          <w:tcPr>
            <w:tcW w:w="1005" w:type="dxa"/>
            <w:tcBorders>
              <w:top w:val="nil"/>
              <w:left w:val="nil"/>
              <w:bottom w:val="single" w:sz="4" w:space="0" w:color="auto"/>
              <w:right w:val="single" w:sz="4" w:space="0" w:color="auto"/>
            </w:tcBorders>
            <w:shd w:val="clear" w:color="auto" w:fill="auto"/>
            <w:noWrap/>
            <w:vAlign w:val="bottom"/>
            <w:hideMark/>
          </w:tcPr>
          <w:p w14:paraId="72D90F63"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w:t>
            </w:r>
          </w:p>
        </w:tc>
        <w:tc>
          <w:tcPr>
            <w:tcW w:w="1260" w:type="dxa"/>
            <w:tcBorders>
              <w:top w:val="nil"/>
              <w:left w:val="nil"/>
              <w:bottom w:val="single" w:sz="4" w:space="0" w:color="auto"/>
              <w:right w:val="single" w:sz="4" w:space="0" w:color="auto"/>
            </w:tcBorders>
            <w:shd w:val="clear" w:color="auto" w:fill="auto"/>
            <w:noWrap/>
            <w:vAlign w:val="bottom"/>
            <w:hideMark/>
          </w:tcPr>
          <w:p w14:paraId="0C30329E"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w:t>
            </w:r>
          </w:p>
        </w:tc>
        <w:tc>
          <w:tcPr>
            <w:tcW w:w="1039" w:type="dxa"/>
            <w:tcBorders>
              <w:top w:val="nil"/>
              <w:left w:val="nil"/>
              <w:bottom w:val="single" w:sz="4" w:space="0" w:color="auto"/>
              <w:right w:val="single" w:sz="4" w:space="0" w:color="auto"/>
            </w:tcBorders>
            <w:shd w:val="clear" w:color="auto" w:fill="auto"/>
            <w:noWrap/>
            <w:vAlign w:val="bottom"/>
            <w:hideMark/>
          </w:tcPr>
          <w:p w14:paraId="30128F5F"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19</w:t>
            </w:r>
          </w:p>
        </w:tc>
        <w:tc>
          <w:tcPr>
            <w:tcW w:w="1005" w:type="dxa"/>
            <w:tcBorders>
              <w:top w:val="nil"/>
              <w:left w:val="nil"/>
              <w:bottom w:val="single" w:sz="4" w:space="0" w:color="auto"/>
              <w:right w:val="single" w:sz="4" w:space="0" w:color="auto"/>
            </w:tcBorders>
            <w:shd w:val="clear" w:color="auto" w:fill="auto"/>
            <w:noWrap/>
            <w:vAlign w:val="bottom"/>
            <w:hideMark/>
          </w:tcPr>
          <w:p w14:paraId="5312FD49"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w:t>
            </w:r>
          </w:p>
        </w:tc>
        <w:tc>
          <w:tcPr>
            <w:tcW w:w="1260" w:type="dxa"/>
            <w:tcBorders>
              <w:top w:val="nil"/>
              <w:left w:val="nil"/>
              <w:bottom w:val="single" w:sz="4" w:space="0" w:color="auto"/>
              <w:right w:val="single" w:sz="4" w:space="0" w:color="auto"/>
            </w:tcBorders>
            <w:shd w:val="clear" w:color="auto" w:fill="auto"/>
            <w:noWrap/>
            <w:vAlign w:val="bottom"/>
            <w:hideMark/>
          </w:tcPr>
          <w:p w14:paraId="1A8BC831"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19</w:t>
            </w:r>
          </w:p>
        </w:tc>
        <w:tc>
          <w:tcPr>
            <w:tcW w:w="1039" w:type="dxa"/>
            <w:tcBorders>
              <w:top w:val="nil"/>
              <w:left w:val="nil"/>
              <w:bottom w:val="single" w:sz="4" w:space="0" w:color="auto"/>
              <w:right w:val="single" w:sz="4" w:space="0" w:color="auto"/>
            </w:tcBorders>
            <w:shd w:val="clear" w:color="auto" w:fill="auto"/>
            <w:noWrap/>
            <w:vAlign w:val="bottom"/>
            <w:hideMark/>
          </w:tcPr>
          <w:p w14:paraId="7F8BBE23"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w:t>
            </w:r>
          </w:p>
        </w:tc>
        <w:tc>
          <w:tcPr>
            <w:tcW w:w="1005" w:type="dxa"/>
            <w:tcBorders>
              <w:top w:val="nil"/>
              <w:left w:val="nil"/>
              <w:bottom w:val="single" w:sz="4" w:space="0" w:color="auto"/>
              <w:right w:val="single" w:sz="4" w:space="0" w:color="auto"/>
            </w:tcBorders>
            <w:shd w:val="clear" w:color="auto" w:fill="auto"/>
            <w:noWrap/>
            <w:vAlign w:val="bottom"/>
            <w:hideMark/>
          </w:tcPr>
          <w:p w14:paraId="2F0A49B7"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w:t>
            </w:r>
          </w:p>
        </w:tc>
        <w:tc>
          <w:tcPr>
            <w:tcW w:w="1260" w:type="dxa"/>
            <w:tcBorders>
              <w:top w:val="nil"/>
              <w:left w:val="nil"/>
              <w:bottom w:val="single" w:sz="4" w:space="0" w:color="auto"/>
              <w:right w:val="single" w:sz="4" w:space="0" w:color="auto"/>
            </w:tcBorders>
            <w:shd w:val="clear" w:color="auto" w:fill="auto"/>
            <w:noWrap/>
            <w:vAlign w:val="bottom"/>
            <w:hideMark/>
          </w:tcPr>
          <w:p w14:paraId="38BAB4D7"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16</w:t>
            </w:r>
          </w:p>
        </w:tc>
      </w:tr>
      <w:tr w:rsidR="007E03FE" w:rsidRPr="00650D66" w14:paraId="11ACB25F" w14:textId="77777777" w:rsidTr="002925F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A43A30E" w14:textId="77777777" w:rsidR="007E03FE" w:rsidRPr="00650D66" w:rsidRDefault="007E03FE" w:rsidP="007E03FE">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Negociere fără publicare</w:t>
            </w:r>
          </w:p>
        </w:tc>
        <w:tc>
          <w:tcPr>
            <w:tcW w:w="1039" w:type="dxa"/>
            <w:tcBorders>
              <w:top w:val="nil"/>
              <w:left w:val="nil"/>
              <w:bottom w:val="single" w:sz="4" w:space="0" w:color="auto"/>
              <w:right w:val="single" w:sz="4" w:space="0" w:color="auto"/>
            </w:tcBorders>
            <w:shd w:val="clear" w:color="auto" w:fill="auto"/>
            <w:noWrap/>
            <w:vAlign w:val="center"/>
            <w:hideMark/>
          </w:tcPr>
          <w:p w14:paraId="6FD34772"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w:t>
            </w:r>
          </w:p>
        </w:tc>
        <w:tc>
          <w:tcPr>
            <w:tcW w:w="1005" w:type="dxa"/>
            <w:tcBorders>
              <w:top w:val="nil"/>
              <w:left w:val="nil"/>
              <w:bottom w:val="single" w:sz="4" w:space="0" w:color="auto"/>
              <w:right w:val="single" w:sz="4" w:space="0" w:color="auto"/>
            </w:tcBorders>
            <w:shd w:val="clear" w:color="auto" w:fill="auto"/>
            <w:noWrap/>
            <w:vAlign w:val="center"/>
            <w:hideMark/>
          </w:tcPr>
          <w:p w14:paraId="1768C7D1"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w:t>
            </w:r>
          </w:p>
        </w:tc>
        <w:tc>
          <w:tcPr>
            <w:tcW w:w="1260" w:type="dxa"/>
            <w:tcBorders>
              <w:top w:val="nil"/>
              <w:left w:val="nil"/>
              <w:bottom w:val="single" w:sz="4" w:space="0" w:color="auto"/>
              <w:right w:val="single" w:sz="4" w:space="0" w:color="auto"/>
            </w:tcBorders>
            <w:shd w:val="clear" w:color="auto" w:fill="auto"/>
            <w:noWrap/>
            <w:vAlign w:val="center"/>
            <w:hideMark/>
          </w:tcPr>
          <w:p w14:paraId="29C669E1"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w:t>
            </w:r>
          </w:p>
        </w:tc>
        <w:tc>
          <w:tcPr>
            <w:tcW w:w="1039" w:type="dxa"/>
            <w:tcBorders>
              <w:top w:val="nil"/>
              <w:left w:val="nil"/>
              <w:bottom w:val="single" w:sz="4" w:space="0" w:color="auto"/>
              <w:right w:val="single" w:sz="4" w:space="0" w:color="auto"/>
            </w:tcBorders>
            <w:shd w:val="clear" w:color="auto" w:fill="auto"/>
            <w:noWrap/>
            <w:vAlign w:val="bottom"/>
            <w:hideMark/>
          </w:tcPr>
          <w:p w14:paraId="3BD8A51F"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w:t>
            </w:r>
          </w:p>
        </w:tc>
        <w:tc>
          <w:tcPr>
            <w:tcW w:w="1005" w:type="dxa"/>
            <w:tcBorders>
              <w:top w:val="nil"/>
              <w:left w:val="nil"/>
              <w:bottom w:val="single" w:sz="4" w:space="0" w:color="auto"/>
              <w:right w:val="single" w:sz="4" w:space="0" w:color="auto"/>
            </w:tcBorders>
            <w:shd w:val="clear" w:color="auto" w:fill="auto"/>
            <w:noWrap/>
            <w:vAlign w:val="bottom"/>
            <w:hideMark/>
          </w:tcPr>
          <w:p w14:paraId="01435B93"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1260" w:type="dxa"/>
            <w:tcBorders>
              <w:top w:val="nil"/>
              <w:left w:val="nil"/>
              <w:bottom w:val="single" w:sz="4" w:space="0" w:color="auto"/>
              <w:right w:val="single" w:sz="4" w:space="0" w:color="auto"/>
            </w:tcBorders>
            <w:shd w:val="clear" w:color="auto" w:fill="auto"/>
            <w:noWrap/>
            <w:vAlign w:val="bottom"/>
            <w:hideMark/>
          </w:tcPr>
          <w:p w14:paraId="101CCA8E"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w:t>
            </w:r>
          </w:p>
        </w:tc>
        <w:tc>
          <w:tcPr>
            <w:tcW w:w="1039" w:type="dxa"/>
            <w:tcBorders>
              <w:top w:val="nil"/>
              <w:left w:val="nil"/>
              <w:bottom w:val="single" w:sz="4" w:space="0" w:color="auto"/>
              <w:right w:val="single" w:sz="4" w:space="0" w:color="auto"/>
            </w:tcBorders>
            <w:shd w:val="clear" w:color="auto" w:fill="auto"/>
            <w:noWrap/>
            <w:vAlign w:val="bottom"/>
            <w:hideMark/>
          </w:tcPr>
          <w:p w14:paraId="3B936D3F"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1005" w:type="dxa"/>
            <w:tcBorders>
              <w:top w:val="nil"/>
              <w:left w:val="nil"/>
              <w:bottom w:val="single" w:sz="4" w:space="0" w:color="auto"/>
              <w:right w:val="single" w:sz="4" w:space="0" w:color="auto"/>
            </w:tcBorders>
            <w:shd w:val="clear" w:color="auto" w:fill="auto"/>
            <w:noWrap/>
            <w:vAlign w:val="bottom"/>
            <w:hideMark/>
          </w:tcPr>
          <w:p w14:paraId="21D2F00E"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260" w:type="dxa"/>
            <w:tcBorders>
              <w:top w:val="nil"/>
              <w:left w:val="nil"/>
              <w:bottom w:val="single" w:sz="4" w:space="0" w:color="auto"/>
              <w:right w:val="single" w:sz="4" w:space="0" w:color="auto"/>
            </w:tcBorders>
            <w:shd w:val="clear" w:color="auto" w:fill="auto"/>
            <w:noWrap/>
            <w:vAlign w:val="bottom"/>
            <w:hideMark/>
          </w:tcPr>
          <w:p w14:paraId="345002EE"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039" w:type="dxa"/>
            <w:tcBorders>
              <w:top w:val="nil"/>
              <w:left w:val="nil"/>
              <w:bottom w:val="single" w:sz="4" w:space="0" w:color="auto"/>
              <w:right w:val="single" w:sz="4" w:space="0" w:color="auto"/>
            </w:tcBorders>
            <w:shd w:val="clear" w:color="auto" w:fill="auto"/>
            <w:noWrap/>
            <w:vAlign w:val="bottom"/>
            <w:hideMark/>
          </w:tcPr>
          <w:p w14:paraId="7C8D46FD"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005" w:type="dxa"/>
            <w:tcBorders>
              <w:top w:val="nil"/>
              <w:left w:val="nil"/>
              <w:bottom w:val="single" w:sz="4" w:space="0" w:color="auto"/>
              <w:right w:val="single" w:sz="4" w:space="0" w:color="auto"/>
            </w:tcBorders>
            <w:shd w:val="clear" w:color="auto" w:fill="auto"/>
            <w:noWrap/>
            <w:vAlign w:val="bottom"/>
            <w:hideMark/>
          </w:tcPr>
          <w:p w14:paraId="52E952A4"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1260" w:type="dxa"/>
            <w:tcBorders>
              <w:top w:val="nil"/>
              <w:left w:val="nil"/>
              <w:bottom w:val="single" w:sz="4" w:space="0" w:color="auto"/>
              <w:right w:val="single" w:sz="4" w:space="0" w:color="auto"/>
            </w:tcBorders>
            <w:shd w:val="clear" w:color="auto" w:fill="auto"/>
            <w:noWrap/>
            <w:vAlign w:val="bottom"/>
            <w:hideMark/>
          </w:tcPr>
          <w:p w14:paraId="5C144BCC"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w:t>
            </w:r>
          </w:p>
        </w:tc>
      </w:tr>
      <w:tr w:rsidR="007E03FE" w:rsidRPr="00650D66" w14:paraId="20E00D58" w14:textId="77777777" w:rsidTr="002925F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9439126" w14:textId="77777777" w:rsidR="007E03FE" w:rsidRPr="00650D66" w:rsidRDefault="007E03FE" w:rsidP="007E03FE">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Contracte de mică valoare</w:t>
            </w:r>
          </w:p>
        </w:tc>
        <w:tc>
          <w:tcPr>
            <w:tcW w:w="1039" w:type="dxa"/>
            <w:tcBorders>
              <w:top w:val="nil"/>
              <w:left w:val="nil"/>
              <w:bottom w:val="single" w:sz="4" w:space="0" w:color="auto"/>
              <w:right w:val="single" w:sz="4" w:space="0" w:color="auto"/>
            </w:tcBorders>
            <w:shd w:val="clear" w:color="auto" w:fill="auto"/>
            <w:noWrap/>
            <w:vAlign w:val="center"/>
            <w:hideMark/>
          </w:tcPr>
          <w:p w14:paraId="20241FD8"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128</w:t>
            </w:r>
          </w:p>
        </w:tc>
        <w:tc>
          <w:tcPr>
            <w:tcW w:w="1005" w:type="dxa"/>
            <w:tcBorders>
              <w:top w:val="nil"/>
              <w:left w:val="nil"/>
              <w:bottom w:val="single" w:sz="4" w:space="0" w:color="auto"/>
              <w:right w:val="single" w:sz="4" w:space="0" w:color="auto"/>
            </w:tcBorders>
            <w:shd w:val="clear" w:color="auto" w:fill="auto"/>
            <w:noWrap/>
            <w:vAlign w:val="center"/>
            <w:hideMark/>
          </w:tcPr>
          <w:p w14:paraId="24E66E6C"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97</w:t>
            </w:r>
          </w:p>
        </w:tc>
        <w:tc>
          <w:tcPr>
            <w:tcW w:w="1260" w:type="dxa"/>
            <w:tcBorders>
              <w:top w:val="nil"/>
              <w:left w:val="nil"/>
              <w:bottom w:val="single" w:sz="4" w:space="0" w:color="auto"/>
              <w:right w:val="single" w:sz="4" w:space="0" w:color="auto"/>
            </w:tcBorders>
            <w:shd w:val="clear" w:color="auto" w:fill="auto"/>
            <w:noWrap/>
            <w:vAlign w:val="center"/>
            <w:hideMark/>
          </w:tcPr>
          <w:p w14:paraId="3726ED9E"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306</w:t>
            </w:r>
          </w:p>
        </w:tc>
        <w:tc>
          <w:tcPr>
            <w:tcW w:w="1039" w:type="dxa"/>
            <w:tcBorders>
              <w:top w:val="nil"/>
              <w:left w:val="nil"/>
              <w:bottom w:val="single" w:sz="4" w:space="0" w:color="auto"/>
              <w:right w:val="single" w:sz="4" w:space="0" w:color="auto"/>
            </w:tcBorders>
            <w:shd w:val="clear" w:color="auto" w:fill="auto"/>
            <w:noWrap/>
            <w:vAlign w:val="bottom"/>
            <w:hideMark/>
          </w:tcPr>
          <w:p w14:paraId="6B768BB4"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113</w:t>
            </w:r>
          </w:p>
        </w:tc>
        <w:tc>
          <w:tcPr>
            <w:tcW w:w="1005" w:type="dxa"/>
            <w:tcBorders>
              <w:top w:val="nil"/>
              <w:left w:val="nil"/>
              <w:bottom w:val="single" w:sz="4" w:space="0" w:color="auto"/>
              <w:right w:val="single" w:sz="4" w:space="0" w:color="auto"/>
            </w:tcBorders>
            <w:shd w:val="clear" w:color="auto" w:fill="auto"/>
            <w:noWrap/>
            <w:vAlign w:val="bottom"/>
            <w:hideMark/>
          </w:tcPr>
          <w:p w14:paraId="3DDA7945"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96</w:t>
            </w:r>
          </w:p>
        </w:tc>
        <w:tc>
          <w:tcPr>
            <w:tcW w:w="1260" w:type="dxa"/>
            <w:tcBorders>
              <w:top w:val="nil"/>
              <w:left w:val="nil"/>
              <w:bottom w:val="single" w:sz="4" w:space="0" w:color="auto"/>
              <w:right w:val="single" w:sz="4" w:space="0" w:color="auto"/>
            </w:tcBorders>
            <w:shd w:val="clear" w:color="auto" w:fill="auto"/>
            <w:noWrap/>
            <w:vAlign w:val="bottom"/>
            <w:hideMark/>
          </w:tcPr>
          <w:p w14:paraId="016B0FBB"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149</w:t>
            </w:r>
          </w:p>
        </w:tc>
        <w:tc>
          <w:tcPr>
            <w:tcW w:w="1039" w:type="dxa"/>
            <w:tcBorders>
              <w:top w:val="nil"/>
              <w:left w:val="nil"/>
              <w:bottom w:val="single" w:sz="4" w:space="0" w:color="auto"/>
              <w:right w:val="single" w:sz="4" w:space="0" w:color="auto"/>
            </w:tcBorders>
            <w:shd w:val="clear" w:color="auto" w:fill="auto"/>
            <w:noWrap/>
            <w:vAlign w:val="bottom"/>
            <w:hideMark/>
          </w:tcPr>
          <w:p w14:paraId="03472D3D"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115</w:t>
            </w:r>
          </w:p>
        </w:tc>
        <w:tc>
          <w:tcPr>
            <w:tcW w:w="1005" w:type="dxa"/>
            <w:tcBorders>
              <w:top w:val="nil"/>
              <w:left w:val="nil"/>
              <w:bottom w:val="single" w:sz="4" w:space="0" w:color="auto"/>
              <w:right w:val="single" w:sz="4" w:space="0" w:color="auto"/>
            </w:tcBorders>
            <w:shd w:val="clear" w:color="auto" w:fill="auto"/>
            <w:noWrap/>
            <w:vAlign w:val="bottom"/>
            <w:hideMark/>
          </w:tcPr>
          <w:p w14:paraId="5C9F2865"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94</w:t>
            </w:r>
          </w:p>
        </w:tc>
        <w:tc>
          <w:tcPr>
            <w:tcW w:w="1260" w:type="dxa"/>
            <w:tcBorders>
              <w:top w:val="nil"/>
              <w:left w:val="nil"/>
              <w:bottom w:val="single" w:sz="4" w:space="0" w:color="auto"/>
              <w:right w:val="single" w:sz="4" w:space="0" w:color="auto"/>
            </w:tcBorders>
            <w:shd w:val="clear" w:color="auto" w:fill="auto"/>
            <w:noWrap/>
            <w:vAlign w:val="bottom"/>
            <w:hideMark/>
          </w:tcPr>
          <w:p w14:paraId="60DD889C"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144</w:t>
            </w:r>
          </w:p>
        </w:tc>
        <w:tc>
          <w:tcPr>
            <w:tcW w:w="1039" w:type="dxa"/>
            <w:tcBorders>
              <w:top w:val="nil"/>
              <w:left w:val="nil"/>
              <w:bottom w:val="single" w:sz="4" w:space="0" w:color="auto"/>
              <w:right w:val="single" w:sz="4" w:space="0" w:color="auto"/>
            </w:tcBorders>
            <w:shd w:val="clear" w:color="auto" w:fill="auto"/>
            <w:noWrap/>
            <w:vAlign w:val="bottom"/>
            <w:hideMark/>
          </w:tcPr>
          <w:p w14:paraId="2DCEB911"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138</w:t>
            </w:r>
          </w:p>
        </w:tc>
        <w:tc>
          <w:tcPr>
            <w:tcW w:w="1005" w:type="dxa"/>
            <w:tcBorders>
              <w:top w:val="nil"/>
              <w:left w:val="nil"/>
              <w:bottom w:val="single" w:sz="4" w:space="0" w:color="auto"/>
              <w:right w:val="single" w:sz="4" w:space="0" w:color="auto"/>
            </w:tcBorders>
            <w:shd w:val="clear" w:color="auto" w:fill="auto"/>
            <w:noWrap/>
            <w:vAlign w:val="bottom"/>
            <w:hideMark/>
          </w:tcPr>
          <w:p w14:paraId="6E9E8655"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116</w:t>
            </w:r>
          </w:p>
        </w:tc>
        <w:tc>
          <w:tcPr>
            <w:tcW w:w="1260" w:type="dxa"/>
            <w:tcBorders>
              <w:top w:val="nil"/>
              <w:left w:val="nil"/>
              <w:bottom w:val="single" w:sz="4" w:space="0" w:color="auto"/>
              <w:right w:val="single" w:sz="4" w:space="0" w:color="auto"/>
            </w:tcBorders>
            <w:shd w:val="clear" w:color="auto" w:fill="auto"/>
            <w:noWrap/>
            <w:vAlign w:val="bottom"/>
            <w:hideMark/>
          </w:tcPr>
          <w:p w14:paraId="52945DD1"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212</w:t>
            </w:r>
          </w:p>
        </w:tc>
      </w:tr>
      <w:tr w:rsidR="007E03FE" w:rsidRPr="00650D66" w14:paraId="704BBACD" w14:textId="77777777" w:rsidTr="002925F1">
        <w:trPr>
          <w:trHeight w:val="438"/>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4E6CAA75" w14:textId="77777777" w:rsidR="007E03FE" w:rsidRPr="00650D66" w:rsidRDefault="007E03FE" w:rsidP="007E03FE">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lastRenderedPageBreak/>
              <w:t>Art. 5 alin. (1) lit. g) din Legea 131/2015 (excepții)</w:t>
            </w:r>
          </w:p>
        </w:tc>
        <w:tc>
          <w:tcPr>
            <w:tcW w:w="1039" w:type="dxa"/>
            <w:tcBorders>
              <w:top w:val="nil"/>
              <w:left w:val="nil"/>
              <w:bottom w:val="single" w:sz="4" w:space="0" w:color="auto"/>
              <w:right w:val="single" w:sz="4" w:space="0" w:color="auto"/>
            </w:tcBorders>
            <w:shd w:val="clear" w:color="auto" w:fill="auto"/>
            <w:noWrap/>
            <w:vAlign w:val="center"/>
            <w:hideMark/>
          </w:tcPr>
          <w:p w14:paraId="39D41AE7"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center"/>
            <w:hideMark/>
          </w:tcPr>
          <w:p w14:paraId="1918E5F0"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39EFBE"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w:t>
            </w:r>
          </w:p>
        </w:tc>
        <w:tc>
          <w:tcPr>
            <w:tcW w:w="1039" w:type="dxa"/>
            <w:tcBorders>
              <w:top w:val="nil"/>
              <w:left w:val="nil"/>
              <w:bottom w:val="single" w:sz="4" w:space="0" w:color="auto"/>
              <w:right w:val="single" w:sz="4" w:space="0" w:color="auto"/>
            </w:tcBorders>
            <w:shd w:val="clear" w:color="auto" w:fill="auto"/>
            <w:noWrap/>
            <w:vAlign w:val="bottom"/>
            <w:hideMark/>
          </w:tcPr>
          <w:p w14:paraId="28AF37C6"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64FB6232"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F30C01"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14:paraId="79205528"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686FD4B8"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260" w:type="dxa"/>
            <w:tcBorders>
              <w:top w:val="nil"/>
              <w:left w:val="nil"/>
              <w:bottom w:val="single" w:sz="4" w:space="0" w:color="auto"/>
              <w:right w:val="single" w:sz="4" w:space="0" w:color="auto"/>
            </w:tcBorders>
            <w:shd w:val="clear" w:color="auto" w:fill="auto"/>
            <w:noWrap/>
            <w:vAlign w:val="bottom"/>
            <w:hideMark/>
          </w:tcPr>
          <w:p w14:paraId="254073FB"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14:paraId="34AE358F"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1005" w:type="dxa"/>
            <w:tcBorders>
              <w:top w:val="nil"/>
              <w:left w:val="nil"/>
              <w:bottom w:val="single" w:sz="4" w:space="0" w:color="auto"/>
              <w:right w:val="single" w:sz="4" w:space="0" w:color="auto"/>
            </w:tcBorders>
            <w:shd w:val="clear" w:color="auto" w:fill="auto"/>
            <w:noWrap/>
            <w:vAlign w:val="bottom"/>
            <w:hideMark/>
          </w:tcPr>
          <w:p w14:paraId="1A496C78"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w:t>
            </w:r>
          </w:p>
        </w:tc>
        <w:tc>
          <w:tcPr>
            <w:tcW w:w="1260" w:type="dxa"/>
            <w:tcBorders>
              <w:top w:val="nil"/>
              <w:left w:val="nil"/>
              <w:bottom w:val="single" w:sz="4" w:space="0" w:color="auto"/>
              <w:right w:val="single" w:sz="4" w:space="0" w:color="auto"/>
            </w:tcBorders>
            <w:shd w:val="clear" w:color="auto" w:fill="auto"/>
            <w:noWrap/>
            <w:vAlign w:val="bottom"/>
            <w:hideMark/>
          </w:tcPr>
          <w:p w14:paraId="0DD2EFF1" w14:textId="77777777" w:rsidR="007E03FE" w:rsidRPr="00650D66" w:rsidRDefault="007E03FE" w:rsidP="007E03FE">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w:t>
            </w:r>
          </w:p>
        </w:tc>
      </w:tr>
      <w:tr w:rsidR="007E03FE" w:rsidRPr="00650D66" w14:paraId="0E5F5EF9" w14:textId="77777777" w:rsidTr="002925F1">
        <w:trPr>
          <w:trHeight w:val="288"/>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244A4AE7" w14:textId="77777777" w:rsidR="007E03FE" w:rsidRPr="00650D66" w:rsidRDefault="007E03FE" w:rsidP="007E03FE">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Nr. procedurilor de achiziție</w:t>
            </w:r>
          </w:p>
        </w:tc>
        <w:tc>
          <w:tcPr>
            <w:tcW w:w="1039" w:type="dxa"/>
            <w:tcBorders>
              <w:top w:val="nil"/>
              <w:left w:val="nil"/>
              <w:bottom w:val="single" w:sz="4" w:space="0" w:color="auto"/>
              <w:right w:val="single" w:sz="4" w:space="0" w:color="auto"/>
            </w:tcBorders>
            <w:shd w:val="clear" w:color="auto" w:fill="auto"/>
            <w:vAlign w:val="center"/>
            <w:hideMark/>
          </w:tcPr>
          <w:p w14:paraId="51284048"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181</w:t>
            </w:r>
          </w:p>
        </w:tc>
        <w:tc>
          <w:tcPr>
            <w:tcW w:w="1005" w:type="dxa"/>
            <w:tcBorders>
              <w:top w:val="nil"/>
              <w:left w:val="nil"/>
              <w:bottom w:val="single" w:sz="4" w:space="0" w:color="auto"/>
              <w:right w:val="single" w:sz="4" w:space="0" w:color="auto"/>
            </w:tcBorders>
            <w:shd w:val="clear" w:color="auto" w:fill="auto"/>
            <w:vAlign w:val="center"/>
            <w:hideMark/>
          </w:tcPr>
          <w:p w14:paraId="1036E51F"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125</w:t>
            </w:r>
          </w:p>
        </w:tc>
        <w:tc>
          <w:tcPr>
            <w:tcW w:w="1260" w:type="dxa"/>
            <w:tcBorders>
              <w:top w:val="nil"/>
              <w:left w:val="nil"/>
              <w:bottom w:val="single" w:sz="4" w:space="0" w:color="auto"/>
              <w:right w:val="single" w:sz="4" w:space="0" w:color="auto"/>
            </w:tcBorders>
            <w:shd w:val="clear" w:color="auto" w:fill="auto"/>
            <w:vAlign w:val="center"/>
            <w:hideMark/>
          </w:tcPr>
          <w:p w14:paraId="25009D5F"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371</w:t>
            </w:r>
          </w:p>
        </w:tc>
        <w:tc>
          <w:tcPr>
            <w:tcW w:w="1039" w:type="dxa"/>
            <w:tcBorders>
              <w:top w:val="nil"/>
              <w:left w:val="nil"/>
              <w:bottom w:val="single" w:sz="4" w:space="0" w:color="auto"/>
              <w:right w:val="single" w:sz="4" w:space="0" w:color="auto"/>
            </w:tcBorders>
            <w:shd w:val="clear" w:color="auto" w:fill="auto"/>
            <w:vAlign w:val="bottom"/>
            <w:hideMark/>
          </w:tcPr>
          <w:p w14:paraId="23A20773"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163</w:t>
            </w:r>
          </w:p>
        </w:tc>
        <w:tc>
          <w:tcPr>
            <w:tcW w:w="1005" w:type="dxa"/>
            <w:tcBorders>
              <w:top w:val="nil"/>
              <w:left w:val="nil"/>
              <w:bottom w:val="single" w:sz="4" w:space="0" w:color="auto"/>
              <w:right w:val="single" w:sz="4" w:space="0" w:color="auto"/>
            </w:tcBorders>
            <w:shd w:val="clear" w:color="auto" w:fill="auto"/>
            <w:vAlign w:val="bottom"/>
            <w:hideMark/>
          </w:tcPr>
          <w:p w14:paraId="1A049AA0"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126</w:t>
            </w:r>
          </w:p>
        </w:tc>
        <w:tc>
          <w:tcPr>
            <w:tcW w:w="1260" w:type="dxa"/>
            <w:tcBorders>
              <w:top w:val="nil"/>
              <w:left w:val="nil"/>
              <w:bottom w:val="single" w:sz="4" w:space="0" w:color="auto"/>
              <w:right w:val="single" w:sz="4" w:space="0" w:color="auto"/>
            </w:tcBorders>
            <w:shd w:val="clear" w:color="auto" w:fill="auto"/>
            <w:vAlign w:val="bottom"/>
            <w:hideMark/>
          </w:tcPr>
          <w:p w14:paraId="3DACA96B"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206</w:t>
            </w:r>
          </w:p>
        </w:tc>
        <w:tc>
          <w:tcPr>
            <w:tcW w:w="1039" w:type="dxa"/>
            <w:tcBorders>
              <w:top w:val="nil"/>
              <w:left w:val="nil"/>
              <w:bottom w:val="single" w:sz="4" w:space="0" w:color="auto"/>
              <w:right w:val="single" w:sz="4" w:space="0" w:color="auto"/>
            </w:tcBorders>
            <w:shd w:val="clear" w:color="auto" w:fill="auto"/>
            <w:noWrap/>
            <w:vAlign w:val="bottom"/>
            <w:hideMark/>
          </w:tcPr>
          <w:p w14:paraId="23EC37AD"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167</w:t>
            </w:r>
          </w:p>
        </w:tc>
        <w:tc>
          <w:tcPr>
            <w:tcW w:w="1005" w:type="dxa"/>
            <w:tcBorders>
              <w:top w:val="nil"/>
              <w:left w:val="nil"/>
              <w:bottom w:val="single" w:sz="4" w:space="0" w:color="auto"/>
              <w:right w:val="single" w:sz="4" w:space="0" w:color="auto"/>
            </w:tcBorders>
            <w:shd w:val="clear" w:color="auto" w:fill="auto"/>
            <w:noWrap/>
            <w:vAlign w:val="bottom"/>
            <w:hideMark/>
          </w:tcPr>
          <w:p w14:paraId="3820BE77"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130</w:t>
            </w:r>
          </w:p>
        </w:tc>
        <w:tc>
          <w:tcPr>
            <w:tcW w:w="1260" w:type="dxa"/>
            <w:tcBorders>
              <w:top w:val="nil"/>
              <w:left w:val="nil"/>
              <w:bottom w:val="single" w:sz="4" w:space="0" w:color="auto"/>
              <w:right w:val="single" w:sz="4" w:space="0" w:color="auto"/>
            </w:tcBorders>
            <w:shd w:val="clear" w:color="auto" w:fill="auto"/>
            <w:noWrap/>
            <w:vAlign w:val="bottom"/>
            <w:hideMark/>
          </w:tcPr>
          <w:p w14:paraId="5B37B42B"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218</w:t>
            </w:r>
          </w:p>
        </w:tc>
        <w:tc>
          <w:tcPr>
            <w:tcW w:w="1039" w:type="dxa"/>
            <w:tcBorders>
              <w:top w:val="nil"/>
              <w:left w:val="nil"/>
              <w:bottom w:val="single" w:sz="4" w:space="0" w:color="auto"/>
              <w:right w:val="single" w:sz="4" w:space="0" w:color="auto"/>
            </w:tcBorders>
            <w:shd w:val="clear" w:color="auto" w:fill="auto"/>
            <w:noWrap/>
            <w:vAlign w:val="bottom"/>
            <w:hideMark/>
          </w:tcPr>
          <w:p w14:paraId="0307C6C4"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192</w:t>
            </w:r>
          </w:p>
        </w:tc>
        <w:tc>
          <w:tcPr>
            <w:tcW w:w="1005" w:type="dxa"/>
            <w:tcBorders>
              <w:top w:val="nil"/>
              <w:left w:val="nil"/>
              <w:bottom w:val="single" w:sz="4" w:space="0" w:color="auto"/>
              <w:right w:val="single" w:sz="4" w:space="0" w:color="auto"/>
            </w:tcBorders>
            <w:shd w:val="clear" w:color="auto" w:fill="auto"/>
            <w:noWrap/>
            <w:vAlign w:val="bottom"/>
            <w:hideMark/>
          </w:tcPr>
          <w:p w14:paraId="5C610B51"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151</w:t>
            </w:r>
          </w:p>
        </w:tc>
        <w:tc>
          <w:tcPr>
            <w:tcW w:w="1260" w:type="dxa"/>
            <w:tcBorders>
              <w:top w:val="nil"/>
              <w:left w:val="nil"/>
              <w:bottom w:val="single" w:sz="4" w:space="0" w:color="auto"/>
              <w:right w:val="single" w:sz="4" w:space="0" w:color="auto"/>
            </w:tcBorders>
            <w:shd w:val="clear" w:color="auto" w:fill="auto"/>
            <w:noWrap/>
            <w:vAlign w:val="bottom"/>
            <w:hideMark/>
          </w:tcPr>
          <w:p w14:paraId="11FC1286" w14:textId="77777777" w:rsidR="007E03FE" w:rsidRPr="00650D66" w:rsidRDefault="007E03FE" w:rsidP="007E03FE">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281</w:t>
            </w:r>
          </w:p>
        </w:tc>
      </w:tr>
      <w:tr w:rsidR="007E03FE" w:rsidRPr="00650D66" w14:paraId="4D9AD8D7" w14:textId="77777777" w:rsidTr="002925F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BCB2416" w14:textId="77777777" w:rsidR="007E03FE" w:rsidRPr="00650D66" w:rsidRDefault="007E03FE" w:rsidP="007E03FE">
            <w:pPr>
              <w:spacing w:after="0" w:line="240" w:lineRule="auto"/>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Nivelul de executare (%)</w:t>
            </w:r>
          </w:p>
        </w:tc>
        <w:tc>
          <w:tcPr>
            <w:tcW w:w="1039" w:type="dxa"/>
            <w:tcBorders>
              <w:top w:val="nil"/>
              <w:left w:val="nil"/>
              <w:bottom w:val="single" w:sz="4" w:space="0" w:color="auto"/>
              <w:right w:val="single" w:sz="4" w:space="0" w:color="auto"/>
            </w:tcBorders>
            <w:shd w:val="clear" w:color="auto" w:fill="auto"/>
            <w:noWrap/>
            <w:vAlign w:val="bottom"/>
            <w:hideMark/>
          </w:tcPr>
          <w:p w14:paraId="3B345196"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612AA90E"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69,1%</w:t>
            </w:r>
          </w:p>
        </w:tc>
        <w:tc>
          <w:tcPr>
            <w:tcW w:w="1260" w:type="dxa"/>
            <w:tcBorders>
              <w:top w:val="nil"/>
              <w:left w:val="nil"/>
              <w:bottom w:val="single" w:sz="4" w:space="0" w:color="auto"/>
              <w:right w:val="single" w:sz="4" w:space="0" w:color="auto"/>
            </w:tcBorders>
            <w:shd w:val="clear" w:color="auto" w:fill="auto"/>
            <w:noWrap/>
            <w:vAlign w:val="bottom"/>
            <w:hideMark/>
          </w:tcPr>
          <w:p w14:paraId="3CA45574"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14:paraId="076F150B"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4B86E890"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77,3%</w:t>
            </w:r>
          </w:p>
        </w:tc>
        <w:tc>
          <w:tcPr>
            <w:tcW w:w="1260" w:type="dxa"/>
            <w:tcBorders>
              <w:top w:val="nil"/>
              <w:left w:val="nil"/>
              <w:bottom w:val="single" w:sz="4" w:space="0" w:color="auto"/>
              <w:right w:val="single" w:sz="4" w:space="0" w:color="auto"/>
            </w:tcBorders>
            <w:shd w:val="clear" w:color="auto" w:fill="auto"/>
            <w:noWrap/>
            <w:vAlign w:val="bottom"/>
            <w:hideMark/>
          </w:tcPr>
          <w:p w14:paraId="1194C48A"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14:paraId="1344AF03"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4CFAC780"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77,8%</w:t>
            </w:r>
          </w:p>
        </w:tc>
        <w:tc>
          <w:tcPr>
            <w:tcW w:w="1260" w:type="dxa"/>
            <w:tcBorders>
              <w:top w:val="nil"/>
              <w:left w:val="nil"/>
              <w:bottom w:val="single" w:sz="4" w:space="0" w:color="auto"/>
              <w:right w:val="single" w:sz="4" w:space="0" w:color="auto"/>
            </w:tcBorders>
            <w:shd w:val="clear" w:color="auto" w:fill="auto"/>
            <w:noWrap/>
            <w:vAlign w:val="bottom"/>
            <w:hideMark/>
          </w:tcPr>
          <w:p w14:paraId="4BC4694B"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39" w:type="dxa"/>
            <w:tcBorders>
              <w:top w:val="nil"/>
              <w:left w:val="nil"/>
              <w:bottom w:val="single" w:sz="4" w:space="0" w:color="auto"/>
              <w:right w:val="single" w:sz="4" w:space="0" w:color="auto"/>
            </w:tcBorders>
            <w:shd w:val="clear" w:color="auto" w:fill="auto"/>
            <w:noWrap/>
            <w:vAlign w:val="bottom"/>
            <w:hideMark/>
          </w:tcPr>
          <w:p w14:paraId="49083C62"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c>
          <w:tcPr>
            <w:tcW w:w="1005" w:type="dxa"/>
            <w:tcBorders>
              <w:top w:val="nil"/>
              <w:left w:val="nil"/>
              <w:bottom w:val="single" w:sz="4" w:space="0" w:color="auto"/>
              <w:right w:val="single" w:sz="4" w:space="0" w:color="auto"/>
            </w:tcBorders>
            <w:shd w:val="clear" w:color="auto" w:fill="auto"/>
            <w:noWrap/>
            <w:vAlign w:val="bottom"/>
            <w:hideMark/>
          </w:tcPr>
          <w:p w14:paraId="5C016925"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78,6%</w:t>
            </w:r>
          </w:p>
        </w:tc>
        <w:tc>
          <w:tcPr>
            <w:tcW w:w="1260" w:type="dxa"/>
            <w:tcBorders>
              <w:top w:val="nil"/>
              <w:left w:val="nil"/>
              <w:bottom w:val="single" w:sz="4" w:space="0" w:color="auto"/>
              <w:right w:val="single" w:sz="4" w:space="0" w:color="auto"/>
            </w:tcBorders>
            <w:shd w:val="clear" w:color="auto" w:fill="auto"/>
            <w:noWrap/>
            <w:vAlign w:val="bottom"/>
            <w:hideMark/>
          </w:tcPr>
          <w:p w14:paraId="3D2B9FB6" w14:textId="77777777" w:rsidR="007E03FE" w:rsidRPr="00650D66" w:rsidRDefault="007E03FE" w:rsidP="007E03FE">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 </w:t>
            </w:r>
          </w:p>
        </w:tc>
      </w:tr>
    </w:tbl>
    <w:p w14:paraId="2A33C703" w14:textId="1224C822" w:rsidR="00C73C04" w:rsidRDefault="007E03FE" w:rsidP="00EA0E29">
      <w:pPr>
        <w:rPr>
          <w:rFonts w:ascii="Times New Roman" w:eastAsia="Times New Roman" w:hAnsi="Times New Roman" w:cs="Times New Roman"/>
          <w:b/>
          <w:sz w:val="24"/>
          <w:szCs w:val="24"/>
          <w:lang w:val="ro-RO"/>
        </w:rPr>
      </w:pPr>
      <w:r w:rsidRPr="00650D66">
        <w:rPr>
          <w:rFonts w:ascii="Times New Roman" w:eastAsia="Times New Roman" w:hAnsi="Times New Roman" w:cs="Times New Roman"/>
          <w:b/>
          <w:i/>
          <w:sz w:val="20"/>
          <w:szCs w:val="20"/>
          <w:lang w:val="ro-RO"/>
        </w:rPr>
        <w:t>Sursă:</w:t>
      </w:r>
      <w:r w:rsidRPr="00650D66">
        <w:rPr>
          <w:rFonts w:ascii="Times New Roman" w:eastAsia="Times New Roman" w:hAnsi="Times New Roman" w:cs="Times New Roman"/>
          <w:i/>
          <w:sz w:val="20"/>
          <w:szCs w:val="20"/>
          <w:lang w:val="ro-RO"/>
        </w:rPr>
        <w:t xml:space="preserve"> Informație sintetizată de către echipa de audit din Rapoartele de sinteză privind executarea Planului de achiziții al BNM.</w:t>
      </w:r>
      <w:r w:rsidR="00E63B49" w:rsidRPr="00650D66">
        <w:rPr>
          <w:rFonts w:ascii="Times New Roman" w:eastAsia="Times New Roman" w:hAnsi="Times New Roman" w:cs="Times New Roman"/>
          <w:i/>
          <w:sz w:val="20"/>
          <w:szCs w:val="20"/>
          <w:lang w:val="ro-RO"/>
        </w:rPr>
        <w:br/>
      </w:r>
    </w:p>
    <w:p w14:paraId="281E8CB5" w14:textId="77777777" w:rsidR="00EA0E29" w:rsidRPr="00650D66" w:rsidRDefault="00EA0E29" w:rsidP="00EA0E29">
      <w:pPr>
        <w:rPr>
          <w:rFonts w:ascii="Times New Roman" w:eastAsia="Times New Roman" w:hAnsi="Times New Roman" w:cs="Times New Roman"/>
          <w:b/>
          <w:sz w:val="24"/>
          <w:szCs w:val="24"/>
          <w:lang w:val="ro-RO"/>
        </w:rPr>
      </w:pPr>
    </w:p>
    <w:p w14:paraId="40B392E2" w14:textId="6272D3FF" w:rsidR="002B493F" w:rsidRPr="00EA0E29" w:rsidRDefault="00120790" w:rsidP="00EA0E29">
      <w:pPr>
        <w:spacing w:after="0"/>
        <w:jc w:val="center"/>
        <w:rPr>
          <w:rFonts w:ascii="Times New Roman" w:hAnsi="Times New Roman" w:cs="Times New Roman"/>
          <w:b/>
          <w:sz w:val="24"/>
          <w:szCs w:val="24"/>
          <w:lang w:val="ro-RO"/>
        </w:rPr>
      </w:pPr>
      <w:r w:rsidRPr="00EA0E29">
        <w:rPr>
          <w:rFonts w:ascii="Times New Roman" w:hAnsi="Times New Roman" w:cs="Times New Roman"/>
          <w:b/>
          <w:sz w:val="24"/>
          <w:szCs w:val="24"/>
          <w:lang w:val="ro-RO"/>
        </w:rPr>
        <w:t>Anexa nr.7</w:t>
      </w:r>
      <w:r w:rsidR="00C27E58" w:rsidRPr="00EA0E29">
        <w:rPr>
          <w:rFonts w:ascii="Times New Roman" w:hAnsi="Times New Roman" w:cs="Times New Roman"/>
          <w:b/>
          <w:sz w:val="24"/>
          <w:szCs w:val="24"/>
          <w:lang w:val="ro-RO"/>
        </w:rPr>
        <w:t xml:space="preserve"> Informați</w:t>
      </w:r>
      <w:r w:rsidR="002B493F" w:rsidRPr="00EA0E29">
        <w:rPr>
          <w:rFonts w:ascii="Times New Roman" w:hAnsi="Times New Roman" w:cs="Times New Roman"/>
          <w:b/>
          <w:sz w:val="24"/>
          <w:szCs w:val="24"/>
          <w:lang w:val="ro-RO"/>
        </w:rPr>
        <w:t>i</w:t>
      </w:r>
      <w:r w:rsidR="00C27E58" w:rsidRPr="00EA0E29">
        <w:rPr>
          <w:rFonts w:ascii="Times New Roman" w:hAnsi="Times New Roman" w:cs="Times New Roman"/>
          <w:b/>
          <w:sz w:val="24"/>
          <w:szCs w:val="24"/>
          <w:lang w:val="ro-RO"/>
        </w:rPr>
        <w:t xml:space="preserve"> privind numărul contractelor încheiate, valoarea contractată și executată în perioada 2019-2022</w:t>
      </w:r>
      <w:r w:rsidR="002B493F" w:rsidRPr="00EA0E29">
        <w:rPr>
          <w:rFonts w:ascii="Times New Roman" w:hAnsi="Times New Roman" w:cs="Times New Roman"/>
          <w:b/>
          <w:sz w:val="24"/>
          <w:szCs w:val="24"/>
          <w:lang w:val="ro-RO"/>
        </w:rPr>
        <w:t>,</w:t>
      </w:r>
    </w:p>
    <w:p w14:paraId="1F6698E8" w14:textId="21D1DF68" w:rsidR="00C27E58" w:rsidRDefault="00C27E58" w:rsidP="00EA0E29">
      <w:pPr>
        <w:spacing w:after="0"/>
        <w:jc w:val="center"/>
        <w:rPr>
          <w:rFonts w:ascii="Times New Roman" w:hAnsi="Times New Roman" w:cs="Times New Roman"/>
          <w:b/>
          <w:sz w:val="24"/>
          <w:szCs w:val="24"/>
          <w:lang w:val="ro-RO"/>
        </w:rPr>
      </w:pPr>
      <w:r w:rsidRPr="00EA0E29">
        <w:rPr>
          <w:rFonts w:ascii="Times New Roman" w:hAnsi="Times New Roman" w:cs="Times New Roman"/>
          <w:b/>
          <w:sz w:val="24"/>
          <w:szCs w:val="24"/>
          <w:lang w:val="ro-RO"/>
        </w:rPr>
        <w:t>după tipul procedurii de achiziție</w:t>
      </w:r>
      <w:r w:rsidR="00C0385C" w:rsidRPr="00EA0E29">
        <w:rPr>
          <w:rFonts w:ascii="Times New Roman" w:hAnsi="Times New Roman" w:cs="Times New Roman"/>
          <w:b/>
          <w:sz w:val="24"/>
          <w:szCs w:val="24"/>
          <w:lang w:val="ro-RO"/>
        </w:rPr>
        <w:t xml:space="preserve"> (contracte încheiate pe an calendaristic)</w:t>
      </w:r>
    </w:p>
    <w:p w14:paraId="0B7463F0" w14:textId="44FB2871" w:rsidR="00EA0E29" w:rsidRDefault="00EA0E29" w:rsidP="00EA0E29">
      <w:pPr>
        <w:spacing w:after="0"/>
        <w:jc w:val="right"/>
        <w:rPr>
          <w:rFonts w:ascii="Times New Roman" w:hAnsi="Times New Roman" w:cs="Times New Roman"/>
          <w:b/>
          <w:sz w:val="24"/>
          <w:szCs w:val="24"/>
          <w:lang w:val="ro-RO"/>
        </w:rPr>
      </w:pPr>
    </w:p>
    <w:p w14:paraId="724B3F5B" w14:textId="77777777" w:rsidR="00EA0E29" w:rsidRPr="00EA0E29" w:rsidRDefault="00EA0E29" w:rsidP="00EA0E29">
      <w:pPr>
        <w:spacing w:after="0"/>
        <w:jc w:val="right"/>
        <w:rPr>
          <w:rFonts w:ascii="Times New Roman" w:hAnsi="Times New Roman" w:cs="Times New Roman"/>
          <w:b/>
          <w:sz w:val="24"/>
          <w:szCs w:val="24"/>
          <w:lang w:val="ro-RO"/>
        </w:rPr>
      </w:pPr>
    </w:p>
    <w:tbl>
      <w:tblPr>
        <w:tblW w:w="14736" w:type="dxa"/>
        <w:tblLayout w:type="fixed"/>
        <w:tblLook w:val="04A0" w:firstRow="1" w:lastRow="0" w:firstColumn="1" w:lastColumn="0" w:noHBand="0" w:noVBand="1"/>
      </w:tblPr>
      <w:tblGrid>
        <w:gridCol w:w="1555"/>
        <w:gridCol w:w="784"/>
        <w:gridCol w:w="989"/>
        <w:gridCol w:w="996"/>
        <w:gridCol w:w="843"/>
        <w:gridCol w:w="919"/>
        <w:gridCol w:w="993"/>
        <w:gridCol w:w="836"/>
        <w:gridCol w:w="992"/>
        <w:gridCol w:w="1007"/>
        <w:gridCol w:w="836"/>
        <w:gridCol w:w="992"/>
        <w:gridCol w:w="1013"/>
        <w:gridCol w:w="1132"/>
        <w:gridCol w:w="849"/>
      </w:tblGrid>
      <w:tr w:rsidR="00CB5A72" w:rsidRPr="00650D66" w14:paraId="1E36CC8E" w14:textId="77777777" w:rsidTr="00010E32">
        <w:trPr>
          <w:trHeight w:val="288"/>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04B574"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 xml:space="preserve">Tipul procedurii de achiziție </w:t>
            </w:r>
          </w:p>
        </w:tc>
        <w:tc>
          <w:tcPr>
            <w:tcW w:w="2769"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55B1ED52" w14:textId="77777777" w:rsidR="00CB5A72" w:rsidRPr="00650D66" w:rsidRDefault="00CB5A72" w:rsidP="00010E32">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2019</w:t>
            </w:r>
          </w:p>
        </w:tc>
        <w:tc>
          <w:tcPr>
            <w:tcW w:w="2755"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25EA35E3" w14:textId="77777777" w:rsidR="00CB5A72" w:rsidRPr="00650D66" w:rsidRDefault="00CB5A72" w:rsidP="00010E32">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Anul 2020</w:t>
            </w:r>
          </w:p>
        </w:tc>
        <w:tc>
          <w:tcPr>
            <w:tcW w:w="2835"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2209CD" w14:textId="77777777" w:rsidR="00CB5A72" w:rsidRPr="00650D66" w:rsidRDefault="00CB5A72" w:rsidP="00010E32">
            <w:pPr>
              <w:spacing w:after="0" w:line="240" w:lineRule="auto"/>
              <w:jc w:val="center"/>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Anul 2021</w:t>
            </w:r>
          </w:p>
        </w:tc>
        <w:tc>
          <w:tcPr>
            <w:tcW w:w="2841" w:type="dxa"/>
            <w:gridSpan w:val="3"/>
            <w:tcBorders>
              <w:top w:val="single" w:sz="4" w:space="0" w:color="auto"/>
              <w:left w:val="nil"/>
              <w:bottom w:val="single" w:sz="4" w:space="0" w:color="auto"/>
              <w:right w:val="nil"/>
            </w:tcBorders>
            <w:shd w:val="clear" w:color="000000" w:fill="BFBFBF"/>
            <w:noWrap/>
            <w:vAlign w:val="bottom"/>
            <w:hideMark/>
          </w:tcPr>
          <w:p w14:paraId="25DECA20" w14:textId="77777777" w:rsidR="00CB5A72" w:rsidRPr="00650D66" w:rsidRDefault="00CB5A72" w:rsidP="00010E32">
            <w:pPr>
              <w:spacing w:after="0" w:line="240" w:lineRule="auto"/>
              <w:jc w:val="center"/>
              <w:rPr>
                <w:rFonts w:ascii="Times New Roman" w:eastAsia="Times New Roman" w:hAnsi="Times New Roman" w:cs="Times New Roman"/>
                <w:b/>
                <w:color w:val="000000"/>
                <w:sz w:val="20"/>
                <w:szCs w:val="20"/>
                <w:lang w:val="ro-RO"/>
              </w:rPr>
            </w:pPr>
            <w:r w:rsidRPr="00650D66">
              <w:rPr>
                <w:rFonts w:ascii="Times New Roman" w:eastAsia="Times New Roman" w:hAnsi="Times New Roman" w:cs="Times New Roman"/>
                <w:b/>
                <w:color w:val="000000"/>
                <w:sz w:val="20"/>
                <w:szCs w:val="20"/>
                <w:lang w:val="ro-RO"/>
              </w:rPr>
              <w:t>Anul 2022</w:t>
            </w:r>
          </w:p>
        </w:tc>
        <w:tc>
          <w:tcPr>
            <w:tcW w:w="1132" w:type="dxa"/>
            <w:tcBorders>
              <w:top w:val="single" w:sz="4" w:space="0" w:color="auto"/>
              <w:left w:val="nil"/>
              <w:bottom w:val="single" w:sz="4" w:space="0" w:color="auto"/>
              <w:right w:val="nil"/>
            </w:tcBorders>
            <w:shd w:val="clear" w:color="000000" w:fill="FFFFFF"/>
            <w:noWrap/>
            <w:vAlign w:val="bottom"/>
            <w:hideMark/>
          </w:tcPr>
          <w:p w14:paraId="6EFD007E"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c>
          <w:tcPr>
            <w:tcW w:w="849" w:type="dxa"/>
            <w:tcBorders>
              <w:top w:val="single" w:sz="4" w:space="0" w:color="auto"/>
              <w:left w:val="nil"/>
              <w:bottom w:val="single" w:sz="4" w:space="0" w:color="auto"/>
              <w:right w:val="single" w:sz="4" w:space="0" w:color="auto"/>
            </w:tcBorders>
            <w:shd w:val="clear" w:color="000000" w:fill="FFFFFF"/>
            <w:noWrap/>
            <w:vAlign w:val="bottom"/>
            <w:hideMark/>
          </w:tcPr>
          <w:p w14:paraId="7B08DDED" w14:textId="77777777" w:rsidR="00CB5A72" w:rsidRPr="00650D66" w:rsidRDefault="00CB5A72" w:rsidP="00010E32">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w:t>
            </w:r>
          </w:p>
        </w:tc>
      </w:tr>
      <w:tr w:rsidR="00CB5A72" w:rsidRPr="00650D66" w14:paraId="7103CEE4" w14:textId="77777777" w:rsidTr="00010E32">
        <w:trPr>
          <w:trHeight w:val="138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37521603" w14:textId="77777777" w:rsidR="00CB5A72" w:rsidRPr="00650D66" w:rsidRDefault="00CB5A72" w:rsidP="00010E32">
            <w:pPr>
              <w:spacing w:after="0" w:line="240" w:lineRule="auto"/>
              <w:rPr>
                <w:rFonts w:ascii="Times New Roman" w:eastAsia="Times New Roman" w:hAnsi="Times New Roman" w:cs="Times New Roman"/>
                <w:b/>
                <w:bCs/>
                <w:color w:val="3F3F3F"/>
                <w:sz w:val="20"/>
                <w:szCs w:val="20"/>
                <w:lang w:val="ro-RO"/>
              </w:rPr>
            </w:pPr>
          </w:p>
        </w:tc>
        <w:tc>
          <w:tcPr>
            <w:tcW w:w="784" w:type="dxa"/>
            <w:tcBorders>
              <w:top w:val="nil"/>
              <w:left w:val="nil"/>
              <w:bottom w:val="single" w:sz="4" w:space="0" w:color="auto"/>
              <w:right w:val="single" w:sz="4" w:space="0" w:color="auto"/>
            </w:tcBorders>
            <w:shd w:val="clear" w:color="auto" w:fill="auto"/>
            <w:vAlign w:val="center"/>
            <w:hideMark/>
          </w:tcPr>
          <w:p w14:paraId="6323544B"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Nr. contractelor</w:t>
            </w:r>
          </w:p>
        </w:tc>
        <w:tc>
          <w:tcPr>
            <w:tcW w:w="989" w:type="dxa"/>
            <w:tcBorders>
              <w:top w:val="nil"/>
              <w:left w:val="nil"/>
              <w:bottom w:val="single" w:sz="4" w:space="0" w:color="auto"/>
              <w:right w:val="single" w:sz="4" w:space="0" w:color="auto"/>
            </w:tcBorders>
            <w:shd w:val="clear" w:color="auto" w:fill="auto"/>
            <w:vAlign w:val="center"/>
            <w:hideMark/>
          </w:tcPr>
          <w:p w14:paraId="5D65ADF7"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contractată (mii lei)</w:t>
            </w:r>
          </w:p>
        </w:tc>
        <w:tc>
          <w:tcPr>
            <w:tcW w:w="996" w:type="dxa"/>
            <w:tcBorders>
              <w:top w:val="nil"/>
              <w:left w:val="nil"/>
              <w:bottom w:val="single" w:sz="4" w:space="0" w:color="auto"/>
              <w:right w:val="single" w:sz="4" w:space="0" w:color="auto"/>
            </w:tcBorders>
            <w:shd w:val="clear" w:color="auto" w:fill="auto"/>
            <w:vAlign w:val="center"/>
            <w:hideMark/>
          </w:tcPr>
          <w:p w14:paraId="20CFCC13"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executată (mii lei)</w:t>
            </w:r>
          </w:p>
        </w:tc>
        <w:tc>
          <w:tcPr>
            <w:tcW w:w="843" w:type="dxa"/>
            <w:tcBorders>
              <w:top w:val="nil"/>
              <w:left w:val="nil"/>
              <w:bottom w:val="single" w:sz="4" w:space="0" w:color="auto"/>
              <w:right w:val="single" w:sz="4" w:space="0" w:color="auto"/>
            </w:tcBorders>
            <w:shd w:val="clear" w:color="auto" w:fill="auto"/>
            <w:vAlign w:val="center"/>
            <w:hideMark/>
          </w:tcPr>
          <w:p w14:paraId="5ED4CB98"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Nr. contractelor</w:t>
            </w:r>
          </w:p>
        </w:tc>
        <w:tc>
          <w:tcPr>
            <w:tcW w:w="919" w:type="dxa"/>
            <w:tcBorders>
              <w:top w:val="nil"/>
              <w:left w:val="nil"/>
              <w:bottom w:val="single" w:sz="4" w:space="0" w:color="auto"/>
              <w:right w:val="single" w:sz="4" w:space="0" w:color="auto"/>
            </w:tcBorders>
            <w:shd w:val="clear" w:color="auto" w:fill="auto"/>
            <w:vAlign w:val="center"/>
            <w:hideMark/>
          </w:tcPr>
          <w:p w14:paraId="24936621"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contractată (mii lei)</w:t>
            </w:r>
          </w:p>
        </w:tc>
        <w:tc>
          <w:tcPr>
            <w:tcW w:w="993" w:type="dxa"/>
            <w:tcBorders>
              <w:top w:val="nil"/>
              <w:left w:val="nil"/>
              <w:bottom w:val="single" w:sz="4" w:space="0" w:color="auto"/>
              <w:right w:val="single" w:sz="4" w:space="0" w:color="auto"/>
            </w:tcBorders>
            <w:shd w:val="clear" w:color="auto" w:fill="auto"/>
            <w:vAlign w:val="center"/>
            <w:hideMark/>
          </w:tcPr>
          <w:p w14:paraId="45C1C6A5"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executată (mii lei)</w:t>
            </w:r>
          </w:p>
        </w:tc>
        <w:tc>
          <w:tcPr>
            <w:tcW w:w="836" w:type="dxa"/>
            <w:tcBorders>
              <w:top w:val="nil"/>
              <w:left w:val="nil"/>
              <w:bottom w:val="single" w:sz="4" w:space="0" w:color="auto"/>
              <w:right w:val="single" w:sz="4" w:space="0" w:color="auto"/>
            </w:tcBorders>
            <w:shd w:val="clear" w:color="auto" w:fill="auto"/>
            <w:vAlign w:val="center"/>
            <w:hideMark/>
          </w:tcPr>
          <w:p w14:paraId="35EE8CCC"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Nr. contractelor</w:t>
            </w:r>
          </w:p>
        </w:tc>
        <w:tc>
          <w:tcPr>
            <w:tcW w:w="992" w:type="dxa"/>
            <w:tcBorders>
              <w:top w:val="nil"/>
              <w:left w:val="nil"/>
              <w:bottom w:val="single" w:sz="4" w:space="0" w:color="auto"/>
              <w:right w:val="single" w:sz="4" w:space="0" w:color="auto"/>
            </w:tcBorders>
            <w:shd w:val="clear" w:color="auto" w:fill="auto"/>
            <w:vAlign w:val="center"/>
            <w:hideMark/>
          </w:tcPr>
          <w:p w14:paraId="1B9C3452"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contractată (mii lei)</w:t>
            </w:r>
          </w:p>
        </w:tc>
        <w:tc>
          <w:tcPr>
            <w:tcW w:w="1007" w:type="dxa"/>
            <w:tcBorders>
              <w:top w:val="nil"/>
              <w:left w:val="nil"/>
              <w:bottom w:val="single" w:sz="4" w:space="0" w:color="auto"/>
              <w:right w:val="single" w:sz="4" w:space="0" w:color="auto"/>
            </w:tcBorders>
            <w:shd w:val="clear" w:color="auto" w:fill="auto"/>
            <w:vAlign w:val="center"/>
            <w:hideMark/>
          </w:tcPr>
          <w:p w14:paraId="528FE8D5"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executată (mii lei)</w:t>
            </w:r>
          </w:p>
        </w:tc>
        <w:tc>
          <w:tcPr>
            <w:tcW w:w="836" w:type="dxa"/>
            <w:tcBorders>
              <w:top w:val="nil"/>
              <w:left w:val="nil"/>
              <w:bottom w:val="single" w:sz="4" w:space="0" w:color="auto"/>
              <w:right w:val="single" w:sz="4" w:space="0" w:color="auto"/>
            </w:tcBorders>
            <w:shd w:val="clear" w:color="auto" w:fill="auto"/>
            <w:vAlign w:val="center"/>
            <w:hideMark/>
          </w:tcPr>
          <w:p w14:paraId="75E4124F"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Nr. contractelor</w:t>
            </w:r>
          </w:p>
        </w:tc>
        <w:tc>
          <w:tcPr>
            <w:tcW w:w="992" w:type="dxa"/>
            <w:tcBorders>
              <w:top w:val="nil"/>
              <w:left w:val="nil"/>
              <w:bottom w:val="single" w:sz="4" w:space="0" w:color="auto"/>
              <w:right w:val="single" w:sz="4" w:space="0" w:color="auto"/>
            </w:tcBorders>
            <w:shd w:val="clear" w:color="auto" w:fill="auto"/>
            <w:vAlign w:val="center"/>
            <w:hideMark/>
          </w:tcPr>
          <w:p w14:paraId="499F6639"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contractată (mii lei)</w:t>
            </w:r>
          </w:p>
        </w:tc>
        <w:tc>
          <w:tcPr>
            <w:tcW w:w="1013" w:type="dxa"/>
            <w:tcBorders>
              <w:top w:val="nil"/>
              <w:left w:val="nil"/>
              <w:bottom w:val="single" w:sz="4" w:space="0" w:color="auto"/>
              <w:right w:val="single" w:sz="4" w:space="0" w:color="auto"/>
            </w:tcBorders>
            <w:shd w:val="clear" w:color="auto" w:fill="auto"/>
            <w:vAlign w:val="center"/>
            <w:hideMark/>
          </w:tcPr>
          <w:p w14:paraId="03216690"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Valoarea executată (mii lei)</w:t>
            </w:r>
          </w:p>
        </w:tc>
        <w:tc>
          <w:tcPr>
            <w:tcW w:w="1132" w:type="dxa"/>
            <w:tcBorders>
              <w:top w:val="nil"/>
              <w:left w:val="nil"/>
              <w:bottom w:val="single" w:sz="4" w:space="0" w:color="auto"/>
              <w:right w:val="single" w:sz="4" w:space="0" w:color="auto"/>
            </w:tcBorders>
            <w:shd w:val="clear" w:color="auto" w:fill="auto"/>
            <w:vAlign w:val="center"/>
            <w:hideMark/>
          </w:tcPr>
          <w:p w14:paraId="33684B39" w14:textId="77777777" w:rsidR="00CB5A72" w:rsidRPr="00650D66" w:rsidRDefault="00CB5A72" w:rsidP="00010E32">
            <w:pPr>
              <w:spacing w:after="0" w:line="240" w:lineRule="auto"/>
              <w:jc w:val="center"/>
              <w:rPr>
                <w:rFonts w:ascii="Times New Roman" w:eastAsia="Times New Roman" w:hAnsi="Times New Roman" w:cs="Times New Roman"/>
                <w:b/>
                <w:bCs/>
                <w:color w:val="3F3F3F"/>
                <w:sz w:val="20"/>
                <w:szCs w:val="20"/>
                <w:lang w:val="ro-RO"/>
              </w:rPr>
            </w:pPr>
            <w:r w:rsidRPr="00650D66">
              <w:rPr>
                <w:rFonts w:ascii="Times New Roman" w:eastAsia="Times New Roman" w:hAnsi="Times New Roman" w:cs="Times New Roman"/>
                <w:b/>
                <w:bCs/>
                <w:color w:val="3F3F3F"/>
                <w:sz w:val="20"/>
                <w:szCs w:val="20"/>
                <w:lang w:val="ro-RO"/>
              </w:rPr>
              <w:t>Total executat (mii lei)</w:t>
            </w:r>
          </w:p>
        </w:tc>
        <w:tc>
          <w:tcPr>
            <w:tcW w:w="849" w:type="dxa"/>
            <w:tcBorders>
              <w:top w:val="nil"/>
              <w:left w:val="nil"/>
              <w:bottom w:val="single" w:sz="4" w:space="0" w:color="auto"/>
              <w:right w:val="single" w:sz="4" w:space="0" w:color="auto"/>
            </w:tcBorders>
            <w:shd w:val="clear" w:color="auto" w:fill="auto"/>
            <w:vAlign w:val="center"/>
            <w:hideMark/>
          </w:tcPr>
          <w:p w14:paraId="431AAA4B" w14:textId="77777777" w:rsidR="00CB5A72" w:rsidRPr="00650D66" w:rsidRDefault="00CB5A72" w:rsidP="00010E32">
            <w:pPr>
              <w:spacing w:after="0" w:line="240" w:lineRule="auto"/>
              <w:jc w:val="center"/>
              <w:rPr>
                <w:rFonts w:ascii="Times New Roman" w:eastAsia="Times New Roman" w:hAnsi="Times New Roman" w:cs="Times New Roman"/>
                <w:i/>
                <w:iCs/>
                <w:color w:val="3F3F3F"/>
                <w:sz w:val="20"/>
                <w:szCs w:val="20"/>
                <w:lang w:val="ro-RO"/>
              </w:rPr>
            </w:pPr>
            <w:r w:rsidRPr="00650D66">
              <w:rPr>
                <w:rFonts w:ascii="Times New Roman" w:eastAsia="Times New Roman" w:hAnsi="Times New Roman" w:cs="Times New Roman"/>
                <w:i/>
                <w:iCs/>
                <w:color w:val="3F3F3F"/>
                <w:sz w:val="20"/>
                <w:szCs w:val="20"/>
                <w:lang w:val="ro-RO"/>
              </w:rPr>
              <w:t>Ponderea în totalul achizițiilor, %</w:t>
            </w:r>
          </w:p>
        </w:tc>
      </w:tr>
      <w:tr w:rsidR="00CB5A72" w:rsidRPr="00650D66" w14:paraId="78BD7BCC" w14:textId="77777777" w:rsidTr="00010E32">
        <w:trPr>
          <w:trHeight w:val="288"/>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3A250441" w14:textId="77777777" w:rsidR="00CB5A72" w:rsidRPr="00650D66" w:rsidRDefault="00CB5A72" w:rsidP="00010E32">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 xml:space="preserve">Negociere fără publicare </w:t>
            </w:r>
          </w:p>
        </w:tc>
        <w:tc>
          <w:tcPr>
            <w:tcW w:w="784" w:type="dxa"/>
            <w:tcBorders>
              <w:top w:val="nil"/>
              <w:left w:val="nil"/>
              <w:bottom w:val="single" w:sz="4" w:space="0" w:color="auto"/>
              <w:right w:val="single" w:sz="4" w:space="0" w:color="auto"/>
            </w:tcBorders>
            <w:shd w:val="clear" w:color="auto" w:fill="auto"/>
            <w:noWrap/>
            <w:vAlign w:val="bottom"/>
            <w:hideMark/>
          </w:tcPr>
          <w:p w14:paraId="3920FC2B"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w:t>
            </w:r>
          </w:p>
        </w:tc>
        <w:tc>
          <w:tcPr>
            <w:tcW w:w="989" w:type="dxa"/>
            <w:tcBorders>
              <w:top w:val="nil"/>
              <w:left w:val="nil"/>
              <w:bottom w:val="single" w:sz="4" w:space="0" w:color="auto"/>
              <w:right w:val="single" w:sz="4" w:space="0" w:color="auto"/>
            </w:tcBorders>
            <w:shd w:val="clear" w:color="auto" w:fill="auto"/>
            <w:noWrap/>
            <w:vAlign w:val="bottom"/>
            <w:hideMark/>
          </w:tcPr>
          <w:p w14:paraId="4176CD32"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6.381,7</w:t>
            </w:r>
          </w:p>
        </w:tc>
        <w:tc>
          <w:tcPr>
            <w:tcW w:w="996" w:type="dxa"/>
            <w:tcBorders>
              <w:top w:val="nil"/>
              <w:left w:val="nil"/>
              <w:bottom w:val="single" w:sz="4" w:space="0" w:color="auto"/>
              <w:right w:val="single" w:sz="4" w:space="0" w:color="auto"/>
            </w:tcBorders>
            <w:shd w:val="clear" w:color="auto" w:fill="auto"/>
            <w:noWrap/>
            <w:vAlign w:val="bottom"/>
            <w:hideMark/>
          </w:tcPr>
          <w:p w14:paraId="05AACD43"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4.803,6</w:t>
            </w:r>
          </w:p>
        </w:tc>
        <w:tc>
          <w:tcPr>
            <w:tcW w:w="843" w:type="dxa"/>
            <w:tcBorders>
              <w:top w:val="nil"/>
              <w:left w:val="nil"/>
              <w:bottom w:val="single" w:sz="4" w:space="0" w:color="auto"/>
              <w:right w:val="single" w:sz="4" w:space="0" w:color="auto"/>
            </w:tcBorders>
            <w:shd w:val="clear" w:color="auto" w:fill="auto"/>
            <w:noWrap/>
            <w:vAlign w:val="bottom"/>
            <w:hideMark/>
          </w:tcPr>
          <w:p w14:paraId="04912B81"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919" w:type="dxa"/>
            <w:tcBorders>
              <w:top w:val="nil"/>
              <w:left w:val="nil"/>
              <w:bottom w:val="single" w:sz="4" w:space="0" w:color="auto"/>
              <w:right w:val="single" w:sz="4" w:space="0" w:color="auto"/>
            </w:tcBorders>
            <w:shd w:val="clear" w:color="auto" w:fill="auto"/>
            <w:noWrap/>
            <w:vAlign w:val="bottom"/>
            <w:hideMark/>
          </w:tcPr>
          <w:p w14:paraId="503EB520"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5.639,4</w:t>
            </w:r>
          </w:p>
        </w:tc>
        <w:tc>
          <w:tcPr>
            <w:tcW w:w="993" w:type="dxa"/>
            <w:tcBorders>
              <w:top w:val="nil"/>
              <w:left w:val="nil"/>
              <w:bottom w:val="single" w:sz="4" w:space="0" w:color="auto"/>
              <w:right w:val="single" w:sz="4" w:space="0" w:color="auto"/>
            </w:tcBorders>
            <w:shd w:val="clear" w:color="auto" w:fill="auto"/>
            <w:noWrap/>
            <w:vAlign w:val="bottom"/>
            <w:hideMark/>
          </w:tcPr>
          <w:p w14:paraId="10B76E7C"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5.832,3</w:t>
            </w:r>
          </w:p>
        </w:tc>
        <w:tc>
          <w:tcPr>
            <w:tcW w:w="836" w:type="dxa"/>
            <w:tcBorders>
              <w:top w:val="nil"/>
              <w:left w:val="nil"/>
              <w:bottom w:val="single" w:sz="4" w:space="0" w:color="auto"/>
              <w:right w:val="single" w:sz="4" w:space="0" w:color="auto"/>
            </w:tcBorders>
            <w:shd w:val="clear" w:color="auto" w:fill="auto"/>
            <w:noWrap/>
            <w:vAlign w:val="bottom"/>
            <w:hideMark/>
          </w:tcPr>
          <w:p w14:paraId="68164710"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w:t>
            </w:r>
          </w:p>
        </w:tc>
        <w:tc>
          <w:tcPr>
            <w:tcW w:w="992" w:type="dxa"/>
            <w:tcBorders>
              <w:top w:val="nil"/>
              <w:left w:val="nil"/>
              <w:bottom w:val="single" w:sz="4" w:space="0" w:color="auto"/>
              <w:right w:val="single" w:sz="4" w:space="0" w:color="auto"/>
            </w:tcBorders>
            <w:shd w:val="clear" w:color="auto" w:fill="auto"/>
            <w:noWrap/>
            <w:vAlign w:val="bottom"/>
            <w:hideMark/>
          </w:tcPr>
          <w:p w14:paraId="39B11D9C"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15.847,8</w:t>
            </w:r>
          </w:p>
        </w:tc>
        <w:tc>
          <w:tcPr>
            <w:tcW w:w="1007" w:type="dxa"/>
            <w:tcBorders>
              <w:top w:val="nil"/>
              <w:left w:val="nil"/>
              <w:bottom w:val="single" w:sz="4" w:space="0" w:color="auto"/>
              <w:right w:val="single" w:sz="4" w:space="0" w:color="auto"/>
            </w:tcBorders>
            <w:shd w:val="clear" w:color="auto" w:fill="auto"/>
            <w:noWrap/>
            <w:vAlign w:val="bottom"/>
            <w:hideMark/>
          </w:tcPr>
          <w:p w14:paraId="5AC9B99E"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4.698,4</w:t>
            </w:r>
          </w:p>
        </w:tc>
        <w:tc>
          <w:tcPr>
            <w:tcW w:w="836" w:type="dxa"/>
            <w:tcBorders>
              <w:top w:val="nil"/>
              <w:left w:val="nil"/>
              <w:bottom w:val="single" w:sz="4" w:space="0" w:color="auto"/>
              <w:right w:val="single" w:sz="4" w:space="0" w:color="auto"/>
            </w:tcBorders>
            <w:shd w:val="clear" w:color="auto" w:fill="auto"/>
            <w:noWrap/>
            <w:vAlign w:val="bottom"/>
            <w:hideMark/>
          </w:tcPr>
          <w:p w14:paraId="07E2DB56"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w:t>
            </w:r>
          </w:p>
        </w:tc>
        <w:tc>
          <w:tcPr>
            <w:tcW w:w="992" w:type="dxa"/>
            <w:tcBorders>
              <w:top w:val="nil"/>
              <w:left w:val="nil"/>
              <w:bottom w:val="single" w:sz="4" w:space="0" w:color="auto"/>
              <w:right w:val="single" w:sz="4" w:space="0" w:color="auto"/>
            </w:tcBorders>
            <w:shd w:val="clear" w:color="auto" w:fill="auto"/>
            <w:noWrap/>
            <w:vAlign w:val="bottom"/>
            <w:hideMark/>
          </w:tcPr>
          <w:p w14:paraId="25052C2A"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6.617,2</w:t>
            </w:r>
          </w:p>
        </w:tc>
        <w:tc>
          <w:tcPr>
            <w:tcW w:w="1013" w:type="dxa"/>
            <w:tcBorders>
              <w:top w:val="nil"/>
              <w:left w:val="nil"/>
              <w:bottom w:val="single" w:sz="4" w:space="0" w:color="auto"/>
              <w:right w:val="single" w:sz="4" w:space="0" w:color="auto"/>
            </w:tcBorders>
            <w:shd w:val="clear" w:color="auto" w:fill="auto"/>
            <w:noWrap/>
            <w:vAlign w:val="bottom"/>
            <w:hideMark/>
          </w:tcPr>
          <w:p w14:paraId="527C0A65"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5.007,0</w:t>
            </w:r>
          </w:p>
        </w:tc>
        <w:tc>
          <w:tcPr>
            <w:tcW w:w="1132" w:type="dxa"/>
            <w:tcBorders>
              <w:top w:val="nil"/>
              <w:left w:val="nil"/>
              <w:bottom w:val="single" w:sz="4" w:space="0" w:color="auto"/>
              <w:right w:val="single" w:sz="4" w:space="0" w:color="auto"/>
            </w:tcBorders>
            <w:shd w:val="clear" w:color="auto" w:fill="auto"/>
            <w:noWrap/>
            <w:vAlign w:val="bottom"/>
            <w:hideMark/>
          </w:tcPr>
          <w:p w14:paraId="7BA794F0"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20.341,3</w:t>
            </w:r>
          </w:p>
        </w:tc>
        <w:tc>
          <w:tcPr>
            <w:tcW w:w="849" w:type="dxa"/>
            <w:tcBorders>
              <w:top w:val="nil"/>
              <w:left w:val="nil"/>
              <w:bottom w:val="single" w:sz="4" w:space="0" w:color="auto"/>
              <w:right w:val="single" w:sz="4" w:space="0" w:color="auto"/>
            </w:tcBorders>
            <w:shd w:val="clear" w:color="auto" w:fill="auto"/>
            <w:noWrap/>
            <w:vAlign w:val="bottom"/>
            <w:hideMark/>
          </w:tcPr>
          <w:p w14:paraId="6709A9A1" w14:textId="77777777" w:rsidR="00CB5A72" w:rsidRPr="00650D66" w:rsidRDefault="00CB5A72" w:rsidP="00010E32">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14,1%</w:t>
            </w:r>
          </w:p>
        </w:tc>
      </w:tr>
      <w:tr w:rsidR="00CB5A72" w:rsidRPr="00650D66" w14:paraId="6C9158BE" w14:textId="77777777" w:rsidTr="00010E3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8433A0C" w14:textId="77777777" w:rsidR="00CB5A72" w:rsidRPr="00650D66" w:rsidRDefault="00CB5A72" w:rsidP="00010E32">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Cererea ofertelor de prețuri</w:t>
            </w:r>
          </w:p>
        </w:tc>
        <w:tc>
          <w:tcPr>
            <w:tcW w:w="784" w:type="dxa"/>
            <w:tcBorders>
              <w:top w:val="nil"/>
              <w:left w:val="nil"/>
              <w:bottom w:val="single" w:sz="4" w:space="0" w:color="auto"/>
              <w:right w:val="single" w:sz="4" w:space="0" w:color="auto"/>
            </w:tcBorders>
            <w:shd w:val="clear" w:color="auto" w:fill="auto"/>
            <w:noWrap/>
            <w:vAlign w:val="bottom"/>
            <w:hideMark/>
          </w:tcPr>
          <w:p w14:paraId="6616986D"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13</w:t>
            </w:r>
          </w:p>
        </w:tc>
        <w:tc>
          <w:tcPr>
            <w:tcW w:w="989" w:type="dxa"/>
            <w:tcBorders>
              <w:top w:val="nil"/>
              <w:left w:val="nil"/>
              <w:bottom w:val="single" w:sz="4" w:space="0" w:color="auto"/>
              <w:right w:val="single" w:sz="4" w:space="0" w:color="auto"/>
            </w:tcBorders>
            <w:shd w:val="clear" w:color="auto" w:fill="auto"/>
            <w:noWrap/>
            <w:vAlign w:val="bottom"/>
            <w:hideMark/>
          </w:tcPr>
          <w:p w14:paraId="0BE28509"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2.744,1</w:t>
            </w:r>
          </w:p>
        </w:tc>
        <w:tc>
          <w:tcPr>
            <w:tcW w:w="996" w:type="dxa"/>
            <w:tcBorders>
              <w:top w:val="nil"/>
              <w:left w:val="nil"/>
              <w:bottom w:val="single" w:sz="4" w:space="0" w:color="auto"/>
              <w:right w:val="single" w:sz="4" w:space="0" w:color="auto"/>
            </w:tcBorders>
            <w:shd w:val="clear" w:color="auto" w:fill="auto"/>
            <w:noWrap/>
            <w:vAlign w:val="bottom"/>
            <w:hideMark/>
          </w:tcPr>
          <w:p w14:paraId="0C167247"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1.967,3</w:t>
            </w:r>
          </w:p>
        </w:tc>
        <w:tc>
          <w:tcPr>
            <w:tcW w:w="843" w:type="dxa"/>
            <w:tcBorders>
              <w:top w:val="nil"/>
              <w:left w:val="nil"/>
              <w:bottom w:val="single" w:sz="4" w:space="0" w:color="auto"/>
              <w:right w:val="single" w:sz="4" w:space="0" w:color="auto"/>
            </w:tcBorders>
            <w:shd w:val="clear" w:color="auto" w:fill="auto"/>
            <w:noWrap/>
            <w:vAlign w:val="bottom"/>
            <w:hideMark/>
          </w:tcPr>
          <w:p w14:paraId="542AD69F"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w:t>
            </w:r>
          </w:p>
        </w:tc>
        <w:tc>
          <w:tcPr>
            <w:tcW w:w="919" w:type="dxa"/>
            <w:tcBorders>
              <w:top w:val="nil"/>
              <w:left w:val="nil"/>
              <w:bottom w:val="single" w:sz="4" w:space="0" w:color="auto"/>
              <w:right w:val="single" w:sz="4" w:space="0" w:color="auto"/>
            </w:tcBorders>
            <w:shd w:val="clear" w:color="auto" w:fill="auto"/>
            <w:noWrap/>
            <w:vAlign w:val="bottom"/>
            <w:hideMark/>
          </w:tcPr>
          <w:p w14:paraId="0A7880E2"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3.561,4</w:t>
            </w:r>
          </w:p>
        </w:tc>
        <w:tc>
          <w:tcPr>
            <w:tcW w:w="993" w:type="dxa"/>
            <w:tcBorders>
              <w:top w:val="nil"/>
              <w:left w:val="nil"/>
              <w:bottom w:val="single" w:sz="4" w:space="0" w:color="auto"/>
              <w:right w:val="single" w:sz="4" w:space="0" w:color="auto"/>
            </w:tcBorders>
            <w:shd w:val="clear" w:color="auto" w:fill="auto"/>
            <w:noWrap/>
            <w:vAlign w:val="bottom"/>
            <w:hideMark/>
          </w:tcPr>
          <w:p w14:paraId="4BF51FE3"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3.116,9</w:t>
            </w:r>
          </w:p>
        </w:tc>
        <w:tc>
          <w:tcPr>
            <w:tcW w:w="836" w:type="dxa"/>
            <w:tcBorders>
              <w:top w:val="nil"/>
              <w:left w:val="nil"/>
              <w:bottom w:val="single" w:sz="4" w:space="0" w:color="auto"/>
              <w:right w:val="single" w:sz="4" w:space="0" w:color="auto"/>
            </w:tcBorders>
            <w:shd w:val="clear" w:color="auto" w:fill="auto"/>
            <w:noWrap/>
            <w:vAlign w:val="bottom"/>
            <w:hideMark/>
          </w:tcPr>
          <w:p w14:paraId="15D533BD"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w:t>
            </w:r>
          </w:p>
        </w:tc>
        <w:tc>
          <w:tcPr>
            <w:tcW w:w="992" w:type="dxa"/>
            <w:tcBorders>
              <w:top w:val="nil"/>
              <w:left w:val="nil"/>
              <w:bottom w:val="single" w:sz="4" w:space="0" w:color="auto"/>
              <w:right w:val="single" w:sz="4" w:space="0" w:color="auto"/>
            </w:tcBorders>
            <w:shd w:val="clear" w:color="auto" w:fill="auto"/>
            <w:noWrap/>
            <w:vAlign w:val="bottom"/>
            <w:hideMark/>
          </w:tcPr>
          <w:p w14:paraId="2F2E9F32"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3.376,6</w:t>
            </w:r>
          </w:p>
        </w:tc>
        <w:tc>
          <w:tcPr>
            <w:tcW w:w="1007" w:type="dxa"/>
            <w:tcBorders>
              <w:top w:val="nil"/>
              <w:left w:val="nil"/>
              <w:bottom w:val="single" w:sz="4" w:space="0" w:color="auto"/>
              <w:right w:val="single" w:sz="4" w:space="0" w:color="auto"/>
            </w:tcBorders>
            <w:shd w:val="clear" w:color="auto" w:fill="auto"/>
            <w:noWrap/>
            <w:vAlign w:val="bottom"/>
            <w:hideMark/>
          </w:tcPr>
          <w:p w14:paraId="2A9E0A39"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3.039,4</w:t>
            </w:r>
          </w:p>
        </w:tc>
        <w:tc>
          <w:tcPr>
            <w:tcW w:w="836" w:type="dxa"/>
            <w:tcBorders>
              <w:top w:val="nil"/>
              <w:left w:val="nil"/>
              <w:bottom w:val="single" w:sz="4" w:space="0" w:color="auto"/>
              <w:right w:val="single" w:sz="4" w:space="0" w:color="auto"/>
            </w:tcBorders>
            <w:shd w:val="clear" w:color="auto" w:fill="auto"/>
            <w:noWrap/>
            <w:vAlign w:val="bottom"/>
            <w:hideMark/>
          </w:tcPr>
          <w:p w14:paraId="0BFAE402"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12</w:t>
            </w:r>
          </w:p>
        </w:tc>
        <w:tc>
          <w:tcPr>
            <w:tcW w:w="992" w:type="dxa"/>
            <w:tcBorders>
              <w:top w:val="nil"/>
              <w:left w:val="nil"/>
              <w:bottom w:val="single" w:sz="4" w:space="0" w:color="auto"/>
              <w:right w:val="single" w:sz="4" w:space="0" w:color="auto"/>
            </w:tcBorders>
            <w:shd w:val="clear" w:color="auto" w:fill="auto"/>
            <w:noWrap/>
            <w:vAlign w:val="bottom"/>
            <w:hideMark/>
          </w:tcPr>
          <w:p w14:paraId="3309D627"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2.275,0</w:t>
            </w:r>
          </w:p>
        </w:tc>
        <w:tc>
          <w:tcPr>
            <w:tcW w:w="1013" w:type="dxa"/>
            <w:tcBorders>
              <w:top w:val="nil"/>
              <w:left w:val="nil"/>
              <w:bottom w:val="single" w:sz="4" w:space="0" w:color="auto"/>
              <w:right w:val="single" w:sz="4" w:space="0" w:color="auto"/>
            </w:tcBorders>
            <w:shd w:val="clear" w:color="auto" w:fill="auto"/>
            <w:noWrap/>
            <w:vAlign w:val="bottom"/>
            <w:hideMark/>
          </w:tcPr>
          <w:p w14:paraId="1B695D34"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1.745,0</w:t>
            </w:r>
          </w:p>
        </w:tc>
        <w:tc>
          <w:tcPr>
            <w:tcW w:w="1132" w:type="dxa"/>
            <w:tcBorders>
              <w:top w:val="nil"/>
              <w:left w:val="nil"/>
              <w:bottom w:val="single" w:sz="4" w:space="0" w:color="auto"/>
              <w:right w:val="single" w:sz="4" w:space="0" w:color="auto"/>
            </w:tcBorders>
            <w:shd w:val="clear" w:color="auto" w:fill="auto"/>
            <w:noWrap/>
            <w:vAlign w:val="bottom"/>
            <w:hideMark/>
          </w:tcPr>
          <w:p w14:paraId="34294EDC"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9.868,6</w:t>
            </w:r>
          </w:p>
        </w:tc>
        <w:tc>
          <w:tcPr>
            <w:tcW w:w="849" w:type="dxa"/>
            <w:tcBorders>
              <w:top w:val="nil"/>
              <w:left w:val="nil"/>
              <w:bottom w:val="single" w:sz="4" w:space="0" w:color="auto"/>
              <w:right w:val="single" w:sz="4" w:space="0" w:color="auto"/>
            </w:tcBorders>
            <w:shd w:val="clear" w:color="auto" w:fill="auto"/>
            <w:noWrap/>
            <w:vAlign w:val="bottom"/>
            <w:hideMark/>
          </w:tcPr>
          <w:p w14:paraId="2FC325E4" w14:textId="77777777" w:rsidR="00CB5A72" w:rsidRPr="00650D66" w:rsidRDefault="00CB5A72" w:rsidP="00010E32">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6,8%</w:t>
            </w:r>
          </w:p>
        </w:tc>
      </w:tr>
      <w:tr w:rsidR="00CB5A72" w:rsidRPr="00650D66" w14:paraId="734F2EAC" w14:textId="77777777" w:rsidTr="00010E3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F0664B7" w14:textId="77777777" w:rsidR="00CB5A72" w:rsidRPr="00650D66" w:rsidRDefault="00CB5A72" w:rsidP="00010E32">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Contract de valoare mică</w:t>
            </w:r>
          </w:p>
        </w:tc>
        <w:tc>
          <w:tcPr>
            <w:tcW w:w="784" w:type="dxa"/>
            <w:tcBorders>
              <w:top w:val="nil"/>
              <w:left w:val="nil"/>
              <w:bottom w:val="single" w:sz="4" w:space="0" w:color="auto"/>
              <w:right w:val="single" w:sz="4" w:space="0" w:color="auto"/>
            </w:tcBorders>
            <w:shd w:val="clear" w:color="auto" w:fill="auto"/>
            <w:noWrap/>
            <w:vAlign w:val="bottom"/>
            <w:hideMark/>
          </w:tcPr>
          <w:p w14:paraId="53528557"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314</w:t>
            </w:r>
          </w:p>
        </w:tc>
        <w:tc>
          <w:tcPr>
            <w:tcW w:w="989" w:type="dxa"/>
            <w:tcBorders>
              <w:top w:val="nil"/>
              <w:left w:val="nil"/>
              <w:bottom w:val="single" w:sz="4" w:space="0" w:color="auto"/>
              <w:right w:val="single" w:sz="4" w:space="0" w:color="auto"/>
            </w:tcBorders>
            <w:shd w:val="clear" w:color="auto" w:fill="auto"/>
            <w:noWrap/>
            <w:vAlign w:val="bottom"/>
            <w:hideMark/>
          </w:tcPr>
          <w:p w14:paraId="1FD231AD"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8.752,8</w:t>
            </w:r>
          </w:p>
        </w:tc>
        <w:tc>
          <w:tcPr>
            <w:tcW w:w="996" w:type="dxa"/>
            <w:tcBorders>
              <w:top w:val="nil"/>
              <w:left w:val="nil"/>
              <w:bottom w:val="single" w:sz="4" w:space="0" w:color="auto"/>
              <w:right w:val="single" w:sz="4" w:space="0" w:color="auto"/>
            </w:tcBorders>
            <w:shd w:val="clear" w:color="auto" w:fill="auto"/>
            <w:noWrap/>
            <w:vAlign w:val="bottom"/>
            <w:hideMark/>
          </w:tcPr>
          <w:p w14:paraId="5DC86FDF"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7.439,4</w:t>
            </w:r>
          </w:p>
        </w:tc>
        <w:tc>
          <w:tcPr>
            <w:tcW w:w="843" w:type="dxa"/>
            <w:tcBorders>
              <w:top w:val="nil"/>
              <w:left w:val="nil"/>
              <w:bottom w:val="single" w:sz="4" w:space="0" w:color="auto"/>
              <w:right w:val="single" w:sz="4" w:space="0" w:color="auto"/>
            </w:tcBorders>
            <w:shd w:val="clear" w:color="auto" w:fill="auto"/>
            <w:noWrap/>
            <w:vAlign w:val="bottom"/>
            <w:hideMark/>
          </w:tcPr>
          <w:p w14:paraId="6D78966D"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157</w:t>
            </w:r>
          </w:p>
        </w:tc>
        <w:tc>
          <w:tcPr>
            <w:tcW w:w="919" w:type="dxa"/>
            <w:tcBorders>
              <w:top w:val="nil"/>
              <w:left w:val="nil"/>
              <w:bottom w:val="single" w:sz="4" w:space="0" w:color="auto"/>
              <w:right w:val="single" w:sz="4" w:space="0" w:color="auto"/>
            </w:tcBorders>
            <w:shd w:val="clear" w:color="auto" w:fill="auto"/>
            <w:noWrap/>
            <w:vAlign w:val="bottom"/>
            <w:hideMark/>
          </w:tcPr>
          <w:p w14:paraId="462FBA53"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5.055,6</w:t>
            </w:r>
          </w:p>
        </w:tc>
        <w:tc>
          <w:tcPr>
            <w:tcW w:w="993" w:type="dxa"/>
            <w:tcBorders>
              <w:top w:val="nil"/>
              <w:left w:val="nil"/>
              <w:bottom w:val="single" w:sz="4" w:space="0" w:color="auto"/>
              <w:right w:val="single" w:sz="4" w:space="0" w:color="auto"/>
            </w:tcBorders>
            <w:shd w:val="clear" w:color="auto" w:fill="auto"/>
            <w:noWrap/>
            <w:vAlign w:val="bottom"/>
            <w:hideMark/>
          </w:tcPr>
          <w:p w14:paraId="300BDD31"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4.161,7</w:t>
            </w:r>
          </w:p>
        </w:tc>
        <w:tc>
          <w:tcPr>
            <w:tcW w:w="836" w:type="dxa"/>
            <w:tcBorders>
              <w:top w:val="nil"/>
              <w:left w:val="nil"/>
              <w:bottom w:val="single" w:sz="4" w:space="0" w:color="auto"/>
              <w:right w:val="single" w:sz="4" w:space="0" w:color="auto"/>
            </w:tcBorders>
            <w:shd w:val="clear" w:color="auto" w:fill="auto"/>
            <w:noWrap/>
            <w:vAlign w:val="bottom"/>
            <w:hideMark/>
          </w:tcPr>
          <w:p w14:paraId="52316EE0"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155</w:t>
            </w:r>
          </w:p>
        </w:tc>
        <w:tc>
          <w:tcPr>
            <w:tcW w:w="992" w:type="dxa"/>
            <w:tcBorders>
              <w:top w:val="nil"/>
              <w:left w:val="nil"/>
              <w:bottom w:val="single" w:sz="4" w:space="0" w:color="auto"/>
              <w:right w:val="single" w:sz="4" w:space="0" w:color="auto"/>
            </w:tcBorders>
            <w:shd w:val="clear" w:color="auto" w:fill="auto"/>
            <w:noWrap/>
            <w:vAlign w:val="bottom"/>
            <w:hideMark/>
          </w:tcPr>
          <w:p w14:paraId="4D776B8E"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5.546,4</w:t>
            </w:r>
          </w:p>
        </w:tc>
        <w:tc>
          <w:tcPr>
            <w:tcW w:w="1007" w:type="dxa"/>
            <w:tcBorders>
              <w:top w:val="nil"/>
              <w:left w:val="nil"/>
              <w:bottom w:val="single" w:sz="4" w:space="0" w:color="auto"/>
              <w:right w:val="single" w:sz="4" w:space="0" w:color="auto"/>
            </w:tcBorders>
            <w:shd w:val="clear" w:color="auto" w:fill="auto"/>
            <w:noWrap/>
            <w:vAlign w:val="bottom"/>
            <w:hideMark/>
          </w:tcPr>
          <w:p w14:paraId="7965FACD"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4.042,9</w:t>
            </w:r>
          </w:p>
        </w:tc>
        <w:tc>
          <w:tcPr>
            <w:tcW w:w="836" w:type="dxa"/>
            <w:tcBorders>
              <w:top w:val="nil"/>
              <w:left w:val="nil"/>
              <w:bottom w:val="single" w:sz="4" w:space="0" w:color="auto"/>
              <w:right w:val="single" w:sz="4" w:space="0" w:color="auto"/>
            </w:tcBorders>
            <w:shd w:val="clear" w:color="auto" w:fill="auto"/>
            <w:noWrap/>
            <w:vAlign w:val="bottom"/>
            <w:hideMark/>
          </w:tcPr>
          <w:p w14:paraId="585390F8"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205</w:t>
            </w:r>
          </w:p>
        </w:tc>
        <w:tc>
          <w:tcPr>
            <w:tcW w:w="992" w:type="dxa"/>
            <w:tcBorders>
              <w:top w:val="nil"/>
              <w:left w:val="nil"/>
              <w:bottom w:val="single" w:sz="4" w:space="0" w:color="auto"/>
              <w:right w:val="single" w:sz="4" w:space="0" w:color="auto"/>
            </w:tcBorders>
            <w:shd w:val="clear" w:color="auto" w:fill="auto"/>
            <w:noWrap/>
            <w:vAlign w:val="bottom"/>
            <w:hideMark/>
          </w:tcPr>
          <w:p w14:paraId="18ED55BC"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7.881,1</w:t>
            </w:r>
          </w:p>
        </w:tc>
        <w:tc>
          <w:tcPr>
            <w:tcW w:w="1013" w:type="dxa"/>
            <w:tcBorders>
              <w:top w:val="nil"/>
              <w:left w:val="nil"/>
              <w:bottom w:val="single" w:sz="4" w:space="0" w:color="auto"/>
              <w:right w:val="single" w:sz="4" w:space="0" w:color="auto"/>
            </w:tcBorders>
            <w:shd w:val="clear" w:color="auto" w:fill="auto"/>
            <w:noWrap/>
            <w:vAlign w:val="bottom"/>
            <w:hideMark/>
          </w:tcPr>
          <w:p w14:paraId="63FEC664"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6.420,0</w:t>
            </w:r>
          </w:p>
        </w:tc>
        <w:tc>
          <w:tcPr>
            <w:tcW w:w="1132" w:type="dxa"/>
            <w:tcBorders>
              <w:top w:val="nil"/>
              <w:left w:val="nil"/>
              <w:bottom w:val="single" w:sz="4" w:space="0" w:color="auto"/>
              <w:right w:val="single" w:sz="4" w:space="0" w:color="auto"/>
            </w:tcBorders>
            <w:shd w:val="clear" w:color="auto" w:fill="auto"/>
            <w:noWrap/>
            <w:vAlign w:val="bottom"/>
            <w:hideMark/>
          </w:tcPr>
          <w:p w14:paraId="400DD3E7"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22.064,0</w:t>
            </w:r>
          </w:p>
        </w:tc>
        <w:tc>
          <w:tcPr>
            <w:tcW w:w="849" w:type="dxa"/>
            <w:tcBorders>
              <w:top w:val="nil"/>
              <w:left w:val="nil"/>
              <w:bottom w:val="single" w:sz="4" w:space="0" w:color="auto"/>
              <w:right w:val="single" w:sz="4" w:space="0" w:color="auto"/>
            </w:tcBorders>
            <w:shd w:val="clear" w:color="auto" w:fill="auto"/>
            <w:noWrap/>
            <w:vAlign w:val="bottom"/>
            <w:hideMark/>
          </w:tcPr>
          <w:p w14:paraId="6D871C22" w14:textId="77777777" w:rsidR="00CB5A72" w:rsidRPr="00650D66" w:rsidRDefault="00CB5A72" w:rsidP="00010E32">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15,3%</w:t>
            </w:r>
          </w:p>
        </w:tc>
      </w:tr>
      <w:tr w:rsidR="00CB5A72" w:rsidRPr="00650D66" w14:paraId="3F67733E" w14:textId="77777777" w:rsidTr="00010E3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FBE7319" w14:textId="77777777" w:rsidR="00CB5A72" w:rsidRPr="00650D66" w:rsidRDefault="00CB5A72" w:rsidP="00010E32">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Licitație deschisă</w:t>
            </w:r>
          </w:p>
        </w:tc>
        <w:tc>
          <w:tcPr>
            <w:tcW w:w="784" w:type="dxa"/>
            <w:tcBorders>
              <w:top w:val="nil"/>
              <w:left w:val="nil"/>
              <w:bottom w:val="single" w:sz="4" w:space="0" w:color="auto"/>
              <w:right w:val="single" w:sz="4" w:space="0" w:color="auto"/>
            </w:tcBorders>
            <w:shd w:val="clear" w:color="auto" w:fill="auto"/>
            <w:noWrap/>
            <w:vAlign w:val="bottom"/>
            <w:hideMark/>
          </w:tcPr>
          <w:p w14:paraId="08524E3E"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39</w:t>
            </w:r>
          </w:p>
        </w:tc>
        <w:tc>
          <w:tcPr>
            <w:tcW w:w="989" w:type="dxa"/>
            <w:tcBorders>
              <w:top w:val="nil"/>
              <w:left w:val="nil"/>
              <w:bottom w:val="single" w:sz="4" w:space="0" w:color="auto"/>
              <w:right w:val="single" w:sz="4" w:space="0" w:color="auto"/>
            </w:tcBorders>
            <w:shd w:val="clear" w:color="auto" w:fill="auto"/>
            <w:noWrap/>
            <w:vAlign w:val="bottom"/>
            <w:hideMark/>
          </w:tcPr>
          <w:p w14:paraId="589050ED"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16.800,2</w:t>
            </w:r>
          </w:p>
        </w:tc>
        <w:tc>
          <w:tcPr>
            <w:tcW w:w="996" w:type="dxa"/>
            <w:tcBorders>
              <w:top w:val="nil"/>
              <w:left w:val="nil"/>
              <w:bottom w:val="single" w:sz="4" w:space="0" w:color="auto"/>
              <w:right w:val="single" w:sz="4" w:space="0" w:color="auto"/>
            </w:tcBorders>
            <w:shd w:val="clear" w:color="auto" w:fill="auto"/>
            <w:noWrap/>
            <w:vAlign w:val="bottom"/>
            <w:hideMark/>
          </w:tcPr>
          <w:p w14:paraId="337D7AFA"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16.050,6</w:t>
            </w:r>
          </w:p>
        </w:tc>
        <w:tc>
          <w:tcPr>
            <w:tcW w:w="843" w:type="dxa"/>
            <w:tcBorders>
              <w:top w:val="nil"/>
              <w:left w:val="nil"/>
              <w:bottom w:val="single" w:sz="4" w:space="0" w:color="auto"/>
              <w:right w:val="single" w:sz="4" w:space="0" w:color="auto"/>
            </w:tcBorders>
            <w:shd w:val="clear" w:color="auto" w:fill="auto"/>
            <w:noWrap/>
            <w:vAlign w:val="bottom"/>
            <w:hideMark/>
          </w:tcPr>
          <w:p w14:paraId="6FE38B5B"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41</w:t>
            </w:r>
          </w:p>
        </w:tc>
        <w:tc>
          <w:tcPr>
            <w:tcW w:w="919" w:type="dxa"/>
            <w:tcBorders>
              <w:top w:val="nil"/>
              <w:left w:val="nil"/>
              <w:bottom w:val="single" w:sz="4" w:space="0" w:color="auto"/>
              <w:right w:val="single" w:sz="4" w:space="0" w:color="auto"/>
            </w:tcBorders>
            <w:shd w:val="clear" w:color="auto" w:fill="auto"/>
            <w:noWrap/>
            <w:vAlign w:val="bottom"/>
            <w:hideMark/>
          </w:tcPr>
          <w:p w14:paraId="0766074A"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18.037,7</w:t>
            </w:r>
          </w:p>
        </w:tc>
        <w:tc>
          <w:tcPr>
            <w:tcW w:w="993" w:type="dxa"/>
            <w:tcBorders>
              <w:top w:val="nil"/>
              <w:left w:val="nil"/>
              <w:bottom w:val="single" w:sz="4" w:space="0" w:color="auto"/>
              <w:right w:val="single" w:sz="4" w:space="0" w:color="auto"/>
            </w:tcBorders>
            <w:shd w:val="clear" w:color="auto" w:fill="auto"/>
            <w:noWrap/>
            <w:vAlign w:val="bottom"/>
            <w:hideMark/>
          </w:tcPr>
          <w:p w14:paraId="703264A4"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10.750,5</w:t>
            </w:r>
          </w:p>
        </w:tc>
        <w:tc>
          <w:tcPr>
            <w:tcW w:w="836" w:type="dxa"/>
            <w:tcBorders>
              <w:top w:val="nil"/>
              <w:left w:val="nil"/>
              <w:bottom w:val="single" w:sz="4" w:space="0" w:color="auto"/>
              <w:right w:val="single" w:sz="4" w:space="0" w:color="auto"/>
            </w:tcBorders>
            <w:shd w:val="clear" w:color="auto" w:fill="auto"/>
            <w:noWrap/>
            <w:vAlign w:val="bottom"/>
            <w:hideMark/>
          </w:tcPr>
          <w:p w14:paraId="584BE1B6"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48</w:t>
            </w:r>
          </w:p>
        </w:tc>
        <w:tc>
          <w:tcPr>
            <w:tcW w:w="992" w:type="dxa"/>
            <w:tcBorders>
              <w:top w:val="nil"/>
              <w:left w:val="nil"/>
              <w:bottom w:val="single" w:sz="4" w:space="0" w:color="auto"/>
              <w:right w:val="single" w:sz="4" w:space="0" w:color="auto"/>
            </w:tcBorders>
            <w:shd w:val="clear" w:color="auto" w:fill="auto"/>
            <w:noWrap/>
            <w:vAlign w:val="bottom"/>
            <w:hideMark/>
          </w:tcPr>
          <w:p w14:paraId="721EDFF3"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34.199,8</w:t>
            </w:r>
          </w:p>
        </w:tc>
        <w:tc>
          <w:tcPr>
            <w:tcW w:w="1007" w:type="dxa"/>
            <w:tcBorders>
              <w:top w:val="nil"/>
              <w:left w:val="nil"/>
              <w:bottom w:val="single" w:sz="4" w:space="0" w:color="auto"/>
              <w:right w:val="single" w:sz="4" w:space="0" w:color="auto"/>
            </w:tcBorders>
            <w:shd w:val="clear" w:color="auto" w:fill="auto"/>
            <w:noWrap/>
            <w:vAlign w:val="bottom"/>
            <w:hideMark/>
          </w:tcPr>
          <w:p w14:paraId="25826F81"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26.383,0</w:t>
            </w:r>
          </w:p>
        </w:tc>
        <w:tc>
          <w:tcPr>
            <w:tcW w:w="836" w:type="dxa"/>
            <w:tcBorders>
              <w:top w:val="nil"/>
              <w:left w:val="nil"/>
              <w:bottom w:val="single" w:sz="4" w:space="0" w:color="auto"/>
              <w:right w:val="single" w:sz="4" w:space="0" w:color="auto"/>
            </w:tcBorders>
            <w:shd w:val="clear" w:color="auto" w:fill="auto"/>
            <w:noWrap/>
            <w:vAlign w:val="bottom"/>
            <w:hideMark/>
          </w:tcPr>
          <w:p w14:paraId="17FC7604"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46</w:t>
            </w:r>
          </w:p>
        </w:tc>
        <w:tc>
          <w:tcPr>
            <w:tcW w:w="992" w:type="dxa"/>
            <w:tcBorders>
              <w:top w:val="nil"/>
              <w:left w:val="nil"/>
              <w:bottom w:val="single" w:sz="4" w:space="0" w:color="auto"/>
              <w:right w:val="single" w:sz="4" w:space="0" w:color="auto"/>
            </w:tcBorders>
            <w:shd w:val="clear" w:color="auto" w:fill="auto"/>
            <w:noWrap/>
            <w:vAlign w:val="bottom"/>
            <w:hideMark/>
          </w:tcPr>
          <w:p w14:paraId="4B483C3D"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48.323,8</w:t>
            </w:r>
          </w:p>
        </w:tc>
        <w:tc>
          <w:tcPr>
            <w:tcW w:w="1013" w:type="dxa"/>
            <w:tcBorders>
              <w:top w:val="nil"/>
              <w:left w:val="nil"/>
              <w:bottom w:val="single" w:sz="4" w:space="0" w:color="auto"/>
              <w:right w:val="single" w:sz="4" w:space="0" w:color="auto"/>
            </w:tcBorders>
            <w:shd w:val="clear" w:color="auto" w:fill="auto"/>
            <w:noWrap/>
            <w:vAlign w:val="bottom"/>
            <w:hideMark/>
          </w:tcPr>
          <w:p w14:paraId="2D3BC043"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36.362,2</w:t>
            </w:r>
          </w:p>
        </w:tc>
        <w:tc>
          <w:tcPr>
            <w:tcW w:w="1132" w:type="dxa"/>
            <w:tcBorders>
              <w:top w:val="nil"/>
              <w:left w:val="nil"/>
              <w:bottom w:val="single" w:sz="4" w:space="0" w:color="auto"/>
              <w:right w:val="single" w:sz="4" w:space="0" w:color="auto"/>
            </w:tcBorders>
            <w:shd w:val="clear" w:color="auto" w:fill="auto"/>
            <w:noWrap/>
            <w:vAlign w:val="bottom"/>
            <w:hideMark/>
          </w:tcPr>
          <w:p w14:paraId="684B847B"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89.546,3</w:t>
            </w:r>
          </w:p>
        </w:tc>
        <w:tc>
          <w:tcPr>
            <w:tcW w:w="849" w:type="dxa"/>
            <w:tcBorders>
              <w:top w:val="nil"/>
              <w:left w:val="nil"/>
              <w:bottom w:val="single" w:sz="4" w:space="0" w:color="auto"/>
              <w:right w:val="single" w:sz="4" w:space="0" w:color="auto"/>
            </w:tcBorders>
            <w:shd w:val="clear" w:color="auto" w:fill="auto"/>
            <w:noWrap/>
            <w:vAlign w:val="bottom"/>
            <w:hideMark/>
          </w:tcPr>
          <w:p w14:paraId="34266117" w14:textId="77777777" w:rsidR="00CB5A72" w:rsidRPr="00650D66" w:rsidRDefault="00CB5A72" w:rsidP="00010E32">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62,1%</w:t>
            </w:r>
          </w:p>
        </w:tc>
      </w:tr>
      <w:tr w:rsidR="00CB5A72" w:rsidRPr="00650D66" w14:paraId="0011EE2B" w14:textId="77777777" w:rsidTr="00010E32">
        <w:trPr>
          <w:trHeight w:val="552"/>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7EBCDABA" w14:textId="77777777" w:rsidR="00CB5A72" w:rsidRPr="00650D66" w:rsidRDefault="00CB5A72" w:rsidP="00010E32">
            <w:pPr>
              <w:spacing w:after="0" w:line="240" w:lineRule="auto"/>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Exceptat  art.5 din Legea 131/2015</w:t>
            </w:r>
          </w:p>
        </w:tc>
        <w:tc>
          <w:tcPr>
            <w:tcW w:w="784" w:type="dxa"/>
            <w:tcBorders>
              <w:top w:val="nil"/>
              <w:left w:val="nil"/>
              <w:bottom w:val="single" w:sz="4" w:space="0" w:color="auto"/>
              <w:right w:val="single" w:sz="4" w:space="0" w:color="auto"/>
            </w:tcBorders>
            <w:shd w:val="clear" w:color="auto" w:fill="auto"/>
            <w:noWrap/>
            <w:vAlign w:val="bottom"/>
            <w:hideMark/>
          </w:tcPr>
          <w:p w14:paraId="2E1FFD2B"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w:t>
            </w:r>
          </w:p>
        </w:tc>
        <w:tc>
          <w:tcPr>
            <w:tcW w:w="989" w:type="dxa"/>
            <w:tcBorders>
              <w:top w:val="nil"/>
              <w:left w:val="nil"/>
              <w:bottom w:val="single" w:sz="4" w:space="0" w:color="auto"/>
              <w:right w:val="single" w:sz="4" w:space="0" w:color="auto"/>
            </w:tcBorders>
            <w:shd w:val="clear" w:color="auto" w:fill="auto"/>
            <w:noWrap/>
            <w:vAlign w:val="bottom"/>
            <w:hideMark/>
          </w:tcPr>
          <w:p w14:paraId="1C402E2B"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200,0</w:t>
            </w:r>
          </w:p>
        </w:tc>
        <w:tc>
          <w:tcPr>
            <w:tcW w:w="996" w:type="dxa"/>
            <w:tcBorders>
              <w:top w:val="nil"/>
              <w:left w:val="nil"/>
              <w:bottom w:val="single" w:sz="4" w:space="0" w:color="auto"/>
              <w:right w:val="single" w:sz="4" w:space="0" w:color="auto"/>
            </w:tcBorders>
            <w:shd w:val="clear" w:color="auto" w:fill="auto"/>
            <w:noWrap/>
            <w:vAlign w:val="bottom"/>
            <w:hideMark/>
          </w:tcPr>
          <w:p w14:paraId="6537EF67"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94,9</w:t>
            </w:r>
          </w:p>
        </w:tc>
        <w:tc>
          <w:tcPr>
            <w:tcW w:w="843" w:type="dxa"/>
            <w:tcBorders>
              <w:top w:val="nil"/>
              <w:left w:val="nil"/>
              <w:bottom w:val="single" w:sz="4" w:space="0" w:color="auto"/>
              <w:right w:val="single" w:sz="4" w:space="0" w:color="auto"/>
            </w:tcBorders>
            <w:shd w:val="clear" w:color="auto" w:fill="auto"/>
            <w:noWrap/>
            <w:vAlign w:val="bottom"/>
            <w:hideMark/>
          </w:tcPr>
          <w:p w14:paraId="2DE81CB5"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5</w:t>
            </w:r>
          </w:p>
        </w:tc>
        <w:tc>
          <w:tcPr>
            <w:tcW w:w="919" w:type="dxa"/>
            <w:tcBorders>
              <w:top w:val="nil"/>
              <w:left w:val="nil"/>
              <w:bottom w:val="single" w:sz="4" w:space="0" w:color="auto"/>
              <w:right w:val="single" w:sz="4" w:space="0" w:color="auto"/>
            </w:tcBorders>
            <w:shd w:val="clear" w:color="auto" w:fill="auto"/>
            <w:noWrap/>
            <w:vAlign w:val="bottom"/>
            <w:hideMark/>
          </w:tcPr>
          <w:p w14:paraId="3CA220DF"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253,0</w:t>
            </w:r>
          </w:p>
        </w:tc>
        <w:tc>
          <w:tcPr>
            <w:tcW w:w="993" w:type="dxa"/>
            <w:tcBorders>
              <w:top w:val="nil"/>
              <w:left w:val="nil"/>
              <w:bottom w:val="single" w:sz="4" w:space="0" w:color="auto"/>
              <w:right w:val="single" w:sz="4" w:space="0" w:color="auto"/>
            </w:tcBorders>
            <w:shd w:val="clear" w:color="auto" w:fill="auto"/>
            <w:noWrap/>
            <w:vAlign w:val="bottom"/>
            <w:hideMark/>
          </w:tcPr>
          <w:p w14:paraId="32D3F20A"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107,1</w:t>
            </w:r>
          </w:p>
        </w:tc>
        <w:tc>
          <w:tcPr>
            <w:tcW w:w="836" w:type="dxa"/>
            <w:tcBorders>
              <w:top w:val="nil"/>
              <w:left w:val="nil"/>
              <w:bottom w:val="single" w:sz="4" w:space="0" w:color="auto"/>
              <w:right w:val="single" w:sz="4" w:space="0" w:color="auto"/>
            </w:tcBorders>
            <w:shd w:val="clear" w:color="auto" w:fill="auto"/>
            <w:noWrap/>
            <w:vAlign w:val="bottom"/>
            <w:hideMark/>
          </w:tcPr>
          <w:p w14:paraId="07F93A1C"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w:t>
            </w:r>
          </w:p>
        </w:tc>
        <w:tc>
          <w:tcPr>
            <w:tcW w:w="992" w:type="dxa"/>
            <w:tcBorders>
              <w:top w:val="nil"/>
              <w:left w:val="nil"/>
              <w:bottom w:val="single" w:sz="4" w:space="0" w:color="auto"/>
              <w:right w:val="single" w:sz="4" w:space="0" w:color="auto"/>
            </w:tcBorders>
            <w:shd w:val="clear" w:color="auto" w:fill="auto"/>
            <w:noWrap/>
            <w:vAlign w:val="bottom"/>
            <w:hideMark/>
          </w:tcPr>
          <w:p w14:paraId="7F36FACB"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2.688,4</w:t>
            </w:r>
          </w:p>
        </w:tc>
        <w:tc>
          <w:tcPr>
            <w:tcW w:w="1007" w:type="dxa"/>
            <w:tcBorders>
              <w:top w:val="nil"/>
              <w:left w:val="nil"/>
              <w:bottom w:val="single" w:sz="4" w:space="0" w:color="auto"/>
              <w:right w:val="single" w:sz="4" w:space="0" w:color="auto"/>
            </w:tcBorders>
            <w:shd w:val="clear" w:color="auto" w:fill="auto"/>
            <w:noWrap/>
            <w:vAlign w:val="bottom"/>
            <w:hideMark/>
          </w:tcPr>
          <w:p w14:paraId="7B40278B"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2.175,6</w:t>
            </w:r>
          </w:p>
        </w:tc>
        <w:tc>
          <w:tcPr>
            <w:tcW w:w="836" w:type="dxa"/>
            <w:tcBorders>
              <w:top w:val="nil"/>
              <w:left w:val="nil"/>
              <w:bottom w:val="single" w:sz="4" w:space="0" w:color="auto"/>
              <w:right w:val="single" w:sz="4" w:space="0" w:color="auto"/>
            </w:tcBorders>
            <w:shd w:val="clear" w:color="auto" w:fill="auto"/>
            <w:noWrap/>
            <w:vAlign w:val="bottom"/>
            <w:hideMark/>
          </w:tcPr>
          <w:p w14:paraId="6739EB9E" w14:textId="77777777" w:rsidR="00CB5A72" w:rsidRPr="00650D66" w:rsidRDefault="00CB5A72" w:rsidP="00010E32">
            <w:pPr>
              <w:spacing w:after="0" w:line="240" w:lineRule="auto"/>
              <w:jc w:val="center"/>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w:t>
            </w:r>
          </w:p>
        </w:tc>
        <w:tc>
          <w:tcPr>
            <w:tcW w:w="992" w:type="dxa"/>
            <w:tcBorders>
              <w:top w:val="nil"/>
              <w:left w:val="nil"/>
              <w:bottom w:val="single" w:sz="4" w:space="0" w:color="auto"/>
              <w:right w:val="single" w:sz="4" w:space="0" w:color="auto"/>
            </w:tcBorders>
            <w:shd w:val="clear" w:color="auto" w:fill="auto"/>
            <w:noWrap/>
            <w:vAlign w:val="bottom"/>
            <w:hideMark/>
          </w:tcPr>
          <w:p w14:paraId="3410EA6F"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w:t>
            </w:r>
          </w:p>
        </w:tc>
        <w:tc>
          <w:tcPr>
            <w:tcW w:w="1013" w:type="dxa"/>
            <w:tcBorders>
              <w:top w:val="nil"/>
              <w:left w:val="nil"/>
              <w:bottom w:val="single" w:sz="4" w:space="0" w:color="auto"/>
              <w:right w:val="single" w:sz="4" w:space="0" w:color="auto"/>
            </w:tcBorders>
            <w:shd w:val="clear" w:color="auto" w:fill="auto"/>
            <w:noWrap/>
            <w:vAlign w:val="bottom"/>
            <w:hideMark/>
          </w:tcPr>
          <w:p w14:paraId="07FE7C98"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1,4</w:t>
            </w:r>
          </w:p>
        </w:tc>
        <w:tc>
          <w:tcPr>
            <w:tcW w:w="1132" w:type="dxa"/>
            <w:tcBorders>
              <w:top w:val="nil"/>
              <w:left w:val="nil"/>
              <w:bottom w:val="single" w:sz="4" w:space="0" w:color="auto"/>
              <w:right w:val="single" w:sz="4" w:space="0" w:color="auto"/>
            </w:tcBorders>
            <w:shd w:val="clear" w:color="auto" w:fill="auto"/>
            <w:noWrap/>
            <w:vAlign w:val="bottom"/>
            <w:hideMark/>
          </w:tcPr>
          <w:p w14:paraId="48FE85A5" w14:textId="77777777" w:rsidR="00CB5A72" w:rsidRPr="00650D66" w:rsidRDefault="00CB5A72" w:rsidP="00010E32">
            <w:pPr>
              <w:spacing w:after="0" w:line="240" w:lineRule="auto"/>
              <w:jc w:val="right"/>
              <w:rPr>
                <w:rFonts w:ascii="Times New Roman" w:eastAsia="Times New Roman" w:hAnsi="Times New Roman" w:cs="Times New Roman"/>
                <w:color w:val="000000"/>
                <w:sz w:val="20"/>
                <w:szCs w:val="20"/>
                <w:lang w:val="ro-RO"/>
              </w:rPr>
            </w:pPr>
            <w:r w:rsidRPr="00650D66">
              <w:rPr>
                <w:rFonts w:ascii="Times New Roman" w:eastAsia="Times New Roman" w:hAnsi="Times New Roman" w:cs="Times New Roman"/>
                <w:color w:val="000000"/>
                <w:sz w:val="20"/>
                <w:szCs w:val="20"/>
                <w:lang w:val="ro-RO"/>
              </w:rPr>
              <w:t>2.379,0</w:t>
            </w:r>
          </w:p>
        </w:tc>
        <w:tc>
          <w:tcPr>
            <w:tcW w:w="849" w:type="dxa"/>
            <w:tcBorders>
              <w:top w:val="nil"/>
              <w:left w:val="nil"/>
              <w:bottom w:val="single" w:sz="4" w:space="0" w:color="auto"/>
              <w:right w:val="single" w:sz="4" w:space="0" w:color="auto"/>
            </w:tcBorders>
            <w:shd w:val="clear" w:color="auto" w:fill="auto"/>
            <w:noWrap/>
            <w:vAlign w:val="bottom"/>
            <w:hideMark/>
          </w:tcPr>
          <w:p w14:paraId="6759EE25" w14:textId="77777777" w:rsidR="00CB5A72" w:rsidRPr="00650D66" w:rsidRDefault="00CE03C1" w:rsidP="00010E32">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1,6%</w:t>
            </w:r>
            <w:r w:rsidR="00CB5A72" w:rsidRPr="00650D66">
              <w:rPr>
                <w:rFonts w:ascii="Times New Roman" w:eastAsia="Times New Roman" w:hAnsi="Times New Roman" w:cs="Times New Roman"/>
                <w:i/>
                <w:iCs/>
                <w:color w:val="000000"/>
                <w:sz w:val="20"/>
                <w:szCs w:val="20"/>
                <w:lang w:val="ro-RO"/>
              </w:rPr>
              <w:t> </w:t>
            </w:r>
          </w:p>
        </w:tc>
      </w:tr>
      <w:tr w:rsidR="00CB5A72" w:rsidRPr="00650D66" w14:paraId="0ACF288E" w14:textId="77777777" w:rsidTr="00010E3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AEA8A3D" w14:textId="77777777" w:rsidR="00CB5A72" w:rsidRPr="00650D66" w:rsidRDefault="00CB5A72" w:rsidP="00010E32">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TOTAL</w:t>
            </w:r>
          </w:p>
        </w:tc>
        <w:tc>
          <w:tcPr>
            <w:tcW w:w="784" w:type="dxa"/>
            <w:tcBorders>
              <w:top w:val="nil"/>
              <w:left w:val="nil"/>
              <w:bottom w:val="single" w:sz="4" w:space="0" w:color="auto"/>
              <w:right w:val="single" w:sz="4" w:space="0" w:color="auto"/>
            </w:tcBorders>
            <w:shd w:val="clear" w:color="auto" w:fill="auto"/>
            <w:noWrap/>
            <w:vAlign w:val="bottom"/>
            <w:hideMark/>
          </w:tcPr>
          <w:p w14:paraId="22C61CDB" w14:textId="77777777" w:rsidR="00CB5A72" w:rsidRPr="00650D66" w:rsidRDefault="00CB5A72" w:rsidP="00010E32">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377</w:t>
            </w:r>
          </w:p>
        </w:tc>
        <w:tc>
          <w:tcPr>
            <w:tcW w:w="989" w:type="dxa"/>
            <w:tcBorders>
              <w:top w:val="nil"/>
              <w:left w:val="nil"/>
              <w:bottom w:val="single" w:sz="4" w:space="0" w:color="auto"/>
              <w:right w:val="single" w:sz="4" w:space="0" w:color="auto"/>
            </w:tcBorders>
            <w:shd w:val="clear" w:color="auto" w:fill="auto"/>
            <w:noWrap/>
            <w:vAlign w:val="bottom"/>
            <w:hideMark/>
          </w:tcPr>
          <w:p w14:paraId="254DC4BE" w14:textId="77777777" w:rsidR="00CB5A72" w:rsidRPr="00650D66" w:rsidRDefault="00CB5A72" w:rsidP="00010E32">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w:t>
            </w:r>
          </w:p>
        </w:tc>
        <w:tc>
          <w:tcPr>
            <w:tcW w:w="996" w:type="dxa"/>
            <w:tcBorders>
              <w:top w:val="nil"/>
              <w:left w:val="nil"/>
              <w:bottom w:val="single" w:sz="4" w:space="0" w:color="auto"/>
              <w:right w:val="single" w:sz="4" w:space="0" w:color="auto"/>
            </w:tcBorders>
            <w:shd w:val="clear" w:color="auto" w:fill="auto"/>
            <w:noWrap/>
            <w:vAlign w:val="bottom"/>
            <w:hideMark/>
          </w:tcPr>
          <w:p w14:paraId="338175EE" w14:textId="77777777" w:rsidR="00CB5A72" w:rsidRPr="00650D66" w:rsidRDefault="00CB5A72" w:rsidP="00010E32">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30.355,8</w:t>
            </w:r>
          </w:p>
        </w:tc>
        <w:tc>
          <w:tcPr>
            <w:tcW w:w="843" w:type="dxa"/>
            <w:tcBorders>
              <w:top w:val="nil"/>
              <w:left w:val="nil"/>
              <w:bottom w:val="single" w:sz="4" w:space="0" w:color="auto"/>
              <w:right w:val="single" w:sz="4" w:space="0" w:color="auto"/>
            </w:tcBorders>
            <w:shd w:val="clear" w:color="auto" w:fill="auto"/>
            <w:noWrap/>
            <w:vAlign w:val="bottom"/>
            <w:hideMark/>
          </w:tcPr>
          <w:p w14:paraId="0895FB30" w14:textId="77777777" w:rsidR="00CB5A72" w:rsidRPr="00650D66" w:rsidRDefault="00CB5A72" w:rsidP="00010E32">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226</w:t>
            </w:r>
          </w:p>
        </w:tc>
        <w:tc>
          <w:tcPr>
            <w:tcW w:w="919" w:type="dxa"/>
            <w:tcBorders>
              <w:top w:val="nil"/>
              <w:left w:val="nil"/>
              <w:bottom w:val="single" w:sz="4" w:space="0" w:color="auto"/>
              <w:right w:val="single" w:sz="4" w:space="0" w:color="auto"/>
            </w:tcBorders>
            <w:shd w:val="clear" w:color="auto" w:fill="auto"/>
            <w:noWrap/>
            <w:vAlign w:val="bottom"/>
            <w:hideMark/>
          </w:tcPr>
          <w:p w14:paraId="7CD21E1A" w14:textId="77777777" w:rsidR="00CB5A72" w:rsidRPr="00650D66" w:rsidRDefault="00CB5A72" w:rsidP="00010E32">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w:t>
            </w:r>
          </w:p>
        </w:tc>
        <w:tc>
          <w:tcPr>
            <w:tcW w:w="993" w:type="dxa"/>
            <w:tcBorders>
              <w:top w:val="nil"/>
              <w:left w:val="nil"/>
              <w:bottom w:val="single" w:sz="4" w:space="0" w:color="auto"/>
              <w:right w:val="single" w:sz="4" w:space="0" w:color="auto"/>
            </w:tcBorders>
            <w:shd w:val="clear" w:color="auto" w:fill="auto"/>
            <w:noWrap/>
            <w:vAlign w:val="bottom"/>
            <w:hideMark/>
          </w:tcPr>
          <w:p w14:paraId="23D9B818" w14:textId="77777777" w:rsidR="00CB5A72" w:rsidRPr="00650D66" w:rsidRDefault="00CB5A72" w:rsidP="00010E32">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23.968,5</w:t>
            </w:r>
          </w:p>
        </w:tc>
        <w:tc>
          <w:tcPr>
            <w:tcW w:w="836" w:type="dxa"/>
            <w:tcBorders>
              <w:top w:val="nil"/>
              <w:left w:val="nil"/>
              <w:bottom w:val="single" w:sz="4" w:space="0" w:color="auto"/>
              <w:right w:val="single" w:sz="4" w:space="0" w:color="auto"/>
            </w:tcBorders>
            <w:shd w:val="clear" w:color="auto" w:fill="auto"/>
            <w:noWrap/>
            <w:vAlign w:val="bottom"/>
            <w:hideMark/>
          </w:tcPr>
          <w:p w14:paraId="727832E1" w14:textId="77777777" w:rsidR="00CB5A72" w:rsidRPr="00650D66" w:rsidRDefault="00CB5A72" w:rsidP="00010E32">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228</w:t>
            </w:r>
          </w:p>
        </w:tc>
        <w:tc>
          <w:tcPr>
            <w:tcW w:w="992" w:type="dxa"/>
            <w:tcBorders>
              <w:top w:val="nil"/>
              <w:left w:val="nil"/>
              <w:bottom w:val="single" w:sz="4" w:space="0" w:color="auto"/>
              <w:right w:val="single" w:sz="4" w:space="0" w:color="auto"/>
            </w:tcBorders>
            <w:shd w:val="clear" w:color="auto" w:fill="auto"/>
            <w:noWrap/>
            <w:vAlign w:val="bottom"/>
            <w:hideMark/>
          </w:tcPr>
          <w:p w14:paraId="0844CA7E" w14:textId="77777777" w:rsidR="00CB5A72" w:rsidRPr="00650D66" w:rsidRDefault="00CB5A72" w:rsidP="00010E32">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w:t>
            </w:r>
          </w:p>
        </w:tc>
        <w:tc>
          <w:tcPr>
            <w:tcW w:w="1007" w:type="dxa"/>
            <w:tcBorders>
              <w:top w:val="nil"/>
              <w:left w:val="nil"/>
              <w:bottom w:val="single" w:sz="4" w:space="0" w:color="auto"/>
              <w:right w:val="single" w:sz="4" w:space="0" w:color="auto"/>
            </w:tcBorders>
            <w:shd w:val="clear" w:color="auto" w:fill="auto"/>
            <w:noWrap/>
            <w:vAlign w:val="bottom"/>
            <w:hideMark/>
          </w:tcPr>
          <w:p w14:paraId="5218F4DA" w14:textId="77777777" w:rsidR="00CB5A72" w:rsidRPr="00650D66" w:rsidRDefault="00CB5A72" w:rsidP="00010E32">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40.339,3</w:t>
            </w:r>
          </w:p>
        </w:tc>
        <w:tc>
          <w:tcPr>
            <w:tcW w:w="836" w:type="dxa"/>
            <w:tcBorders>
              <w:top w:val="nil"/>
              <w:left w:val="nil"/>
              <w:bottom w:val="single" w:sz="4" w:space="0" w:color="auto"/>
              <w:right w:val="single" w:sz="4" w:space="0" w:color="auto"/>
            </w:tcBorders>
            <w:shd w:val="clear" w:color="auto" w:fill="auto"/>
            <w:noWrap/>
            <w:vAlign w:val="bottom"/>
            <w:hideMark/>
          </w:tcPr>
          <w:p w14:paraId="22762810" w14:textId="77777777" w:rsidR="00CB5A72" w:rsidRPr="00650D66" w:rsidRDefault="00CB5A72" w:rsidP="00010E32">
            <w:pPr>
              <w:spacing w:after="0" w:line="240" w:lineRule="auto"/>
              <w:jc w:val="center"/>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273</w:t>
            </w:r>
          </w:p>
        </w:tc>
        <w:tc>
          <w:tcPr>
            <w:tcW w:w="992" w:type="dxa"/>
            <w:tcBorders>
              <w:top w:val="nil"/>
              <w:left w:val="nil"/>
              <w:bottom w:val="single" w:sz="4" w:space="0" w:color="auto"/>
              <w:right w:val="single" w:sz="4" w:space="0" w:color="auto"/>
            </w:tcBorders>
            <w:shd w:val="clear" w:color="auto" w:fill="auto"/>
            <w:noWrap/>
            <w:vAlign w:val="bottom"/>
            <w:hideMark/>
          </w:tcPr>
          <w:p w14:paraId="29EBB1A0" w14:textId="77777777" w:rsidR="00CB5A72" w:rsidRPr="00650D66" w:rsidRDefault="00CB5A72" w:rsidP="00010E32">
            <w:pPr>
              <w:spacing w:after="0" w:line="240" w:lineRule="auto"/>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 </w:t>
            </w:r>
          </w:p>
        </w:tc>
        <w:tc>
          <w:tcPr>
            <w:tcW w:w="1013" w:type="dxa"/>
            <w:tcBorders>
              <w:top w:val="nil"/>
              <w:left w:val="nil"/>
              <w:bottom w:val="single" w:sz="4" w:space="0" w:color="auto"/>
              <w:right w:val="single" w:sz="4" w:space="0" w:color="auto"/>
            </w:tcBorders>
            <w:shd w:val="clear" w:color="auto" w:fill="auto"/>
            <w:noWrap/>
            <w:vAlign w:val="bottom"/>
            <w:hideMark/>
          </w:tcPr>
          <w:p w14:paraId="520A095C" w14:textId="77777777" w:rsidR="00CB5A72" w:rsidRPr="00650D66" w:rsidRDefault="00CB5A72" w:rsidP="00010E32">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49.535,6</w:t>
            </w:r>
          </w:p>
        </w:tc>
        <w:tc>
          <w:tcPr>
            <w:tcW w:w="1132" w:type="dxa"/>
            <w:tcBorders>
              <w:top w:val="nil"/>
              <w:left w:val="nil"/>
              <w:bottom w:val="single" w:sz="4" w:space="0" w:color="auto"/>
              <w:right w:val="single" w:sz="4" w:space="0" w:color="auto"/>
            </w:tcBorders>
            <w:shd w:val="clear" w:color="auto" w:fill="auto"/>
            <w:noWrap/>
            <w:vAlign w:val="bottom"/>
            <w:hideMark/>
          </w:tcPr>
          <w:p w14:paraId="6615FE23" w14:textId="77777777" w:rsidR="00CB5A72" w:rsidRPr="00650D66" w:rsidRDefault="00CB5A72" w:rsidP="00010E32">
            <w:pPr>
              <w:spacing w:after="0" w:line="240" w:lineRule="auto"/>
              <w:jc w:val="right"/>
              <w:rPr>
                <w:rFonts w:ascii="Times New Roman" w:eastAsia="Times New Roman" w:hAnsi="Times New Roman" w:cs="Times New Roman"/>
                <w:b/>
                <w:bCs/>
                <w:color w:val="000000"/>
                <w:sz w:val="20"/>
                <w:szCs w:val="20"/>
                <w:lang w:val="ro-RO"/>
              </w:rPr>
            </w:pPr>
            <w:r w:rsidRPr="00650D66">
              <w:rPr>
                <w:rFonts w:ascii="Times New Roman" w:eastAsia="Times New Roman" w:hAnsi="Times New Roman" w:cs="Times New Roman"/>
                <w:b/>
                <w:bCs/>
                <w:color w:val="000000"/>
                <w:sz w:val="20"/>
                <w:szCs w:val="20"/>
                <w:lang w:val="ro-RO"/>
              </w:rPr>
              <w:t>144.199,2</w:t>
            </w:r>
          </w:p>
        </w:tc>
        <w:tc>
          <w:tcPr>
            <w:tcW w:w="849" w:type="dxa"/>
            <w:tcBorders>
              <w:top w:val="nil"/>
              <w:left w:val="nil"/>
              <w:bottom w:val="single" w:sz="4" w:space="0" w:color="auto"/>
              <w:right w:val="single" w:sz="4" w:space="0" w:color="auto"/>
            </w:tcBorders>
            <w:shd w:val="clear" w:color="auto" w:fill="auto"/>
            <w:noWrap/>
            <w:vAlign w:val="bottom"/>
            <w:hideMark/>
          </w:tcPr>
          <w:p w14:paraId="74C37E3F" w14:textId="77777777" w:rsidR="00CB5A72" w:rsidRPr="00650D66" w:rsidRDefault="00CB5A72" w:rsidP="00010E32">
            <w:pPr>
              <w:spacing w:after="0" w:line="240" w:lineRule="auto"/>
              <w:jc w:val="center"/>
              <w:rPr>
                <w:rFonts w:ascii="Times New Roman" w:eastAsia="Times New Roman" w:hAnsi="Times New Roman" w:cs="Times New Roman"/>
                <w:i/>
                <w:iCs/>
                <w:color w:val="000000"/>
                <w:sz w:val="20"/>
                <w:szCs w:val="20"/>
                <w:lang w:val="ro-RO"/>
              </w:rPr>
            </w:pPr>
            <w:r w:rsidRPr="00650D66">
              <w:rPr>
                <w:rFonts w:ascii="Times New Roman" w:eastAsia="Times New Roman" w:hAnsi="Times New Roman" w:cs="Times New Roman"/>
                <w:i/>
                <w:iCs/>
                <w:color w:val="000000"/>
                <w:sz w:val="20"/>
                <w:szCs w:val="20"/>
                <w:lang w:val="ro-RO"/>
              </w:rPr>
              <w:t>100,0%</w:t>
            </w:r>
          </w:p>
        </w:tc>
      </w:tr>
    </w:tbl>
    <w:p w14:paraId="59A9E99A" w14:textId="151BD27E" w:rsidR="00501476" w:rsidRDefault="001F0910" w:rsidP="0087127B">
      <w:pPr>
        <w:rPr>
          <w:rFonts w:ascii="Times New Roman" w:hAnsi="Times New Roman" w:cs="Times New Roman"/>
          <w:b/>
          <w:i/>
          <w:sz w:val="20"/>
          <w:szCs w:val="20"/>
          <w:lang w:val="ro-RO"/>
        </w:rPr>
      </w:pPr>
      <w:r w:rsidRPr="00650D66">
        <w:rPr>
          <w:rFonts w:ascii="Times New Roman" w:hAnsi="Times New Roman" w:cs="Times New Roman"/>
          <w:b/>
          <w:i/>
          <w:sz w:val="20"/>
          <w:szCs w:val="20"/>
          <w:lang w:val="ro-RO"/>
        </w:rPr>
        <w:t>Sursă:</w:t>
      </w:r>
      <w:r w:rsidRPr="00650D66">
        <w:rPr>
          <w:rFonts w:ascii="Times New Roman" w:hAnsi="Times New Roman" w:cs="Times New Roman"/>
          <w:i/>
          <w:sz w:val="20"/>
          <w:szCs w:val="20"/>
          <w:lang w:val="ro-RO"/>
        </w:rPr>
        <w:t xml:space="preserve"> Informație prezentată de către responsabilii de monitorizare a executării contractelor încheiate anua</w:t>
      </w:r>
      <w:r w:rsidR="00CE4391" w:rsidRPr="00650D66">
        <w:rPr>
          <w:rFonts w:ascii="Times New Roman" w:hAnsi="Times New Roman" w:cs="Times New Roman"/>
          <w:i/>
          <w:sz w:val="20"/>
          <w:szCs w:val="20"/>
          <w:lang w:val="ro-RO"/>
        </w:rPr>
        <w:t>l de către BNM</w:t>
      </w:r>
      <w:r w:rsidRPr="00650D66">
        <w:rPr>
          <w:rFonts w:ascii="Times New Roman" w:hAnsi="Times New Roman" w:cs="Times New Roman"/>
          <w:i/>
          <w:sz w:val="20"/>
          <w:szCs w:val="20"/>
          <w:lang w:val="ro-RO"/>
        </w:rPr>
        <w:t xml:space="preserve">. </w:t>
      </w:r>
    </w:p>
    <w:p w14:paraId="6766EDB5" w14:textId="77777777" w:rsidR="00EA0E29" w:rsidRPr="00EA0E29" w:rsidRDefault="00EA0E29" w:rsidP="0087127B">
      <w:pPr>
        <w:rPr>
          <w:rFonts w:ascii="Times New Roman" w:hAnsi="Times New Roman" w:cs="Times New Roman"/>
          <w:b/>
          <w:i/>
          <w:sz w:val="20"/>
          <w:szCs w:val="20"/>
          <w:lang w:val="ro-RO"/>
        </w:rPr>
      </w:pPr>
    </w:p>
    <w:p w14:paraId="6673A417" w14:textId="77777777" w:rsidR="0061045B" w:rsidRPr="00EA0E29" w:rsidRDefault="007E03FE" w:rsidP="00EA0E29">
      <w:pPr>
        <w:jc w:val="right"/>
        <w:rPr>
          <w:rFonts w:ascii="Times New Roman" w:hAnsi="Times New Roman" w:cs="Times New Roman"/>
          <w:b/>
          <w:sz w:val="24"/>
          <w:szCs w:val="24"/>
          <w:lang w:val="ro-RO"/>
        </w:rPr>
      </w:pPr>
      <w:r w:rsidRPr="00EA0E29">
        <w:rPr>
          <w:rFonts w:ascii="Times New Roman" w:hAnsi="Times New Roman" w:cs="Times New Roman"/>
          <w:b/>
          <w:sz w:val="24"/>
          <w:szCs w:val="24"/>
          <w:lang w:val="ro-RO"/>
        </w:rPr>
        <w:lastRenderedPageBreak/>
        <w:t xml:space="preserve">Anexa </w:t>
      </w:r>
      <w:r w:rsidR="00120790" w:rsidRPr="00EA0E29">
        <w:rPr>
          <w:rFonts w:ascii="Times New Roman" w:hAnsi="Times New Roman" w:cs="Times New Roman"/>
          <w:b/>
          <w:sz w:val="24"/>
          <w:szCs w:val="24"/>
          <w:lang w:val="ro-RO"/>
        </w:rPr>
        <w:t>nr.8</w:t>
      </w:r>
      <w:r w:rsidRPr="00EA0E29">
        <w:rPr>
          <w:rFonts w:ascii="Times New Roman" w:hAnsi="Times New Roman" w:cs="Times New Roman"/>
          <w:b/>
          <w:sz w:val="24"/>
          <w:szCs w:val="24"/>
          <w:lang w:val="ro-RO"/>
        </w:rPr>
        <w:t xml:space="preserve"> </w:t>
      </w:r>
      <w:r w:rsidR="00F85F62" w:rsidRPr="00EA0E29">
        <w:rPr>
          <w:rFonts w:ascii="Times New Roman" w:hAnsi="Times New Roman" w:cs="Times New Roman"/>
          <w:b/>
          <w:sz w:val="24"/>
          <w:szCs w:val="24"/>
          <w:lang w:val="ro-RO"/>
        </w:rPr>
        <w:t>Implementarea Hotărârii Curții de Conturi anterioare</w:t>
      </w:r>
      <w:r w:rsidR="0061045B" w:rsidRPr="00EA0E29">
        <w:rPr>
          <w:rFonts w:ascii="Times New Roman" w:hAnsi="Times New Roman" w:cs="Times New Roman"/>
          <w:b/>
          <w:sz w:val="24"/>
          <w:szCs w:val="24"/>
          <w:lang w:val="ro-RO"/>
        </w:rPr>
        <w:t xml:space="preserve"> </w:t>
      </w:r>
    </w:p>
    <w:p w14:paraId="7D6AFCD0" w14:textId="0A72F640" w:rsidR="0061045B" w:rsidRPr="00650D66" w:rsidRDefault="000A014B" w:rsidP="0061045B">
      <w:pPr>
        <w:pStyle w:val="ListParagraph"/>
        <w:tabs>
          <w:tab w:val="left" w:pos="426"/>
        </w:tabs>
        <w:spacing w:line="276" w:lineRule="auto"/>
        <w:ind w:left="0"/>
        <w:jc w:val="center"/>
        <w:rPr>
          <w:rFonts w:ascii="Times New Roman" w:hAnsi="Times New Roman" w:cs="Times New Roman"/>
          <w:b/>
          <w:sz w:val="24"/>
          <w:szCs w:val="24"/>
          <w:lang w:val="ro-RO"/>
        </w:rPr>
      </w:pPr>
      <w:r w:rsidRPr="00650D66">
        <w:rPr>
          <w:rFonts w:ascii="Times New Roman" w:hAnsi="Times New Roman" w:cs="Times New Roman"/>
          <w:b/>
          <w:bCs/>
          <w:sz w:val="24"/>
          <w:szCs w:val="24"/>
          <w:lang w:val="ro-RO"/>
        </w:rPr>
        <w:t xml:space="preserve">Hotărârea </w:t>
      </w:r>
      <w:r w:rsidR="0061045B" w:rsidRPr="00650D66">
        <w:rPr>
          <w:rFonts w:ascii="Times New Roman" w:hAnsi="Times New Roman" w:cs="Times New Roman"/>
          <w:b/>
          <w:bCs/>
          <w:sz w:val="24"/>
          <w:szCs w:val="24"/>
          <w:lang w:val="ro-RO"/>
        </w:rPr>
        <w:t>C</w:t>
      </w:r>
      <w:r w:rsidRPr="00650D66">
        <w:rPr>
          <w:rFonts w:ascii="Times New Roman" w:hAnsi="Times New Roman" w:cs="Times New Roman"/>
          <w:b/>
          <w:bCs/>
          <w:sz w:val="24"/>
          <w:szCs w:val="24"/>
          <w:lang w:val="ro-RO"/>
        </w:rPr>
        <w:t xml:space="preserve">urții de Conturi </w:t>
      </w:r>
      <w:r w:rsidR="0061045B" w:rsidRPr="00650D66">
        <w:rPr>
          <w:rFonts w:ascii="Times New Roman" w:hAnsi="Times New Roman" w:cs="Times New Roman"/>
          <w:b/>
          <w:bCs/>
          <w:sz w:val="24"/>
          <w:szCs w:val="24"/>
          <w:lang w:val="ro-RO"/>
        </w:rPr>
        <w:t>nr.62 din 5 noiembrie 2019</w:t>
      </w:r>
      <w:r w:rsidR="0061045B" w:rsidRPr="00650D66">
        <w:rPr>
          <w:rFonts w:ascii="Times New Roman" w:eastAsia="Times New Roman" w:hAnsi="Times New Roman" w:cs="Times New Roman"/>
          <w:b/>
          <w:bCs/>
          <w:sz w:val="28"/>
          <w:szCs w:val="28"/>
          <w:lang w:val="ro-RO"/>
        </w:rPr>
        <w:t xml:space="preserve"> </w:t>
      </w:r>
      <w:r w:rsidR="008E53D2" w:rsidRPr="00650D66">
        <w:rPr>
          <w:rFonts w:ascii="Times New Roman" w:eastAsia="Times New Roman" w:hAnsi="Times New Roman" w:cs="Times New Roman"/>
          <w:b/>
          <w:bCs/>
          <w:sz w:val="28"/>
          <w:szCs w:val="28"/>
          <w:lang w:val="ro-RO"/>
        </w:rPr>
        <w:t>,,</w:t>
      </w:r>
      <w:r w:rsidR="002B493F">
        <w:rPr>
          <w:rFonts w:ascii="Times New Roman" w:hAnsi="Times New Roman" w:cs="Times New Roman"/>
          <w:b/>
          <w:bCs/>
          <w:sz w:val="24"/>
          <w:szCs w:val="24"/>
          <w:lang w:val="ro-RO"/>
        </w:rPr>
        <w:t>C</w:t>
      </w:r>
      <w:r w:rsidR="00DF6B6D" w:rsidRPr="00650D66">
        <w:rPr>
          <w:rFonts w:ascii="Times New Roman" w:hAnsi="Times New Roman" w:cs="Times New Roman"/>
          <w:b/>
          <w:bCs/>
          <w:sz w:val="24"/>
          <w:szCs w:val="24"/>
          <w:lang w:val="ro-RO"/>
        </w:rPr>
        <w:t>u privire la Raportul auditului privind conformitatea devizelor de cheltuieli și alocațiilor pentru investiții ale Băncii Naționale a Moldovei pe anii 2015-2018</w:t>
      </w:r>
      <w:r w:rsidR="008E53D2" w:rsidRPr="00650D66">
        <w:rPr>
          <w:rFonts w:ascii="Times New Roman" w:hAnsi="Times New Roman" w:cs="Times New Roman"/>
          <w:b/>
          <w:bCs/>
          <w:sz w:val="24"/>
          <w:szCs w:val="24"/>
          <w:lang w:val="ro-RO"/>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6702"/>
        <w:gridCol w:w="861"/>
        <w:gridCol w:w="1027"/>
        <w:gridCol w:w="1061"/>
      </w:tblGrid>
      <w:tr w:rsidR="00650793" w:rsidRPr="00650D66" w14:paraId="380AD47A" w14:textId="77777777" w:rsidTr="00E3405B">
        <w:trPr>
          <w:trHeight w:val="328"/>
        </w:trPr>
        <w:tc>
          <w:tcPr>
            <w:tcW w:w="4957" w:type="dxa"/>
            <w:vMerge w:val="restart"/>
            <w:vAlign w:val="center"/>
          </w:tcPr>
          <w:p w14:paraId="0C71BE70" w14:textId="77777777" w:rsidR="00650793" w:rsidRPr="00650D66" w:rsidRDefault="00650793" w:rsidP="007520CC">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Recomandarea</w:t>
            </w:r>
          </w:p>
        </w:tc>
        <w:tc>
          <w:tcPr>
            <w:tcW w:w="6945" w:type="dxa"/>
            <w:vMerge w:val="restart"/>
            <w:vAlign w:val="center"/>
          </w:tcPr>
          <w:p w14:paraId="02A3805E" w14:textId="77777777" w:rsidR="00650793" w:rsidRPr="00650D66" w:rsidRDefault="00650793" w:rsidP="007520CC">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Măsurile întreprinse</w:t>
            </w:r>
          </w:p>
        </w:tc>
        <w:tc>
          <w:tcPr>
            <w:tcW w:w="2552" w:type="dxa"/>
            <w:gridSpan w:val="3"/>
            <w:vAlign w:val="center"/>
          </w:tcPr>
          <w:p w14:paraId="55805A08" w14:textId="77777777" w:rsidR="00650793" w:rsidRPr="00650D66" w:rsidRDefault="00650793" w:rsidP="007520CC">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Statutul implementării recomandării</w:t>
            </w:r>
          </w:p>
        </w:tc>
      </w:tr>
      <w:tr w:rsidR="00650793" w:rsidRPr="00650D66" w14:paraId="6D39C1F7" w14:textId="77777777" w:rsidTr="00E3405B">
        <w:trPr>
          <w:trHeight w:val="469"/>
        </w:trPr>
        <w:tc>
          <w:tcPr>
            <w:tcW w:w="4957" w:type="dxa"/>
            <w:vMerge/>
            <w:vAlign w:val="center"/>
          </w:tcPr>
          <w:p w14:paraId="1286288F" w14:textId="77777777" w:rsidR="00650793" w:rsidRPr="00650D66" w:rsidRDefault="00650793" w:rsidP="007520CC">
            <w:pPr>
              <w:tabs>
                <w:tab w:val="left" w:pos="720"/>
              </w:tabs>
              <w:spacing w:after="0" w:line="240" w:lineRule="auto"/>
              <w:jc w:val="center"/>
              <w:rPr>
                <w:rFonts w:ascii="Times New Roman" w:hAnsi="Times New Roman" w:cs="Times New Roman"/>
                <w:b/>
                <w:sz w:val="20"/>
                <w:szCs w:val="20"/>
                <w:lang w:val="ro-RO"/>
              </w:rPr>
            </w:pPr>
          </w:p>
        </w:tc>
        <w:tc>
          <w:tcPr>
            <w:tcW w:w="6945" w:type="dxa"/>
            <w:vMerge/>
            <w:vAlign w:val="center"/>
          </w:tcPr>
          <w:p w14:paraId="3FCEC06E" w14:textId="77777777" w:rsidR="00650793" w:rsidRPr="00650D66" w:rsidRDefault="00650793" w:rsidP="007520CC">
            <w:pPr>
              <w:tabs>
                <w:tab w:val="left" w:pos="720"/>
              </w:tabs>
              <w:spacing w:after="0" w:line="240" w:lineRule="auto"/>
              <w:jc w:val="center"/>
              <w:rPr>
                <w:rFonts w:ascii="Times New Roman" w:hAnsi="Times New Roman" w:cs="Times New Roman"/>
                <w:b/>
                <w:sz w:val="20"/>
                <w:szCs w:val="20"/>
                <w:lang w:val="ro-RO"/>
              </w:rPr>
            </w:pPr>
          </w:p>
        </w:tc>
        <w:tc>
          <w:tcPr>
            <w:tcW w:w="806" w:type="dxa"/>
            <w:vAlign w:val="center"/>
          </w:tcPr>
          <w:p w14:paraId="79B90490" w14:textId="77777777" w:rsidR="00650793" w:rsidRPr="00650D66" w:rsidRDefault="00650793" w:rsidP="007520CC">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realizat</w:t>
            </w:r>
          </w:p>
        </w:tc>
        <w:tc>
          <w:tcPr>
            <w:tcW w:w="844" w:type="dxa"/>
            <w:vAlign w:val="center"/>
          </w:tcPr>
          <w:p w14:paraId="49F108E4" w14:textId="77777777" w:rsidR="00650793" w:rsidRPr="00650D66" w:rsidRDefault="00650793" w:rsidP="007520CC">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parțial realizat</w:t>
            </w:r>
          </w:p>
        </w:tc>
        <w:tc>
          <w:tcPr>
            <w:tcW w:w="902" w:type="dxa"/>
            <w:vAlign w:val="center"/>
          </w:tcPr>
          <w:p w14:paraId="3EEEE0FB" w14:textId="77777777" w:rsidR="00650793" w:rsidRPr="00650D66" w:rsidRDefault="00650793" w:rsidP="007520CC">
            <w:pPr>
              <w:tabs>
                <w:tab w:val="left" w:pos="720"/>
              </w:tabs>
              <w:spacing w:after="0" w:line="240" w:lineRule="auto"/>
              <w:jc w:val="center"/>
              <w:rPr>
                <w:rFonts w:ascii="Times New Roman" w:hAnsi="Times New Roman" w:cs="Times New Roman"/>
                <w:b/>
                <w:sz w:val="20"/>
                <w:szCs w:val="20"/>
                <w:lang w:val="ro-RO"/>
              </w:rPr>
            </w:pPr>
            <w:r w:rsidRPr="00650D66">
              <w:rPr>
                <w:rFonts w:ascii="Times New Roman" w:hAnsi="Times New Roman" w:cs="Times New Roman"/>
                <w:b/>
                <w:sz w:val="20"/>
                <w:szCs w:val="20"/>
                <w:lang w:val="ro-RO"/>
              </w:rPr>
              <w:t>nerealizat</w:t>
            </w:r>
          </w:p>
        </w:tc>
      </w:tr>
      <w:tr w:rsidR="00650793" w:rsidRPr="00650D66" w14:paraId="250A922A" w14:textId="77777777" w:rsidTr="00E3405B">
        <w:tc>
          <w:tcPr>
            <w:tcW w:w="4957" w:type="dxa"/>
          </w:tcPr>
          <w:p w14:paraId="5BD31731" w14:textId="77777777" w:rsidR="00650793" w:rsidRPr="00650D66" w:rsidRDefault="00BB3ACC" w:rsidP="007520CC">
            <w:pPr>
              <w:pStyle w:val="ListParagraph"/>
              <w:tabs>
                <w:tab w:val="left" w:pos="851"/>
              </w:tabs>
              <w:spacing w:after="0" w:line="240" w:lineRule="auto"/>
              <w:ind w:left="0"/>
              <w:jc w:val="both"/>
              <w:rPr>
                <w:rFonts w:ascii="Times New Roman" w:hAnsi="Times New Roman" w:cs="Times New Roman"/>
                <w:noProof/>
                <w:sz w:val="20"/>
                <w:szCs w:val="20"/>
                <w:lang w:val="ro-RO"/>
              </w:rPr>
            </w:pPr>
            <w:r w:rsidRPr="00650D66">
              <w:rPr>
                <w:rFonts w:ascii="Times New Roman" w:hAnsi="Times New Roman" w:cs="Times New Roman"/>
                <w:b/>
                <w:noProof/>
                <w:sz w:val="20"/>
                <w:szCs w:val="20"/>
                <w:lang w:val="ro-RO"/>
              </w:rPr>
              <w:t xml:space="preserve">Ministerului Finanțelor, </w:t>
            </w:r>
            <w:r w:rsidRPr="00650D66">
              <w:rPr>
                <w:rFonts w:ascii="Times New Roman" w:hAnsi="Times New Roman" w:cs="Times New Roman"/>
                <w:noProof/>
                <w:sz w:val="20"/>
                <w:szCs w:val="20"/>
                <w:lang w:val="ro-RO"/>
              </w:rPr>
              <w:t>pentru informare și autosesizare în vederea întreprinderii măsurilor ce se impun referitor la impozitarea activității de întreprinzător desfășurate de către un titular de patentă și o asociație obștească (situații descrise în paragraful nr.4.5.2. din Raportul de audit);</w:t>
            </w:r>
          </w:p>
        </w:tc>
        <w:tc>
          <w:tcPr>
            <w:tcW w:w="6945" w:type="dxa"/>
          </w:tcPr>
          <w:p w14:paraId="4C2D9362" w14:textId="77777777" w:rsidR="008244CD" w:rsidRPr="00650D66" w:rsidRDefault="008244CD" w:rsidP="008244CD">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 xml:space="preserve">Prin scrisoarea SFS nr.26-07/2-15/11157 din 14.05.2020, s-a afirmat că s-a efectuat la agentul economic control fiscal prin metoda de verificare parțială, privind relațiile economice și financiare cu BNM. </w:t>
            </w:r>
          </w:p>
          <w:p w14:paraId="0B7BF59D" w14:textId="77777777" w:rsidR="008244CD" w:rsidRPr="00650D66" w:rsidRDefault="00E512DB" w:rsidP="008244CD">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 xml:space="preserve"> Î</w:t>
            </w:r>
            <w:r w:rsidR="008244CD" w:rsidRPr="00650D66">
              <w:rPr>
                <w:rFonts w:ascii="Times New Roman" w:hAnsi="Times New Roman" w:cs="Times New Roman"/>
                <w:sz w:val="20"/>
                <w:szCs w:val="20"/>
                <w:lang w:val="ro-RO"/>
              </w:rPr>
              <w:t>n rezultatul efectuării controlului fiscal nu au fost constatate încălcări ale prevederilor legislației în vigoare.</w:t>
            </w:r>
          </w:p>
          <w:p w14:paraId="2D8A47CD" w14:textId="77777777" w:rsidR="00650793" w:rsidRPr="00650D66" w:rsidRDefault="00650793" w:rsidP="008244CD">
            <w:pPr>
              <w:tabs>
                <w:tab w:val="left" w:pos="720"/>
              </w:tabs>
              <w:spacing w:after="0" w:line="240" w:lineRule="auto"/>
              <w:jc w:val="both"/>
              <w:rPr>
                <w:rFonts w:ascii="Times New Roman" w:hAnsi="Times New Roman" w:cs="Times New Roman"/>
                <w:sz w:val="20"/>
                <w:szCs w:val="20"/>
                <w:lang w:val="ro-RO"/>
              </w:rPr>
            </w:pPr>
          </w:p>
        </w:tc>
        <w:tc>
          <w:tcPr>
            <w:tcW w:w="806" w:type="dxa"/>
          </w:tcPr>
          <w:p w14:paraId="2CF14D0E" w14:textId="77777777" w:rsidR="00650793" w:rsidRPr="00650D66" w:rsidRDefault="003D769F" w:rsidP="003D769F">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14:paraId="4025D3CC" w14:textId="77777777" w:rsidR="00650793" w:rsidRPr="00650D66" w:rsidRDefault="00650793" w:rsidP="007520CC">
            <w:pPr>
              <w:tabs>
                <w:tab w:val="left" w:pos="720"/>
              </w:tabs>
              <w:spacing w:after="0" w:line="240" w:lineRule="auto"/>
              <w:jc w:val="right"/>
              <w:rPr>
                <w:rFonts w:ascii="Times New Roman" w:hAnsi="Times New Roman" w:cs="Times New Roman"/>
                <w:sz w:val="20"/>
                <w:szCs w:val="20"/>
                <w:lang w:val="ro-RO"/>
              </w:rPr>
            </w:pPr>
          </w:p>
        </w:tc>
        <w:tc>
          <w:tcPr>
            <w:tcW w:w="902" w:type="dxa"/>
          </w:tcPr>
          <w:p w14:paraId="063B1E6B" w14:textId="77777777" w:rsidR="00650793" w:rsidRPr="00650D66" w:rsidRDefault="00650793" w:rsidP="007520CC">
            <w:pPr>
              <w:tabs>
                <w:tab w:val="left" w:pos="720"/>
              </w:tabs>
              <w:spacing w:after="0" w:line="240" w:lineRule="auto"/>
              <w:jc w:val="right"/>
              <w:rPr>
                <w:rFonts w:ascii="Times New Roman" w:hAnsi="Times New Roman" w:cs="Times New Roman"/>
                <w:sz w:val="20"/>
                <w:szCs w:val="20"/>
                <w:lang w:val="ro-RO"/>
              </w:rPr>
            </w:pPr>
          </w:p>
        </w:tc>
      </w:tr>
      <w:tr w:rsidR="00552B4E" w:rsidRPr="00650D66" w14:paraId="1707615F" w14:textId="77777777" w:rsidTr="00E3405B">
        <w:tc>
          <w:tcPr>
            <w:tcW w:w="14454" w:type="dxa"/>
            <w:gridSpan w:val="5"/>
          </w:tcPr>
          <w:p w14:paraId="21961DF1" w14:textId="77777777" w:rsidR="00552B4E" w:rsidRPr="00650D66" w:rsidRDefault="00552B4E" w:rsidP="007520CC">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b/>
                <w:sz w:val="20"/>
                <w:szCs w:val="20"/>
                <w:lang w:val="ro-RO"/>
              </w:rPr>
              <w:t>Băncii Naționale a Moldovei</w:t>
            </w:r>
          </w:p>
        </w:tc>
      </w:tr>
      <w:tr w:rsidR="00650793" w:rsidRPr="00650D66" w14:paraId="5C451211" w14:textId="77777777" w:rsidTr="00E3405B">
        <w:tc>
          <w:tcPr>
            <w:tcW w:w="4957" w:type="dxa"/>
          </w:tcPr>
          <w:p w14:paraId="112F438B" w14:textId="77777777" w:rsidR="00650793" w:rsidRPr="00650D66" w:rsidRDefault="0004000E" w:rsidP="007520CC">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1.</w:t>
            </w:r>
            <w:r w:rsidR="00BB3ACC" w:rsidRPr="00650D66">
              <w:rPr>
                <w:rFonts w:ascii="Times New Roman" w:hAnsi="Times New Roman" w:cs="Times New Roman"/>
                <w:sz w:val="20"/>
                <w:szCs w:val="20"/>
                <w:lang w:val="ro-RO"/>
              </w:rPr>
              <w:t xml:space="preserve">Să elaboreze și să implementeze reglementări cu privire la </w:t>
            </w:r>
            <w:r w:rsidR="00BB3ACC" w:rsidRPr="00650D66">
              <w:rPr>
                <w:rStyle w:val="20"/>
                <w:rFonts w:ascii="Times New Roman" w:hAnsi="Times New Roman" w:cs="Times New Roman"/>
                <w:b w:val="0"/>
                <w:sz w:val="20"/>
                <w:szCs w:val="20"/>
                <w:lang w:val="ro-RO"/>
              </w:rPr>
              <w:t>condițiile de efectuare a plăților stimulatorii pentru membrii Comitetului executiv al Băncii Naționale a Moldovei, în scopul consolidării temeiului plăților de stimulare a acestora</w:t>
            </w:r>
            <w:r w:rsidRPr="00650D66">
              <w:rPr>
                <w:rStyle w:val="20"/>
                <w:rFonts w:ascii="Times New Roman" w:hAnsi="Times New Roman" w:cs="Times New Roman"/>
                <w:b w:val="0"/>
                <w:sz w:val="20"/>
                <w:szCs w:val="20"/>
                <w:lang w:val="ro-RO"/>
              </w:rPr>
              <w:t>.</w:t>
            </w:r>
          </w:p>
        </w:tc>
        <w:tc>
          <w:tcPr>
            <w:tcW w:w="6945" w:type="dxa"/>
          </w:tcPr>
          <w:p w14:paraId="5D3EF0A7" w14:textId="77777777" w:rsidR="00650793" w:rsidRPr="00650D66" w:rsidRDefault="00357C4A" w:rsidP="00357C4A">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Prin Hotărârea Consiliului de supraveghere al BNM nr.33 din 12.12.2019 au fost aprobate modificări la Regulamentul privind salarizarea angajaților BNM</w:t>
            </w:r>
            <w:r w:rsidR="007E0C53" w:rsidRPr="00650D66">
              <w:rPr>
                <w:rFonts w:ascii="Times New Roman" w:hAnsi="Times New Roman" w:cs="Times New Roman"/>
                <w:sz w:val="20"/>
                <w:szCs w:val="20"/>
                <w:lang w:val="ro-RO"/>
              </w:rPr>
              <w:t xml:space="preserve"> (aprobat prin HCS nr.5 din 11.07.2018).</w:t>
            </w:r>
            <w:r w:rsidRPr="00650D66">
              <w:rPr>
                <w:rFonts w:ascii="Times New Roman" w:hAnsi="Times New Roman" w:cs="Times New Roman"/>
                <w:sz w:val="20"/>
                <w:szCs w:val="20"/>
                <w:lang w:val="ro-RO"/>
              </w:rPr>
              <w:t xml:space="preserve"> </w:t>
            </w:r>
          </w:p>
        </w:tc>
        <w:tc>
          <w:tcPr>
            <w:tcW w:w="806" w:type="dxa"/>
          </w:tcPr>
          <w:p w14:paraId="52A3299B" w14:textId="77777777" w:rsidR="00650793" w:rsidRPr="00650D66" w:rsidRDefault="007E0C53" w:rsidP="007E0C53">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14:paraId="58801193" w14:textId="77777777" w:rsidR="00650793" w:rsidRPr="00650D66" w:rsidRDefault="00650793" w:rsidP="007E0C53">
            <w:pPr>
              <w:tabs>
                <w:tab w:val="left" w:pos="720"/>
              </w:tabs>
              <w:spacing w:after="0" w:line="240" w:lineRule="auto"/>
              <w:jc w:val="center"/>
              <w:rPr>
                <w:rFonts w:ascii="Times New Roman" w:hAnsi="Times New Roman" w:cs="Times New Roman"/>
                <w:sz w:val="20"/>
                <w:szCs w:val="20"/>
                <w:lang w:val="ro-RO"/>
              </w:rPr>
            </w:pPr>
          </w:p>
        </w:tc>
        <w:tc>
          <w:tcPr>
            <w:tcW w:w="902" w:type="dxa"/>
          </w:tcPr>
          <w:p w14:paraId="442F0E51" w14:textId="77777777" w:rsidR="00650793" w:rsidRPr="00650D66" w:rsidRDefault="00650793" w:rsidP="007520CC">
            <w:pPr>
              <w:tabs>
                <w:tab w:val="left" w:pos="720"/>
              </w:tabs>
              <w:spacing w:after="0" w:line="240" w:lineRule="auto"/>
              <w:jc w:val="right"/>
              <w:rPr>
                <w:rFonts w:ascii="Times New Roman" w:hAnsi="Times New Roman" w:cs="Times New Roman"/>
                <w:sz w:val="20"/>
                <w:szCs w:val="20"/>
                <w:lang w:val="ro-RO"/>
              </w:rPr>
            </w:pPr>
          </w:p>
        </w:tc>
      </w:tr>
      <w:tr w:rsidR="00BB3ACC" w:rsidRPr="00650D66" w14:paraId="4F440749" w14:textId="77777777" w:rsidTr="00E3405B">
        <w:tc>
          <w:tcPr>
            <w:tcW w:w="4957" w:type="dxa"/>
          </w:tcPr>
          <w:p w14:paraId="60D2EB71" w14:textId="77777777" w:rsidR="00BB3ACC" w:rsidRPr="00650D66" w:rsidRDefault="0004000E" w:rsidP="007520CC">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2.</w:t>
            </w:r>
            <w:r w:rsidR="00BB3ACC" w:rsidRPr="00650D66">
              <w:rPr>
                <w:rFonts w:ascii="Times New Roman" w:hAnsi="Times New Roman" w:cs="Times New Roman"/>
                <w:sz w:val="20"/>
                <w:szCs w:val="20"/>
                <w:lang w:val="ro-RO"/>
              </w:rPr>
              <w:t>Să dezvolte normele interne aferente stabilirii primelor de performanță, pentru consolidarea procesului de stimulare a personalului Băncii Naționale</w:t>
            </w:r>
            <w:r w:rsidRPr="00650D66">
              <w:rPr>
                <w:rFonts w:ascii="Times New Roman" w:hAnsi="Times New Roman" w:cs="Times New Roman"/>
                <w:sz w:val="20"/>
                <w:szCs w:val="20"/>
                <w:lang w:val="ro-RO"/>
              </w:rPr>
              <w:t>.</w:t>
            </w:r>
          </w:p>
        </w:tc>
        <w:tc>
          <w:tcPr>
            <w:tcW w:w="6945" w:type="dxa"/>
          </w:tcPr>
          <w:p w14:paraId="169F4304" w14:textId="77777777" w:rsidR="00BB3ACC" w:rsidRPr="00650D66" w:rsidRDefault="007E0C53" w:rsidP="007E0C53">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Prin Hotărârea Consiliului de supraveghere al BNM nr.33 din 12.12.2019 au fost aprobate modificări la Regulamentul privind salarizarea angajaților BNM (aprobat prin HCS nr.5 din 11.07.2018).</w:t>
            </w:r>
          </w:p>
        </w:tc>
        <w:tc>
          <w:tcPr>
            <w:tcW w:w="806" w:type="dxa"/>
          </w:tcPr>
          <w:p w14:paraId="76DAB8AE" w14:textId="77777777" w:rsidR="00BB3ACC" w:rsidRPr="00650D66" w:rsidRDefault="007E0C53" w:rsidP="007E0C53">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14:paraId="3FEBEF4F" w14:textId="77777777" w:rsidR="00BB3ACC" w:rsidRPr="00650D66" w:rsidRDefault="00BB3ACC" w:rsidP="007E0C53">
            <w:pPr>
              <w:tabs>
                <w:tab w:val="left" w:pos="720"/>
              </w:tabs>
              <w:spacing w:after="0" w:line="240" w:lineRule="auto"/>
              <w:jc w:val="center"/>
              <w:rPr>
                <w:rFonts w:ascii="Times New Roman" w:hAnsi="Times New Roman" w:cs="Times New Roman"/>
                <w:sz w:val="20"/>
                <w:szCs w:val="20"/>
                <w:lang w:val="ro-RO"/>
              </w:rPr>
            </w:pPr>
          </w:p>
        </w:tc>
        <w:tc>
          <w:tcPr>
            <w:tcW w:w="902" w:type="dxa"/>
          </w:tcPr>
          <w:p w14:paraId="59488C87"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r>
      <w:tr w:rsidR="00650793" w:rsidRPr="00650D66" w14:paraId="1BD95C3E" w14:textId="77777777" w:rsidTr="00E3405B">
        <w:tc>
          <w:tcPr>
            <w:tcW w:w="4957" w:type="dxa"/>
          </w:tcPr>
          <w:p w14:paraId="7FD8591A" w14:textId="77777777" w:rsidR="00650793" w:rsidRPr="00650D66" w:rsidRDefault="0004000E" w:rsidP="007520CC">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3.</w:t>
            </w:r>
            <w:r w:rsidR="00BB3ACC" w:rsidRPr="00650D66">
              <w:rPr>
                <w:rFonts w:ascii="Times New Roman" w:hAnsi="Times New Roman" w:cs="Times New Roman"/>
                <w:sz w:val="20"/>
                <w:szCs w:val="20"/>
                <w:lang w:val="ro-RO"/>
              </w:rPr>
              <w:t xml:space="preserve">Să asigure </w:t>
            </w:r>
            <w:r w:rsidR="00BB3ACC" w:rsidRPr="00650D66">
              <w:rPr>
                <w:rFonts w:ascii="Times New Roman" w:hAnsi="Times New Roman" w:cs="Times New Roman"/>
                <w:sz w:val="20"/>
                <w:szCs w:val="20"/>
                <w:lang w:val="ro-RO" w:eastAsia="ru-RU"/>
              </w:rPr>
              <w:t xml:space="preserve">întocmirea Rapoartelor de deplasare în scop de serviciu, care să conțină informații privind scopul </w:t>
            </w:r>
            <w:r w:rsidR="003226F1" w:rsidRPr="00650D66">
              <w:rPr>
                <w:rFonts w:ascii="Times New Roman" w:hAnsi="Times New Roman" w:cs="Times New Roman"/>
                <w:sz w:val="20"/>
                <w:szCs w:val="20"/>
                <w:lang w:val="ro-RO" w:eastAsia="ru-RU"/>
              </w:rPr>
              <w:t>și</w:t>
            </w:r>
            <w:r w:rsidR="00BB3ACC" w:rsidRPr="00650D66">
              <w:rPr>
                <w:rFonts w:ascii="Times New Roman" w:hAnsi="Times New Roman" w:cs="Times New Roman"/>
                <w:sz w:val="20"/>
                <w:szCs w:val="20"/>
                <w:lang w:val="ro-RO" w:eastAsia="ru-RU"/>
              </w:rPr>
              <w:t xml:space="preserve"> rezultatele deplasării</w:t>
            </w:r>
            <w:r w:rsidRPr="00650D66">
              <w:rPr>
                <w:rFonts w:ascii="Times New Roman" w:hAnsi="Times New Roman" w:cs="Times New Roman"/>
                <w:sz w:val="20"/>
                <w:szCs w:val="20"/>
                <w:lang w:val="ro-RO" w:eastAsia="ru-RU"/>
              </w:rPr>
              <w:t>.</w:t>
            </w:r>
          </w:p>
        </w:tc>
        <w:tc>
          <w:tcPr>
            <w:tcW w:w="6945" w:type="dxa"/>
          </w:tcPr>
          <w:p w14:paraId="29DF35A1" w14:textId="77777777" w:rsidR="00650793" w:rsidRPr="00650D66" w:rsidRDefault="007E0C53" w:rsidP="007E0C53">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Au fost efectuate și aprobate modificări la Regulamentul intern aprobat prin HCE al BNM nr.190 din 08.09.2022.</w:t>
            </w:r>
          </w:p>
        </w:tc>
        <w:tc>
          <w:tcPr>
            <w:tcW w:w="806" w:type="dxa"/>
          </w:tcPr>
          <w:p w14:paraId="73192CA3" w14:textId="77777777" w:rsidR="00650793" w:rsidRPr="00650D66" w:rsidRDefault="007E0C53" w:rsidP="007E0C53">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14:paraId="27D2708A" w14:textId="77777777" w:rsidR="00650793" w:rsidRPr="00650D66" w:rsidRDefault="00650793" w:rsidP="007E0C53">
            <w:pPr>
              <w:tabs>
                <w:tab w:val="left" w:pos="720"/>
              </w:tabs>
              <w:spacing w:after="0" w:line="240" w:lineRule="auto"/>
              <w:jc w:val="center"/>
              <w:rPr>
                <w:rFonts w:ascii="Times New Roman" w:hAnsi="Times New Roman" w:cs="Times New Roman"/>
                <w:sz w:val="20"/>
                <w:szCs w:val="20"/>
                <w:lang w:val="ro-RO"/>
              </w:rPr>
            </w:pPr>
          </w:p>
        </w:tc>
        <w:tc>
          <w:tcPr>
            <w:tcW w:w="902" w:type="dxa"/>
          </w:tcPr>
          <w:p w14:paraId="4F341368" w14:textId="77777777" w:rsidR="00650793" w:rsidRPr="00650D66" w:rsidRDefault="00650793" w:rsidP="007520CC">
            <w:pPr>
              <w:tabs>
                <w:tab w:val="left" w:pos="720"/>
              </w:tabs>
              <w:spacing w:after="0" w:line="240" w:lineRule="auto"/>
              <w:jc w:val="right"/>
              <w:rPr>
                <w:rFonts w:ascii="Times New Roman" w:hAnsi="Times New Roman" w:cs="Times New Roman"/>
                <w:sz w:val="20"/>
                <w:szCs w:val="20"/>
                <w:lang w:val="ro-RO"/>
              </w:rPr>
            </w:pPr>
          </w:p>
        </w:tc>
      </w:tr>
      <w:tr w:rsidR="00BB3ACC" w:rsidRPr="00650D66" w14:paraId="5AE759A9" w14:textId="77777777" w:rsidTr="00E3405B">
        <w:tc>
          <w:tcPr>
            <w:tcW w:w="4957" w:type="dxa"/>
          </w:tcPr>
          <w:p w14:paraId="7CB479BB" w14:textId="77777777" w:rsidR="00BB3ACC" w:rsidRPr="00650D66" w:rsidRDefault="0004000E" w:rsidP="007520CC">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eastAsia="ru-RU"/>
              </w:rPr>
              <w:t>4.</w:t>
            </w:r>
            <w:r w:rsidR="00BB3ACC" w:rsidRPr="00650D66">
              <w:rPr>
                <w:rFonts w:ascii="Times New Roman" w:hAnsi="Times New Roman" w:cs="Times New Roman"/>
                <w:sz w:val="20"/>
                <w:szCs w:val="20"/>
                <w:lang w:val="ro-RO" w:eastAsia="ru-RU"/>
              </w:rPr>
              <w:t>Să ajusteze reglementările interne cu prevederi exhaustive aferente cheltuielilor de promovare a imaginii BNM</w:t>
            </w:r>
          </w:p>
        </w:tc>
        <w:tc>
          <w:tcPr>
            <w:tcW w:w="6945" w:type="dxa"/>
          </w:tcPr>
          <w:p w14:paraId="32AEF884" w14:textId="77777777" w:rsidR="00BB3ACC" w:rsidRPr="00650D66" w:rsidRDefault="00ED777F" w:rsidP="000A40EA">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Proiectul Regulamentului se află repetat la etapa de coordonare și aviza</w:t>
            </w:r>
            <w:r w:rsidR="008635A1" w:rsidRPr="00650D66">
              <w:rPr>
                <w:rFonts w:ascii="Times New Roman" w:hAnsi="Times New Roman" w:cs="Times New Roman"/>
                <w:sz w:val="20"/>
                <w:szCs w:val="20"/>
                <w:lang w:val="ro-RO"/>
              </w:rPr>
              <w:t xml:space="preserve">re în subdiviziunile implicate. </w:t>
            </w:r>
            <w:r w:rsidRPr="00650D66">
              <w:rPr>
                <w:rFonts w:ascii="Times New Roman" w:hAnsi="Times New Roman" w:cs="Times New Roman"/>
                <w:sz w:val="20"/>
                <w:szCs w:val="20"/>
                <w:lang w:val="ro-RO"/>
              </w:rPr>
              <w:t>Urmează definitivarea redacției regulamentului și prezentarea spre aprobare prin HCE. A fost solicitată extinderea termenului de realizare până la 31.12.2023.</w:t>
            </w:r>
          </w:p>
          <w:p w14:paraId="7D80A3E9" w14:textId="77777777" w:rsidR="00A96173" w:rsidRPr="00650D66" w:rsidRDefault="00A96173" w:rsidP="000A40EA">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Proiectul regulamentului a fost completat cu tipurile de cheltuieli de reprezentanță, care includ și cheltuielile privind organizarea evenimentelor de promovare a imaginii BNM cu reglementările procedurale aferente.</w:t>
            </w:r>
          </w:p>
        </w:tc>
        <w:tc>
          <w:tcPr>
            <w:tcW w:w="806" w:type="dxa"/>
          </w:tcPr>
          <w:p w14:paraId="4B1D182E"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c>
          <w:tcPr>
            <w:tcW w:w="844" w:type="dxa"/>
          </w:tcPr>
          <w:p w14:paraId="36358456" w14:textId="77777777" w:rsidR="00BB3ACC" w:rsidRPr="00650D66" w:rsidRDefault="00C61D72" w:rsidP="007E0C53">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p w14:paraId="3E22B919" w14:textId="77777777" w:rsidR="00C61D72" w:rsidRPr="00650D66" w:rsidRDefault="00C61D72" w:rsidP="007E0C53">
            <w:pPr>
              <w:tabs>
                <w:tab w:val="left" w:pos="720"/>
              </w:tabs>
              <w:spacing w:after="0" w:line="240" w:lineRule="auto"/>
              <w:jc w:val="center"/>
              <w:rPr>
                <w:rFonts w:ascii="Times New Roman" w:hAnsi="Times New Roman" w:cs="Times New Roman"/>
                <w:i/>
                <w:sz w:val="20"/>
                <w:szCs w:val="20"/>
                <w:lang w:val="ro-RO"/>
              </w:rPr>
            </w:pPr>
            <w:r w:rsidRPr="00650D66">
              <w:rPr>
                <w:rFonts w:ascii="Times New Roman" w:hAnsi="Times New Roman" w:cs="Times New Roman"/>
                <w:i/>
                <w:sz w:val="20"/>
                <w:szCs w:val="20"/>
                <w:lang w:val="ro-RO"/>
              </w:rPr>
              <w:t>se reiterează</w:t>
            </w:r>
          </w:p>
        </w:tc>
        <w:tc>
          <w:tcPr>
            <w:tcW w:w="902" w:type="dxa"/>
          </w:tcPr>
          <w:p w14:paraId="5523D676"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r>
      <w:tr w:rsidR="00BB3ACC" w:rsidRPr="00650D66" w14:paraId="17FF8768" w14:textId="77777777" w:rsidTr="00E3405B">
        <w:tc>
          <w:tcPr>
            <w:tcW w:w="4957" w:type="dxa"/>
          </w:tcPr>
          <w:p w14:paraId="78679EB4" w14:textId="77777777" w:rsidR="00BB3ACC" w:rsidRPr="00650D66" w:rsidRDefault="0004000E" w:rsidP="007520CC">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5.</w:t>
            </w:r>
            <w:r w:rsidR="00BB3ACC" w:rsidRPr="00650D66">
              <w:rPr>
                <w:rFonts w:ascii="Times New Roman" w:hAnsi="Times New Roman" w:cs="Times New Roman"/>
                <w:sz w:val="20"/>
                <w:szCs w:val="20"/>
                <w:lang w:val="ro-RO"/>
              </w:rPr>
              <w:t>Să elaboreze/să ajusteze cadrul de reglementare intern, care să stabilească prevederi exhaustive privind atribuirea detaliată și corectă a tipurilor de imobilizări la categoriile de amortizare</w:t>
            </w:r>
            <w:r w:rsidRPr="00650D66">
              <w:rPr>
                <w:rFonts w:ascii="Times New Roman" w:hAnsi="Times New Roman" w:cs="Times New Roman"/>
                <w:sz w:val="20"/>
                <w:szCs w:val="20"/>
                <w:lang w:val="ro-RO"/>
              </w:rPr>
              <w:t>.</w:t>
            </w:r>
          </w:p>
        </w:tc>
        <w:tc>
          <w:tcPr>
            <w:tcW w:w="6945" w:type="dxa"/>
          </w:tcPr>
          <w:p w14:paraId="3A405853" w14:textId="77777777" w:rsidR="00BB3ACC" w:rsidRPr="00650D66" w:rsidRDefault="008408C2" w:rsidP="008408C2">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Catalogul privind clasificarea și durata de funcționare utilă a imobilizărilor corporale și necorporale a fost aprobat pe data de 31.12.2020. Totodată, prin HCE nr.354 din 27.12.2019 au fost aprobate Politicile contabile ale BNM.</w:t>
            </w:r>
          </w:p>
        </w:tc>
        <w:tc>
          <w:tcPr>
            <w:tcW w:w="806" w:type="dxa"/>
          </w:tcPr>
          <w:p w14:paraId="51894896" w14:textId="77777777" w:rsidR="00BB3ACC" w:rsidRPr="00650D66" w:rsidRDefault="008408C2" w:rsidP="008408C2">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14:paraId="1AB27391"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c>
          <w:tcPr>
            <w:tcW w:w="902" w:type="dxa"/>
          </w:tcPr>
          <w:p w14:paraId="4B0849AE"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r>
      <w:tr w:rsidR="00BB3ACC" w:rsidRPr="00650D66" w14:paraId="334AA789" w14:textId="77777777" w:rsidTr="00E3405B">
        <w:tc>
          <w:tcPr>
            <w:tcW w:w="4957" w:type="dxa"/>
          </w:tcPr>
          <w:p w14:paraId="40FA6989" w14:textId="77777777" w:rsidR="00BB3ACC" w:rsidRPr="00650D66" w:rsidRDefault="0004000E" w:rsidP="007520CC">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6.</w:t>
            </w:r>
            <w:r w:rsidR="00BB3ACC" w:rsidRPr="00650D66">
              <w:rPr>
                <w:rFonts w:ascii="Times New Roman" w:hAnsi="Times New Roman" w:cs="Times New Roman"/>
                <w:sz w:val="20"/>
                <w:szCs w:val="20"/>
                <w:lang w:val="ro-RO"/>
              </w:rPr>
              <w:t>Să consolideze procedurile de control intern în aspectul calificării corespunzătoare a operatorilor economici participanți în cadrul achizițiilor publice</w:t>
            </w:r>
          </w:p>
        </w:tc>
        <w:tc>
          <w:tcPr>
            <w:tcW w:w="6945" w:type="dxa"/>
          </w:tcPr>
          <w:p w14:paraId="61AF94EB" w14:textId="77777777" w:rsidR="00BB3ACC" w:rsidRPr="00650D66" w:rsidRDefault="00554CFF" w:rsidP="00554CFF">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 xml:space="preserve">Deoarece Declarația nu este o cerință expres stabilită prin cadrul legislativ, asigurarea respectării recomandării CCRM se realizează prin verificarea Statutului entității, după caz a patentei, de către Grupul de lucru privind achizițiile, care este o cerință în baza art.17 (1) din Legea nr.131/2015. În cadrul procedurii </w:t>
            </w:r>
            <w:r w:rsidRPr="00650D66">
              <w:rPr>
                <w:rFonts w:ascii="Times New Roman" w:hAnsi="Times New Roman" w:cs="Times New Roman"/>
                <w:sz w:val="20"/>
                <w:szCs w:val="20"/>
                <w:lang w:val="ro-RO"/>
              </w:rPr>
              <w:lastRenderedPageBreak/>
              <w:t>de achiziții se solicită documente suplimentare pentru a stabili corespunderea scopurilor, sarcinilor și tipurilor de activitate și legalitatea participării operatorului economic la procedurile de achiziție și dreptul de a livra bunul, presta serviciul sau executa lucrarea respectivă.</w:t>
            </w:r>
          </w:p>
        </w:tc>
        <w:tc>
          <w:tcPr>
            <w:tcW w:w="806" w:type="dxa"/>
          </w:tcPr>
          <w:p w14:paraId="27F0E7A5" w14:textId="77777777" w:rsidR="00BB3ACC" w:rsidRPr="00650D66" w:rsidRDefault="00554CFF" w:rsidP="00554CFF">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lastRenderedPageBreak/>
              <w:t>v</w:t>
            </w:r>
          </w:p>
        </w:tc>
        <w:tc>
          <w:tcPr>
            <w:tcW w:w="844" w:type="dxa"/>
          </w:tcPr>
          <w:p w14:paraId="5FF36A79"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c>
          <w:tcPr>
            <w:tcW w:w="902" w:type="dxa"/>
          </w:tcPr>
          <w:p w14:paraId="18489361"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r>
      <w:tr w:rsidR="00BB3ACC" w:rsidRPr="00650D66" w14:paraId="3A56FCFF" w14:textId="77777777" w:rsidTr="00E3405B">
        <w:tc>
          <w:tcPr>
            <w:tcW w:w="4957" w:type="dxa"/>
          </w:tcPr>
          <w:p w14:paraId="520A0E8E" w14:textId="77777777" w:rsidR="00BB3ACC" w:rsidRPr="00650D66" w:rsidRDefault="0004000E" w:rsidP="007520CC">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7.</w:t>
            </w:r>
            <w:r w:rsidR="00BB3ACC" w:rsidRPr="00650D66">
              <w:rPr>
                <w:rFonts w:ascii="Times New Roman" w:hAnsi="Times New Roman" w:cs="Times New Roman"/>
                <w:sz w:val="20"/>
                <w:szCs w:val="20"/>
                <w:lang w:val="ro-RO"/>
              </w:rPr>
              <w:t>Să aprobe Regulamentul cu privire la funcționarea Comitetului executiv al Băncii Naționale a Moldovei</w:t>
            </w:r>
          </w:p>
        </w:tc>
        <w:tc>
          <w:tcPr>
            <w:tcW w:w="6945" w:type="dxa"/>
          </w:tcPr>
          <w:p w14:paraId="66DD4AFB" w14:textId="77777777" w:rsidR="00BB3ACC" w:rsidRPr="00650D66" w:rsidRDefault="00B53F03" w:rsidP="00B53F03">
            <w:pPr>
              <w:tabs>
                <w:tab w:val="left" w:pos="720"/>
              </w:tabs>
              <w:spacing w:after="0" w:line="240" w:lineRule="auto"/>
              <w:jc w:val="both"/>
              <w:rPr>
                <w:rFonts w:ascii="Times New Roman" w:hAnsi="Times New Roman" w:cs="Times New Roman"/>
                <w:sz w:val="20"/>
                <w:szCs w:val="20"/>
                <w:lang w:val="ro-RO"/>
              </w:rPr>
            </w:pPr>
            <w:r w:rsidRPr="00650D66">
              <w:rPr>
                <w:rFonts w:ascii="Times New Roman" w:hAnsi="Times New Roman" w:cs="Times New Roman"/>
                <w:sz w:val="20"/>
                <w:szCs w:val="20"/>
                <w:lang w:val="ro-RO"/>
              </w:rPr>
              <w:t>Regulamentul de funcționare a Comitetului executiv a fost aprobat prin HCE al BNM nr.214 din 24.09.2020.</w:t>
            </w:r>
          </w:p>
        </w:tc>
        <w:tc>
          <w:tcPr>
            <w:tcW w:w="806" w:type="dxa"/>
          </w:tcPr>
          <w:p w14:paraId="52926084" w14:textId="77777777" w:rsidR="00BB3ACC" w:rsidRPr="00650D66" w:rsidRDefault="00B53F03" w:rsidP="00B53F03">
            <w:pPr>
              <w:tabs>
                <w:tab w:val="left" w:pos="720"/>
              </w:tabs>
              <w:spacing w:after="0" w:line="240" w:lineRule="auto"/>
              <w:jc w:val="center"/>
              <w:rPr>
                <w:rFonts w:ascii="Times New Roman" w:hAnsi="Times New Roman" w:cs="Times New Roman"/>
                <w:sz w:val="20"/>
                <w:szCs w:val="20"/>
                <w:lang w:val="ro-RO"/>
              </w:rPr>
            </w:pPr>
            <w:r w:rsidRPr="00650D66">
              <w:rPr>
                <w:rFonts w:ascii="Times New Roman" w:hAnsi="Times New Roman" w:cs="Times New Roman"/>
                <w:sz w:val="20"/>
                <w:szCs w:val="20"/>
                <w:lang w:val="ro-RO"/>
              </w:rPr>
              <w:t>v</w:t>
            </w:r>
          </w:p>
        </w:tc>
        <w:tc>
          <w:tcPr>
            <w:tcW w:w="844" w:type="dxa"/>
          </w:tcPr>
          <w:p w14:paraId="548D7FEB"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c>
          <w:tcPr>
            <w:tcW w:w="902" w:type="dxa"/>
          </w:tcPr>
          <w:p w14:paraId="53713DA6" w14:textId="77777777" w:rsidR="00BB3ACC" w:rsidRPr="00650D66" w:rsidRDefault="00BB3ACC" w:rsidP="007520CC">
            <w:pPr>
              <w:tabs>
                <w:tab w:val="left" w:pos="720"/>
              </w:tabs>
              <w:spacing w:after="0" w:line="240" w:lineRule="auto"/>
              <w:jc w:val="right"/>
              <w:rPr>
                <w:rFonts w:ascii="Times New Roman" w:hAnsi="Times New Roman" w:cs="Times New Roman"/>
                <w:sz w:val="20"/>
                <w:szCs w:val="20"/>
                <w:lang w:val="ro-RO"/>
              </w:rPr>
            </w:pPr>
          </w:p>
        </w:tc>
      </w:tr>
    </w:tbl>
    <w:p w14:paraId="3634877F" w14:textId="77777777" w:rsidR="00650793" w:rsidRPr="00650D66" w:rsidRDefault="00650793" w:rsidP="00473FE9">
      <w:pPr>
        <w:pStyle w:val="ListParagraph"/>
        <w:tabs>
          <w:tab w:val="left" w:pos="426"/>
        </w:tabs>
        <w:spacing w:line="276" w:lineRule="auto"/>
        <w:ind w:left="0"/>
        <w:jc w:val="right"/>
        <w:rPr>
          <w:rFonts w:ascii="Times New Roman" w:hAnsi="Times New Roman" w:cs="Times New Roman"/>
          <w:b/>
          <w:sz w:val="24"/>
          <w:szCs w:val="24"/>
          <w:lang w:val="ro-RO"/>
        </w:rPr>
      </w:pPr>
    </w:p>
    <w:sectPr w:rsidR="00650793" w:rsidRPr="00650D66" w:rsidSect="00B95F0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1D0D9" w14:textId="77777777" w:rsidR="007C7502" w:rsidRDefault="007C7502" w:rsidP="00E11EFA">
      <w:pPr>
        <w:spacing w:after="0" w:line="240" w:lineRule="auto"/>
      </w:pPr>
      <w:r>
        <w:separator/>
      </w:r>
    </w:p>
  </w:endnote>
  <w:endnote w:type="continuationSeparator" w:id="0">
    <w:p w14:paraId="32C8E7C4" w14:textId="77777777" w:rsidR="007C7502" w:rsidRDefault="007C7502" w:rsidP="00E1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492515"/>
      <w:docPartObj>
        <w:docPartGallery w:val="Page Numbers (Bottom of Page)"/>
        <w:docPartUnique/>
      </w:docPartObj>
    </w:sdtPr>
    <w:sdtEndPr>
      <w:rPr>
        <w:noProof/>
      </w:rPr>
    </w:sdtEndPr>
    <w:sdtContent>
      <w:p w14:paraId="2971151A" w14:textId="40E77CC2" w:rsidR="00D767FF" w:rsidRDefault="00D767FF">
        <w:pPr>
          <w:pStyle w:val="Footer"/>
          <w:jc w:val="right"/>
        </w:pPr>
        <w:r>
          <w:fldChar w:fldCharType="begin"/>
        </w:r>
        <w:r>
          <w:instrText xml:space="preserve"> PAGE   \* MERGEFORMAT </w:instrText>
        </w:r>
        <w:r>
          <w:fldChar w:fldCharType="separate"/>
        </w:r>
        <w:r w:rsidR="006220CE">
          <w:rPr>
            <w:noProof/>
          </w:rPr>
          <w:t>30</w:t>
        </w:r>
        <w:r>
          <w:rPr>
            <w:noProof/>
          </w:rPr>
          <w:fldChar w:fldCharType="end"/>
        </w:r>
      </w:p>
    </w:sdtContent>
  </w:sdt>
  <w:p w14:paraId="72435CD6" w14:textId="77777777" w:rsidR="00D767FF" w:rsidRDefault="00D7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F59B7" w14:textId="77777777" w:rsidR="007C7502" w:rsidRDefault="007C7502" w:rsidP="00E11EFA">
      <w:pPr>
        <w:spacing w:after="0" w:line="240" w:lineRule="auto"/>
      </w:pPr>
      <w:r>
        <w:separator/>
      </w:r>
    </w:p>
  </w:footnote>
  <w:footnote w:type="continuationSeparator" w:id="0">
    <w:p w14:paraId="230FE9D5" w14:textId="77777777" w:rsidR="007C7502" w:rsidRDefault="007C7502" w:rsidP="00E11EFA">
      <w:pPr>
        <w:spacing w:after="0" w:line="240" w:lineRule="auto"/>
      </w:pPr>
      <w:r>
        <w:continuationSeparator/>
      </w:r>
    </w:p>
  </w:footnote>
  <w:footnote w:id="1">
    <w:p w14:paraId="652BBBB2" w14:textId="6345216A" w:rsidR="00D767FF" w:rsidRPr="0085554B" w:rsidRDefault="00D767FF" w:rsidP="005A4285">
      <w:pPr>
        <w:pStyle w:val="FootnoteText"/>
        <w:jc w:val="both"/>
        <w:rPr>
          <w:rFonts w:ascii="Times New Roman" w:hAnsi="Times New Roman" w:cs="Times New Roman"/>
          <w:sz w:val="16"/>
          <w:szCs w:val="16"/>
        </w:rPr>
      </w:pPr>
      <w:r w:rsidRPr="0085554B">
        <w:rPr>
          <w:rStyle w:val="FootnoteReference"/>
          <w:rFonts w:ascii="Times New Roman" w:hAnsi="Times New Roman" w:cs="Times New Roman"/>
          <w:sz w:val="16"/>
          <w:szCs w:val="16"/>
        </w:rPr>
        <w:footnoteRef/>
      </w:r>
      <w:r w:rsidRPr="0085554B">
        <w:rPr>
          <w:rFonts w:ascii="Times New Roman" w:hAnsi="Times New Roman" w:cs="Times New Roman"/>
          <w:sz w:val="16"/>
          <w:szCs w:val="16"/>
        </w:rPr>
        <w:t xml:space="preserve"> Legea nr.260 din 07.12.2017 privind organizarea și funcționarea Curții de Conturi a Republicii Moldova</w:t>
      </w:r>
      <w:r>
        <w:rPr>
          <w:rFonts w:ascii="Times New Roman" w:hAnsi="Times New Roman" w:cs="Times New Roman"/>
          <w:sz w:val="16"/>
          <w:szCs w:val="16"/>
        </w:rPr>
        <w:t>.</w:t>
      </w:r>
    </w:p>
  </w:footnote>
  <w:footnote w:id="2">
    <w:p w14:paraId="59CC9652" w14:textId="77777777" w:rsidR="00D767FF" w:rsidRPr="0085554B" w:rsidRDefault="00D767FF" w:rsidP="00991A75">
      <w:pPr>
        <w:pStyle w:val="FootnoteText"/>
        <w:jc w:val="both"/>
        <w:rPr>
          <w:rFonts w:ascii="Times New Roman" w:hAnsi="Times New Roman" w:cs="Times New Roman"/>
          <w:sz w:val="16"/>
          <w:szCs w:val="16"/>
        </w:rPr>
      </w:pPr>
      <w:r w:rsidRPr="0085554B">
        <w:rPr>
          <w:rStyle w:val="FootnoteReference"/>
          <w:rFonts w:ascii="Times New Roman" w:hAnsi="Times New Roman" w:cs="Times New Roman"/>
          <w:sz w:val="16"/>
          <w:szCs w:val="16"/>
        </w:rPr>
        <w:footnoteRef/>
      </w:r>
      <w:r w:rsidRPr="0085554B">
        <w:rPr>
          <w:rFonts w:ascii="Times New Roman" w:hAnsi="Times New Roman" w:cs="Times New Roman"/>
          <w:sz w:val="16"/>
          <w:szCs w:val="16"/>
        </w:rPr>
        <w:t xml:space="preserve"> Leg</w:t>
      </w:r>
      <w:r>
        <w:rPr>
          <w:rFonts w:ascii="Times New Roman" w:hAnsi="Times New Roman" w:cs="Times New Roman"/>
          <w:sz w:val="16"/>
          <w:szCs w:val="16"/>
        </w:rPr>
        <w:t>ea cu privire la Banca Națională a Moldovei nr.548</w:t>
      </w:r>
      <w:r w:rsidRPr="0085554B">
        <w:rPr>
          <w:rFonts w:ascii="Times New Roman" w:hAnsi="Times New Roman" w:cs="Times New Roman"/>
          <w:sz w:val="16"/>
          <w:szCs w:val="16"/>
        </w:rPr>
        <w:t xml:space="preserve"> din 21.07.1995.</w:t>
      </w:r>
    </w:p>
  </w:footnote>
  <w:footnote w:id="3">
    <w:p w14:paraId="3E71E62C" w14:textId="77777777" w:rsidR="00D767FF" w:rsidRPr="00F35DF7" w:rsidRDefault="00D767FF" w:rsidP="008041C5">
      <w:pPr>
        <w:pStyle w:val="FootnoteText"/>
        <w:jc w:val="both"/>
        <w:rPr>
          <w:rFonts w:ascii="Times New Roman" w:hAnsi="Times New Roman"/>
          <w:sz w:val="16"/>
          <w:szCs w:val="16"/>
          <w:lang w:val="en-US"/>
        </w:rPr>
      </w:pPr>
      <w:r w:rsidRPr="00F35DF7">
        <w:rPr>
          <w:rStyle w:val="FootnoteReference"/>
          <w:rFonts w:ascii="Times New Roman" w:hAnsi="Times New Roman"/>
          <w:sz w:val="16"/>
          <w:szCs w:val="16"/>
        </w:rPr>
        <w:footnoteRef/>
      </w:r>
      <w:r w:rsidRPr="00F35DF7">
        <w:rPr>
          <w:rFonts w:ascii="Times New Roman" w:hAnsi="Times New Roman"/>
          <w:sz w:val="16"/>
          <w:szCs w:val="16"/>
          <w:lang w:val="en-US"/>
        </w:rPr>
        <w:t xml:space="preserve"> </w:t>
      </w:r>
      <w:r w:rsidRPr="00F35DF7">
        <w:rPr>
          <w:rFonts w:ascii="Times New Roman" w:hAnsi="Times New Roman"/>
          <w:sz w:val="16"/>
          <w:szCs w:val="16"/>
        </w:rPr>
        <w:t>Hotărârea Curții de Conturi nr.65 din 22.12.2022 „Privind aprobarea Programului activității de audit al Curții de Conturi pe anul 2023” (cu modificările ulterioare).</w:t>
      </w:r>
    </w:p>
  </w:footnote>
  <w:footnote w:id="4">
    <w:p w14:paraId="3297EF7D" w14:textId="77777777" w:rsidR="00D767FF" w:rsidRPr="00F35DF7" w:rsidRDefault="00D767FF" w:rsidP="008041C5">
      <w:pPr>
        <w:pStyle w:val="FootnoteText"/>
        <w:jc w:val="both"/>
        <w:rPr>
          <w:rFonts w:ascii="Times New Roman" w:hAnsi="Times New Roman"/>
          <w:sz w:val="16"/>
          <w:szCs w:val="16"/>
        </w:rPr>
      </w:pPr>
      <w:r w:rsidRPr="00F35DF7">
        <w:rPr>
          <w:rStyle w:val="FootnoteReference"/>
          <w:rFonts w:ascii="Times New Roman" w:hAnsi="Times New Roman"/>
          <w:sz w:val="16"/>
          <w:szCs w:val="16"/>
        </w:rPr>
        <w:footnoteRef/>
      </w:r>
      <w:r w:rsidRPr="00F35DF7">
        <w:rPr>
          <w:rFonts w:ascii="Times New Roman" w:hAnsi="Times New Roman"/>
          <w:sz w:val="16"/>
          <w:szCs w:val="16"/>
        </w:rPr>
        <w:t xml:space="preserve"> Hotărârea Curții de Conturi nr.55 din 15.12.2023 „Privind aprobarea Programului activității de audit al Curții de Conturi pe anul 2024”.</w:t>
      </w:r>
    </w:p>
  </w:footnote>
  <w:footnote w:id="5">
    <w:p w14:paraId="18AFAEE5" w14:textId="77777777" w:rsidR="00D767FF" w:rsidRPr="005C0826" w:rsidRDefault="00D767FF" w:rsidP="005A4285">
      <w:pPr>
        <w:pStyle w:val="FootnoteText"/>
        <w:jc w:val="both"/>
        <w:rPr>
          <w:rFonts w:asciiTheme="majorHAnsi" w:hAnsiTheme="majorHAnsi" w:cstheme="majorHAnsi"/>
          <w:sz w:val="16"/>
          <w:szCs w:val="16"/>
        </w:rPr>
      </w:pPr>
      <w:r w:rsidRPr="0085554B">
        <w:rPr>
          <w:rStyle w:val="FootnoteReference"/>
          <w:rFonts w:ascii="Times New Roman" w:hAnsi="Times New Roman" w:cs="Times New Roman"/>
          <w:sz w:val="16"/>
          <w:szCs w:val="16"/>
        </w:rPr>
        <w:footnoteRef/>
      </w:r>
      <w:r w:rsidRPr="0085554B">
        <w:rPr>
          <w:rFonts w:ascii="Times New Roman" w:hAnsi="Times New Roman" w:cs="Times New Roman"/>
          <w:sz w:val="16"/>
          <w:szCs w:val="16"/>
        </w:rPr>
        <w:t xml:space="preserve"> Raportul auditului privind conformitatea devizelor de cheltuieli și alocațiilor pentru investiții ale BNM pe anii 2015-2018, aprobat prin Hotărârea Curții de Conturi nr.62 din 05.11.2019.</w:t>
      </w:r>
    </w:p>
  </w:footnote>
  <w:footnote w:id="6">
    <w:p w14:paraId="26D53845" w14:textId="55F33084" w:rsidR="00D767FF" w:rsidRPr="00E843DA" w:rsidRDefault="00D767FF" w:rsidP="00A84F92">
      <w:pPr>
        <w:pStyle w:val="FootnoteText"/>
        <w:jc w:val="both"/>
        <w:rPr>
          <w:rFonts w:ascii="Times New Roman" w:hAnsi="Times New Roman" w:cs="Times New Roman"/>
          <w:sz w:val="16"/>
          <w:szCs w:val="16"/>
        </w:rPr>
      </w:pPr>
      <w:r w:rsidRPr="00E843DA">
        <w:rPr>
          <w:rStyle w:val="FootnoteReference"/>
          <w:rFonts w:ascii="Times New Roman" w:hAnsi="Times New Roman" w:cs="Times New Roman"/>
          <w:sz w:val="16"/>
          <w:szCs w:val="16"/>
        </w:rPr>
        <w:footnoteRef/>
      </w:r>
      <w:r w:rsidRPr="00E843DA">
        <w:rPr>
          <w:rFonts w:ascii="Times New Roman" w:hAnsi="Times New Roman" w:cs="Times New Roman"/>
          <w:sz w:val="16"/>
          <w:szCs w:val="16"/>
        </w:rPr>
        <w:t xml:space="preserve"> </w:t>
      </w:r>
      <w:r w:rsidRPr="00E843DA">
        <w:rPr>
          <w:rFonts w:ascii="Times New Roman" w:hAnsi="Times New Roman" w:cs="Times New Roman"/>
          <w:b/>
          <w:sz w:val="16"/>
          <w:szCs w:val="16"/>
        </w:rPr>
        <w:t xml:space="preserve">Consiliul de supraveghere </w:t>
      </w:r>
      <w:r>
        <w:rPr>
          <w:rFonts w:ascii="Times New Roman" w:hAnsi="Times New Roman" w:cs="Times New Roman"/>
          <w:b/>
          <w:sz w:val="16"/>
          <w:szCs w:val="16"/>
        </w:rPr>
        <w:t>–</w:t>
      </w:r>
      <w:r w:rsidRPr="00E843DA">
        <w:rPr>
          <w:rFonts w:ascii="Times New Roman" w:hAnsi="Times New Roman" w:cs="Times New Roman"/>
          <w:sz w:val="16"/>
          <w:szCs w:val="16"/>
        </w:rPr>
        <w:t xml:space="preserve"> este unul din organele de conducere ale BNM, responsabil de organizarea unui sistem eficient de supraveghere publică independentă a activității BNM și este compus din 7 membri </w:t>
      </w:r>
      <w:r w:rsidRPr="00E843DA">
        <w:rPr>
          <w:rFonts w:ascii="Times New Roman" w:hAnsi="Times New Roman" w:cs="Times New Roman"/>
          <w:i/>
          <w:sz w:val="16"/>
          <w:szCs w:val="16"/>
        </w:rPr>
        <w:t>(un președinte, care este și Guvernator al BNM; un vicepreședinte, care este și prim-viceguvernator al BNM; un membru, care este și viceguvernator al BNM; patru membri, care nu s</w:t>
      </w:r>
      <w:r>
        <w:rPr>
          <w:rFonts w:ascii="Times New Roman" w:hAnsi="Times New Roman" w:cs="Times New Roman"/>
          <w:i/>
          <w:sz w:val="16"/>
          <w:szCs w:val="16"/>
        </w:rPr>
        <w:t>u</w:t>
      </w:r>
      <w:r w:rsidRPr="00E843DA">
        <w:rPr>
          <w:rFonts w:ascii="Times New Roman" w:hAnsi="Times New Roman" w:cs="Times New Roman"/>
          <w:i/>
          <w:sz w:val="16"/>
          <w:szCs w:val="16"/>
        </w:rPr>
        <w:t>nt salariați ai BNM).</w:t>
      </w:r>
    </w:p>
  </w:footnote>
  <w:footnote w:id="7">
    <w:p w14:paraId="5CDC87EE" w14:textId="6D99134A" w:rsidR="00D767FF" w:rsidRPr="00E843DA" w:rsidRDefault="00D767FF" w:rsidP="00A84F92">
      <w:pPr>
        <w:pStyle w:val="FootnoteText"/>
        <w:jc w:val="both"/>
        <w:rPr>
          <w:rFonts w:ascii="Times New Roman" w:hAnsi="Times New Roman" w:cs="Times New Roman"/>
          <w:i/>
          <w:sz w:val="16"/>
          <w:szCs w:val="16"/>
        </w:rPr>
      </w:pPr>
      <w:r w:rsidRPr="00E843DA">
        <w:rPr>
          <w:rStyle w:val="FootnoteReference"/>
          <w:rFonts w:ascii="Times New Roman" w:hAnsi="Times New Roman" w:cs="Times New Roman"/>
          <w:sz w:val="16"/>
          <w:szCs w:val="16"/>
        </w:rPr>
        <w:footnoteRef/>
      </w:r>
      <w:r w:rsidRPr="00E843DA">
        <w:rPr>
          <w:rFonts w:ascii="Times New Roman" w:hAnsi="Times New Roman" w:cs="Times New Roman"/>
          <w:sz w:val="16"/>
          <w:szCs w:val="16"/>
        </w:rPr>
        <w:t xml:space="preserve"> </w:t>
      </w:r>
      <w:r w:rsidRPr="00E843DA">
        <w:rPr>
          <w:rFonts w:ascii="Times New Roman" w:hAnsi="Times New Roman" w:cs="Times New Roman"/>
          <w:b/>
          <w:sz w:val="16"/>
          <w:szCs w:val="16"/>
        </w:rPr>
        <w:t>Comitetul executiv –</w:t>
      </w:r>
      <w:r w:rsidRPr="00E843DA">
        <w:rPr>
          <w:rFonts w:ascii="Times New Roman" w:hAnsi="Times New Roman" w:cs="Times New Roman"/>
          <w:sz w:val="16"/>
          <w:szCs w:val="16"/>
        </w:rPr>
        <w:t xml:space="preserve"> exercită conducerea executivă a BNM și asigură realizarea independentă a atribuțiilor de bază ale acesteia și este compus din 5 membri </w:t>
      </w:r>
      <w:r w:rsidRPr="00E843DA">
        <w:rPr>
          <w:rFonts w:ascii="Times New Roman" w:hAnsi="Times New Roman" w:cs="Times New Roman"/>
          <w:i/>
          <w:sz w:val="16"/>
          <w:szCs w:val="16"/>
        </w:rPr>
        <w:t>(un președinte, care este și Guvernator al BNM; un vicepreședinte, care este și prim-viceguvernator al BNM; trei membri, care s</w:t>
      </w:r>
      <w:r>
        <w:rPr>
          <w:rFonts w:ascii="Times New Roman" w:hAnsi="Times New Roman" w:cs="Times New Roman"/>
          <w:i/>
          <w:sz w:val="16"/>
          <w:szCs w:val="16"/>
        </w:rPr>
        <w:t>u</w:t>
      </w:r>
      <w:r w:rsidRPr="00E843DA">
        <w:rPr>
          <w:rFonts w:ascii="Times New Roman" w:hAnsi="Times New Roman" w:cs="Times New Roman"/>
          <w:i/>
          <w:sz w:val="16"/>
          <w:szCs w:val="16"/>
        </w:rPr>
        <w:t>nt și viceguvernatori ai BNM).</w:t>
      </w:r>
    </w:p>
  </w:footnote>
  <w:footnote w:id="8">
    <w:p w14:paraId="13579FA3" w14:textId="2485E7D5" w:rsidR="00D767FF" w:rsidRPr="00E843DA" w:rsidRDefault="00D767FF">
      <w:pPr>
        <w:spacing w:after="0"/>
        <w:jc w:val="both"/>
        <w:rPr>
          <w:rFonts w:ascii="Times New Roman" w:hAnsi="Times New Roman" w:cs="Times New Roman"/>
          <w:sz w:val="16"/>
          <w:szCs w:val="16"/>
        </w:rPr>
      </w:pPr>
      <w:r w:rsidRPr="00E843DA">
        <w:rPr>
          <w:rStyle w:val="FootnoteReference"/>
          <w:rFonts w:ascii="Times New Roman" w:hAnsi="Times New Roman" w:cs="Times New Roman"/>
          <w:sz w:val="16"/>
          <w:szCs w:val="16"/>
        </w:rPr>
        <w:footnoteRef/>
      </w:r>
      <w:r w:rsidRPr="00E843DA">
        <w:rPr>
          <w:rFonts w:ascii="Times New Roman" w:hAnsi="Times New Roman" w:cs="Times New Roman"/>
          <w:sz w:val="16"/>
          <w:szCs w:val="16"/>
        </w:rPr>
        <w:t xml:space="preserve"> Art.32 alin.(7) din Legea privind organizarea și funcționarea Curții de Conturi a Republicii Moldova nr.260 din 07.12.2017 (în continuare – Legea nr.260 din 07.12.2017) și art.21 alin.(2) din Legea cu privire la Banca</w:t>
      </w:r>
      <w:r>
        <w:rPr>
          <w:rFonts w:ascii="Times New Roman" w:hAnsi="Times New Roman" w:cs="Times New Roman"/>
          <w:sz w:val="16"/>
          <w:szCs w:val="16"/>
        </w:rPr>
        <w:t xml:space="preserve"> Națională a Moldovei nr.548</w:t>
      </w:r>
      <w:r w:rsidRPr="00E843DA">
        <w:rPr>
          <w:rFonts w:ascii="Times New Roman" w:hAnsi="Times New Roman" w:cs="Times New Roman"/>
          <w:sz w:val="16"/>
          <w:szCs w:val="16"/>
        </w:rPr>
        <w:t xml:space="preserve"> din 21.07.1995 (în continuare – Legea nr.548 din 21.07.1995).</w:t>
      </w:r>
    </w:p>
  </w:footnote>
  <w:footnote w:id="9">
    <w:p w14:paraId="2393F274" w14:textId="401BAA39" w:rsidR="00D767FF" w:rsidRPr="00B243F6" w:rsidRDefault="00D767FF" w:rsidP="00991A75">
      <w:pPr>
        <w:pStyle w:val="FootnoteText"/>
        <w:jc w:val="both"/>
        <w:rPr>
          <w:rFonts w:asciiTheme="majorHAnsi" w:hAnsiTheme="majorHAnsi" w:cstheme="majorHAnsi"/>
          <w:sz w:val="16"/>
          <w:szCs w:val="16"/>
        </w:rPr>
      </w:pPr>
      <w:r w:rsidRPr="00E843DA">
        <w:rPr>
          <w:rStyle w:val="FootnoteReference"/>
          <w:rFonts w:ascii="Times New Roman" w:hAnsi="Times New Roman" w:cs="Times New Roman"/>
          <w:sz w:val="16"/>
          <w:szCs w:val="16"/>
        </w:rPr>
        <w:footnoteRef/>
      </w:r>
      <w:r w:rsidRPr="00E843DA">
        <w:rPr>
          <w:rFonts w:ascii="Times New Roman" w:hAnsi="Times New Roman" w:cs="Times New Roman"/>
          <w:sz w:val="16"/>
          <w:szCs w:val="16"/>
        </w:rPr>
        <w:t xml:space="preserve"> Art.21 din Leg</w:t>
      </w:r>
      <w:r>
        <w:rPr>
          <w:rFonts w:ascii="Times New Roman" w:hAnsi="Times New Roman" w:cs="Times New Roman"/>
          <w:sz w:val="16"/>
          <w:szCs w:val="16"/>
        </w:rPr>
        <w:t>ea nr.548</w:t>
      </w:r>
      <w:r w:rsidRPr="00E843DA">
        <w:rPr>
          <w:rFonts w:ascii="Times New Roman" w:hAnsi="Times New Roman" w:cs="Times New Roman"/>
          <w:sz w:val="16"/>
          <w:szCs w:val="16"/>
        </w:rPr>
        <w:t xml:space="preserve"> din 21.07.1995.</w:t>
      </w:r>
    </w:p>
  </w:footnote>
  <w:footnote w:id="10">
    <w:p w14:paraId="7DC9157E" w14:textId="005E305E" w:rsidR="00D767FF" w:rsidRPr="0029539E" w:rsidRDefault="00D767FF" w:rsidP="00991A75">
      <w:pPr>
        <w:pStyle w:val="FootnoteText"/>
        <w:jc w:val="both"/>
        <w:rPr>
          <w:rFonts w:ascii="Times New Roman" w:hAnsi="Times New Roman" w:cs="Times New Roman"/>
          <w:sz w:val="16"/>
          <w:szCs w:val="16"/>
        </w:rPr>
      </w:pPr>
      <w:r w:rsidRPr="0029539E">
        <w:rPr>
          <w:rStyle w:val="FootnoteReference"/>
          <w:rFonts w:ascii="Times New Roman" w:hAnsi="Times New Roman" w:cs="Times New Roman"/>
          <w:sz w:val="16"/>
          <w:szCs w:val="16"/>
        </w:rPr>
        <w:footnoteRef/>
      </w:r>
      <w:r w:rsidRPr="0029539E">
        <w:rPr>
          <w:rFonts w:ascii="Times New Roman" w:hAnsi="Times New Roman" w:cs="Times New Roman"/>
          <w:sz w:val="16"/>
          <w:szCs w:val="16"/>
        </w:rPr>
        <w:t xml:space="preserve"> Art.11, alin.(1) din Legea nr.548 din 21.07.1995.</w:t>
      </w:r>
    </w:p>
  </w:footnote>
  <w:footnote w:id="11">
    <w:p w14:paraId="264A7C4F" w14:textId="0EB25C7A" w:rsidR="00D767FF" w:rsidRPr="0029539E" w:rsidRDefault="00D767FF" w:rsidP="00991A75">
      <w:pPr>
        <w:pStyle w:val="FootnoteText"/>
        <w:jc w:val="both"/>
        <w:rPr>
          <w:rFonts w:ascii="Times New Roman" w:hAnsi="Times New Roman" w:cs="Times New Roman"/>
          <w:sz w:val="16"/>
          <w:szCs w:val="16"/>
        </w:rPr>
      </w:pPr>
      <w:r w:rsidRPr="0029539E">
        <w:rPr>
          <w:rStyle w:val="FootnoteReference"/>
          <w:rFonts w:ascii="Times New Roman" w:hAnsi="Times New Roman" w:cs="Times New Roman"/>
          <w:sz w:val="16"/>
          <w:szCs w:val="16"/>
        </w:rPr>
        <w:footnoteRef/>
      </w:r>
      <w:r w:rsidRPr="0029539E">
        <w:rPr>
          <w:rFonts w:ascii="Times New Roman" w:hAnsi="Times New Roman" w:cs="Times New Roman"/>
          <w:sz w:val="16"/>
          <w:szCs w:val="16"/>
        </w:rPr>
        <w:t xml:space="preserve"> Legea nr.100 din 22.12.2017 cu privire la actele normative.</w:t>
      </w:r>
    </w:p>
  </w:footnote>
  <w:footnote w:id="12">
    <w:p w14:paraId="128FAE28" w14:textId="77777777" w:rsidR="00D767FF" w:rsidRPr="0029539E" w:rsidRDefault="00D767FF" w:rsidP="000B0E5C">
      <w:pPr>
        <w:pStyle w:val="FootnoteText"/>
        <w:jc w:val="both"/>
        <w:rPr>
          <w:rFonts w:ascii="Times New Roman" w:hAnsi="Times New Roman" w:cs="Times New Roman"/>
          <w:sz w:val="16"/>
          <w:szCs w:val="16"/>
        </w:rPr>
      </w:pPr>
      <w:r w:rsidRPr="0029539E">
        <w:rPr>
          <w:rStyle w:val="FootnoteReference"/>
          <w:rFonts w:ascii="Times New Roman" w:hAnsi="Times New Roman" w:cs="Times New Roman"/>
          <w:sz w:val="16"/>
          <w:szCs w:val="16"/>
        </w:rPr>
        <w:footnoteRef/>
      </w:r>
      <w:r w:rsidRPr="0029539E">
        <w:rPr>
          <w:rFonts w:ascii="Times New Roman" w:hAnsi="Times New Roman" w:cs="Times New Roman"/>
          <w:sz w:val="16"/>
          <w:szCs w:val="16"/>
        </w:rPr>
        <w:t xml:space="preserve"> Regulamentul de organizare și funcționare a Consiliului de supraveghere al BNM, aprobat prin Hotărârea Consiliului de supraveghere nr.25 din 23.08.2019. Regulamentul de funcționare a Comitetului executiv, aprobat prin Hotărârea Comitetului executiv nr.214 din 24.09.2020.</w:t>
      </w:r>
    </w:p>
  </w:footnote>
  <w:footnote w:id="13">
    <w:p w14:paraId="2D18E4A3" w14:textId="77777777" w:rsidR="00D767FF" w:rsidRPr="00B243F6" w:rsidRDefault="00D767FF" w:rsidP="000B0E5C">
      <w:pPr>
        <w:pStyle w:val="1"/>
      </w:pPr>
      <w:r w:rsidRPr="0029539E">
        <w:rPr>
          <w:rStyle w:val="FootnoteReference"/>
          <w:rFonts w:ascii="Times New Roman" w:hAnsi="Times New Roman" w:cs="Times New Roman"/>
        </w:rPr>
        <w:footnoteRef/>
      </w:r>
      <w:r w:rsidRPr="0029539E">
        <w:rPr>
          <w:rFonts w:ascii="Times New Roman" w:hAnsi="Times New Roman" w:cs="Times New Roman"/>
        </w:rPr>
        <w:t xml:space="preserve"> Regulament privind elaborarea și executarea devizului de cheltuieli și alocațiilor pentru investiții ale Băncii Naționale a Moldovei, aprobat prin Hotărârea Consiliului de supraveghere al Băncii Naționale a Moldovei nr.5 din 23.12.2015 (în continuare – Regulamentul aprobat prin HCS nr.5 din 23.12.2015).</w:t>
      </w:r>
    </w:p>
  </w:footnote>
  <w:footnote w:id="14">
    <w:p w14:paraId="6A273A83" w14:textId="56FC9E70" w:rsidR="00D767FF" w:rsidRPr="00C12B52" w:rsidRDefault="00D767FF" w:rsidP="00991A75">
      <w:pPr>
        <w:pStyle w:val="FootnoteText"/>
        <w:jc w:val="both"/>
        <w:rPr>
          <w:rFonts w:ascii="Times New Roman" w:hAnsi="Times New Roman" w:cs="Times New Roman"/>
          <w:sz w:val="16"/>
          <w:szCs w:val="16"/>
        </w:rPr>
      </w:pPr>
      <w:r w:rsidRPr="00107429">
        <w:rPr>
          <w:rStyle w:val="FootnoteReference"/>
          <w:rFonts w:ascii="Times New Roman" w:hAnsi="Times New Roman" w:cs="Times New Roman"/>
          <w:sz w:val="16"/>
          <w:szCs w:val="16"/>
        </w:rPr>
        <w:footnoteRef/>
      </w:r>
      <w:r w:rsidRPr="00107429">
        <w:rPr>
          <w:rFonts w:ascii="Times New Roman" w:hAnsi="Times New Roman" w:cs="Times New Roman"/>
          <w:sz w:val="16"/>
          <w:szCs w:val="16"/>
        </w:rPr>
        <w:t xml:space="preserve"> În România, conform legislației europene, </w:t>
      </w:r>
      <w:r w:rsidRPr="00991A75">
        <w:rPr>
          <w:rFonts w:ascii="Times New Roman" w:hAnsi="Times New Roman" w:cs="Times New Roman"/>
          <w:sz w:val="16"/>
          <w:szCs w:val="16"/>
        </w:rPr>
        <w:t xml:space="preserve">,,Bugetul anual de venituri și cheltuieli se aprobă de Consiliul de administrație al Băncii Naționale a României”, </w:t>
      </w:r>
      <w:r w:rsidRPr="00D642FF">
        <w:rPr>
          <w:rFonts w:ascii="Times New Roman" w:hAnsi="Times New Roman" w:cs="Times New Roman"/>
          <w:sz w:val="16"/>
          <w:szCs w:val="16"/>
        </w:rPr>
        <w:t xml:space="preserve">iar </w:t>
      </w:r>
      <w:r w:rsidRPr="00991A75">
        <w:rPr>
          <w:rFonts w:ascii="Times New Roman" w:hAnsi="Times New Roman" w:cs="Times New Roman"/>
          <w:sz w:val="16"/>
          <w:szCs w:val="16"/>
        </w:rPr>
        <w:t xml:space="preserve">,,Operațiunile comerciale efectuate de Banca Națională a României, care se reflectă în bugetul de venituri și cheltuieli și în situațiile financiare anuale, sunt supuse controlului ulterior al Curții de Conturi”. </w:t>
      </w:r>
      <w:r w:rsidRPr="00D642FF">
        <w:rPr>
          <w:rFonts w:ascii="Times New Roman" w:hAnsi="Times New Roman" w:cs="Times New Roman"/>
          <w:sz w:val="16"/>
          <w:szCs w:val="16"/>
        </w:rPr>
        <w:t>În Lituania,</w:t>
      </w:r>
      <w:r w:rsidRPr="00991A75">
        <w:rPr>
          <w:rFonts w:ascii="Times New Roman" w:hAnsi="Times New Roman" w:cs="Times New Roman"/>
          <w:sz w:val="16"/>
          <w:szCs w:val="16"/>
        </w:rPr>
        <w:t xml:space="preserve"> </w:t>
      </w:r>
      <w:proofErr w:type="spellStart"/>
      <w:r w:rsidRPr="00991A75">
        <w:rPr>
          <w:rFonts w:ascii="Times New Roman" w:hAnsi="Times New Roman" w:cs="Times New Roman"/>
          <w:bCs/>
          <w:sz w:val="16"/>
          <w:szCs w:val="16"/>
        </w:rPr>
        <w:t>Article</w:t>
      </w:r>
      <w:proofErr w:type="spellEnd"/>
      <w:r w:rsidRPr="00991A75">
        <w:rPr>
          <w:rFonts w:ascii="Times New Roman" w:hAnsi="Times New Roman" w:cs="Times New Roman"/>
          <w:bCs/>
          <w:sz w:val="16"/>
          <w:szCs w:val="16"/>
        </w:rPr>
        <w:t xml:space="preserve"> 21 Budget of </w:t>
      </w:r>
      <w:proofErr w:type="spellStart"/>
      <w:r w:rsidRPr="00991A75">
        <w:rPr>
          <w:rFonts w:ascii="Times New Roman" w:hAnsi="Times New Roman" w:cs="Times New Roman"/>
          <w:bCs/>
          <w:sz w:val="16"/>
          <w:szCs w:val="16"/>
        </w:rPr>
        <w:t>the</w:t>
      </w:r>
      <w:proofErr w:type="spellEnd"/>
      <w:r w:rsidRPr="00991A75">
        <w:rPr>
          <w:rFonts w:ascii="Times New Roman" w:hAnsi="Times New Roman" w:cs="Times New Roman"/>
          <w:bCs/>
          <w:sz w:val="16"/>
          <w:szCs w:val="16"/>
        </w:rPr>
        <w:t xml:space="preserve"> Bank of </w:t>
      </w:r>
      <w:proofErr w:type="spellStart"/>
      <w:r w:rsidRPr="00991A75">
        <w:rPr>
          <w:rFonts w:ascii="Times New Roman" w:hAnsi="Times New Roman" w:cs="Times New Roman"/>
          <w:bCs/>
          <w:sz w:val="16"/>
          <w:szCs w:val="16"/>
        </w:rPr>
        <w:t>Lithuania</w:t>
      </w:r>
      <w:proofErr w:type="spellEnd"/>
      <w:r w:rsidRPr="00991A75">
        <w:rPr>
          <w:rFonts w:ascii="Times New Roman" w:hAnsi="Times New Roman" w:cs="Times New Roman"/>
          <w:bCs/>
          <w:sz w:val="16"/>
          <w:szCs w:val="16"/>
        </w:rPr>
        <w:t xml:space="preserve"> </w:t>
      </w:r>
      <w:r w:rsidRPr="00991A75">
        <w:rPr>
          <w:rFonts w:ascii="Times New Roman" w:hAnsi="Times New Roman" w:cs="Times New Roman"/>
          <w:sz w:val="16"/>
          <w:szCs w:val="16"/>
        </w:rPr>
        <w:t xml:space="preserve">,,The Bank of </w:t>
      </w:r>
      <w:proofErr w:type="spellStart"/>
      <w:r w:rsidRPr="00991A75">
        <w:rPr>
          <w:rFonts w:ascii="Times New Roman" w:hAnsi="Times New Roman" w:cs="Times New Roman"/>
          <w:sz w:val="16"/>
          <w:szCs w:val="16"/>
        </w:rPr>
        <w:t>Lithuania</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shall</w:t>
      </w:r>
      <w:proofErr w:type="spellEnd"/>
      <w:r w:rsidRPr="00991A75">
        <w:rPr>
          <w:rFonts w:ascii="Times New Roman" w:hAnsi="Times New Roman" w:cs="Times New Roman"/>
          <w:sz w:val="16"/>
          <w:szCs w:val="16"/>
        </w:rPr>
        <w:t xml:space="preserve"> plan </w:t>
      </w:r>
      <w:proofErr w:type="spellStart"/>
      <w:r w:rsidRPr="00991A75">
        <w:rPr>
          <w:rFonts w:ascii="Times New Roman" w:hAnsi="Times New Roman" w:cs="Times New Roman"/>
          <w:sz w:val="16"/>
          <w:szCs w:val="16"/>
        </w:rPr>
        <w:t>its</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annual</w:t>
      </w:r>
      <w:proofErr w:type="spellEnd"/>
      <w:r w:rsidRPr="00991A75">
        <w:rPr>
          <w:rFonts w:ascii="Times New Roman" w:hAnsi="Times New Roman" w:cs="Times New Roman"/>
          <w:sz w:val="16"/>
          <w:szCs w:val="16"/>
        </w:rPr>
        <w:t xml:space="preserve"> budget </w:t>
      </w:r>
      <w:proofErr w:type="spellStart"/>
      <w:r w:rsidRPr="00991A75">
        <w:rPr>
          <w:rFonts w:ascii="Times New Roman" w:hAnsi="Times New Roman" w:cs="Times New Roman"/>
          <w:sz w:val="16"/>
          <w:szCs w:val="16"/>
        </w:rPr>
        <w:t>taking</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into</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account</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the</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needs</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related</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to</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the</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implementation</w:t>
      </w:r>
      <w:proofErr w:type="spellEnd"/>
      <w:r w:rsidRPr="00991A75">
        <w:rPr>
          <w:rFonts w:ascii="Times New Roman" w:hAnsi="Times New Roman" w:cs="Times New Roman"/>
          <w:sz w:val="16"/>
          <w:szCs w:val="16"/>
        </w:rPr>
        <w:t xml:space="preserve"> of </w:t>
      </w:r>
      <w:proofErr w:type="spellStart"/>
      <w:r w:rsidRPr="00991A75">
        <w:rPr>
          <w:rFonts w:ascii="Times New Roman" w:hAnsi="Times New Roman" w:cs="Times New Roman"/>
          <w:sz w:val="16"/>
          <w:szCs w:val="16"/>
        </w:rPr>
        <w:t>the</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objectives</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and</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functions</w:t>
      </w:r>
      <w:proofErr w:type="spellEnd"/>
      <w:r w:rsidRPr="00991A75">
        <w:rPr>
          <w:rFonts w:ascii="Times New Roman" w:hAnsi="Times New Roman" w:cs="Times New Roman"/>
          <w:sz w:val="16"/>
          <w:szCs w:val="16"/>
        </w:rPr>
        <w:t xml:space="preserve">, as </w:t>
      </w:r>
      <w:proofErr w:type="spellStart"/>
      <w:r w:rsidRPr="00991A75">
        <w:rPr>
          <w:rFonts w:ascii="Times New Roman" w:hAnsi="Times New Roman" w:cs="Times New Roman"/>
          <w:sz w:val="16"/>
          <w:szCs w:val="16"/>
        </w:rPr>
        <w:t>well</w:t>
      </w:r>
      <w:proofErr w:type="spellEnd"/>
      <w:r w:rsidRPr="00991A75">
        <w:rPr>
          <w:rFonts w:ascii="Times New Roman" w:hAnsi="Times New Roman" w:cs="Times New Roman"/>
          <w:sz w:val="16"/>
          <w:szCs w:val="16"/>
        </w:rPr>
        <w:t xml:space="preserve"> as </w:t>
      </w:r>
      <w:proofErr w:type="spellStart"/>
      <w:r w:rsidRPr="00991A75">
        <w:rPr>
          <w:rFonts w:ascii="Times New Roman" w:hAnsi="Times New Roman" w:cs="Times New Roman"/>
          <w:sz w:val="16"/>
          <w:szCs w:val="16"/>
        </w:rPr>
        <w:t>its</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activities</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prescribed</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by</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this</w:t>
      </w:r>
      <w:proofErr w:type="spellEnd"/>
      <w:r w:rsidRPr="00991A75">
        <w:rPr>
          <w:rFonts w:ascii="Times New Roman" w:hAnsi="Times New Roman" w:cs="Times New Roman"/>
          <w:sz w:val="16"/>
          <w:szCs w:val="16"/>
        </w:rPr>
        <w:t xml:space="preserve"> Law. The budget </w:t>
      </w:r>
      <w:proofErr w:type="spellStart"/>
      <w:r w:rsidRPr="00991A75">
        <w:rPr>
          <w:rFonts w:ascii="Times New Roman" w:hAnsi="Times New Roman" w:cs="Times New Roman"/>
          <w:sz w:val="16"/>
          <w:szCs w:val="16"/>
        </w:rPr>
        <w:t>shall</w:t>
      </w:r>
      <w:proofErr w:type="spellEnd"/>
      <w:r w:rsidRPr="00991A75">
        <w:rPr>
          <w:rFonts w:ascii="Times New Roman" w:hAnsi="Times New Roman" w:cs="Times New Roman"/>
          <w:sz w:val="16"/>
          <w:szCs w:val="16"/>
        </w:rPr>
        <w:t xml:space="preserve"> consist of </w:t>
      </w:r>
      <w:proofErr w:type="spellStart"/>
      <w:r w:rsidRPr="00991A75">
        <w:rPr>
          <w:rFonts w:ascii="Times New Roman" w:hAnsi="Times New Roman" w:cs="Times New Roman"/>
          <w:sz w:val="16"/>
          <w:szCs w:val="16"/>
        </w:rPr>
        <w:t>operating</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expenses</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and</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investment</w:t>
      </w:r>
      <w:proofErr w:type="spellEnd"/>
      <w:r w:rsidRPr="00991A75">
        <w:rPr>
          <w:rFonts w:ascii="Times New Roman" w:hAnsi="Times New Roman" w:cs="Times New Roman"/>
          <w:sz w:val="16"/>
          <w:szCs w:val="16"/>
        </w:rPr>
        <w:t xml:space="preserve"> in </w:t>
      </w:r>
      <w:proofErr w:type="spellStart"/>
      <w:r w:rsidRPr="00991A75">
        <w:rPr>
          <w:rFonts w:ascii="Times New Roman" w:hAnsi="Times New Roman" w:cs="Times New Roman"/>
          <w:sz w:val="16"/>
          <w:szCs w:val="16"/>
        </w:rPr>
        <w:t>tangible</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and</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intangible</w:t>
      </w:r>
      <w:proofErr w:type="spellEnd"/>
      <w:r w:rsidRPr="00991A75">
        <w:rPr>
          <w:rFonts w:ascii="Times New Roman" w:hAnsi="Times New Roman" w:cs="Times New Roman"/>
          <w:sz w:val="16"/>
          <w:szCs w:val="16"/>
        </w:rPr>
        <w:t xml:space="preserve"> </w:t>
      </w:r>
      <w:proofErr w:type="spellStart"/>
      <w:r w:rsidRPr="00991A75">
        <w:rPr>
          <w:rFonts w:ascii="Times New Roman" w:hAnsi="Times New Roman" w:cs="Times New Roman"/>
          <w:sz w:val="16"/>
          <w:szCs w:val="16"/>
        </w:rPr>
        <w:t>assets</w:t>
      </w:r>
      <w:proofErr w:type="spellEnd"/>
      <w:r w:rsidRPr="00991A75">
        <w:rPr>
          <w:rFonts w:ascii="Times New Roman" w:hAnsi="Times New Roman" w:cs="Times New Roman"/>
          <w:sz w:val="16"/>
          <w:szCs w:val="16"/>
        </w:rPr>
        <w:t>.</w:t>
      </w:r>
    </w:p>
  </w:footnote>
  <w:footnote w:id="15">
    <w:p w14:paraId="7DFCAAB9" w14:textId="59201C84" w:rsidR="00D767FF" w:rsidRPr="006F745C" w:rsidRDefault="00D767FF" w:rsidP="00991A75">
      <w:pPr>
        <w:pStyle w:val="FootnoteText"/>
        <w:jc w:val="both"/>
        <w:rPr>
          <w:rFonts w:ascii="Times New Roman" w:hAnsi="Times New Roman" w:cs="Times New Roman"/>
          <w:sz w:val="16"/>
          <w:szCs w:val="16"/>
        </w:rPr>
      </w:pPr>
      <w:r w:rsidRPr="006F745C">
        <w:rPr>
          <w:rStyle w:val="FootnoteReference"/>
          <w:rFonts w:ascii="Times New Roman" w:hAnsi="Times New Roman" w:cs="Times New Roman"/>
          <w:sz w:val="16"/>
          <w:szCs w:val="16"/>
        </w:rPr>
        <w:footnoteRef/>
      </w:r>
      <w:r w:rsidRPr="006F745C">
        <w:rPr>
          <w:rFonts w:ascii="Times New Roman" w:hAnsi="Times New Roman" w:cs="Times New Roman"/>
          <w:sz w:val="16"/>
          <w:szCs w:val="16"/>
        </w:rPr>
        <w:t xml:space="preserve"> Legea nr.42 din 06.03.2020 cu privire la modificarea unor acte legislative</w:t>
      </w:r>
      <w:r>
        <w:rPr>
          <w:rFonts w:ascii="Times New Roman" w:hAnsi="Times New Roman" w:cs="Times New Roman"/>
          <w:sz w:val="16"/>
          <w:szCs w:val="16"/>
        </w:rPr>
        <w:t>.</w:t>
      </w:r>
    </w:p>
  </w:footnote>
  <w:footnote w:id="16">
    <w:p w14:paraId="612E7411" w14:textId="3FF2C6E6" w:rsidR="00D767FF" w:rsidRPr="009F72AB" w:rsidRDefault="00D767FF" w:rsidP="00991A75">
      <w:pPr>
        <w:pStyle w:val="FootnoteText"/>
        <w:jc w:val="both"/>
        <w:rPr>
          <w:rFonts w:asciiTheme="majorHAnsi" w:hAnsiTheme="majorHAnsi" w:cstheme="majorHAnsi"/>
          <w:sz w:val="16"/>
          <w:szCs w:val="16"/>
        </w:rPr>
      </w:pPr>
      <w:r w:rsidRPr="006F745C">
        <w:rPr>
          <w:rStyle w:val="FootnoteReference"/>
          <w:rFonts w:ascii="Times New Roman" w:hAnsi="Times New Roman" w:cs="Times New Roman"/>
          <w:sz w:val="16"/>
          <w:szCs w:val="16"/>
        </w:rPr>
        <w:footnoteRef/>
      </w:r>
      <w:r w:rsidRPr="006F745C">
        <w:rPr>
          <w:rFonts w:ascii="Times New Roman" w:hAnsi="Times New Roman" w:cs="Times New Roman"/>
          <w:sz w:val="16"/>
          <w:szCs w:val="16"/>
        </w:rPr>
        <w:t xml:space="preserve"> Art.20, alin.(6) din Legea nr.548 din 21.07.1995.</w:t>
      </w:r>
    </w:p>
  </w:footnote>
  <w:footnote w:id="17">
    <w:p w14:paraId="4E278991" w14:textId="77777777" w:rsidR="00D767FF" w:rsidRPr="00CB4D3A" w:rsidRDefault="00D767FF">
      <w:pPr>
        <w:pStyle w:val="FootnoteText"/>
        <w:jc w:val="both"/>
        <w:rPr>
          <w:rFonts w:ascii="Times New Roman" w:hAnsi="Times New Roman" w:cs="Times New Roman"/>
          <w:lang w:val="en-US"/>
        </w:rPr>
      </w:pPr>
      <w:r w:rsidRPr="00CB4D3A">
        <w:rPr>
          <w:rStyle w:val="FootnoteReference"/>
          <w:rFonts w:ascii="Times New Roman" w:hAnsi="Times New Roman" w:cs="Times New Roman"/>
          <w:sz w:val="16"/>
          <w:szCs w:val="16"/>
        </w:rPr>
        <w:footnoteRef/>
      </w:r>
      <w:r w:rsidRPr="00CB4D3A">
        <w:rPr>
          <w:rFonts w:ascii="Times New Roman" w:hAnsi="Times New Roman" w:cs="Times New Roman"/>
          <w:sz w:val="16"/>
          <w:szCs w:val="16"/>
        </w:rPr>
        <w:t xml:space="preserve"> Regulamentul cu privire la selectarea, mandatul și revocarea organizației de audit pentru efectuarea auditului extern al situațiilor financiare anuale, conturilor și registrelor BNM, aprobat prin HCS nr.27 din 12.10.2020.</w:t>
      </w:r>
    </w:p>
  </w:footnote>
  <w:footnote w:id="18">
    <w:p w14:paraId="5DD54DE6" w14:textId="5FC54250" w:rsidR="00D767FF" w:rsidRPr="00CB4D3A" w:rsidRDefault="00D767FF" w:rsidP="00991A75">
      <w:pPr>
        <w:pStyle w:val="FootnoteText"/>
        <w:jc w:val="both"/>
        <w:rPr>
          <w:rFonts w:ascii="Times New Roman" w:hAnsi="Times New Roman" w:cs="Times New Roman"/>
          <w:sz w:val="16"/>
          <w:szCs w:val="16"/>
        </w:rPr>
      </w:pPr>
      <w:r w:rsidRPr="00CB4D3A">
        <w:rPr>
          <w:rStyle w:val="FootnoteReference"/>
          <w:rFonts w:ascii="Times New Roman" w:hAnsi="Times New Roman" w:cs="Times New Roman"/>
          <w:sz w:val="16"/>
          <w:szCs w:val="16"/>
        </w:rPr>
        <w:footnoteRef/>
      </w:r>
      <w:r w:rsidRPr="00CB4D3A">
        <w:rPr>
          <w:rFonts w:ascii="Times New Roman" w:hAnsi="Times New Roman" w:cs="Times New Roman"/>
          <w:sz w:val="16"/>
          <w:szCs w:val="16"/>
        </w:rPr>
        <w:t xml:space="preserve"> Art.69 din Legea nr.548 din 21.07.1995.</w:t>
      </w:r>
    </w:p>
  </w:footnote>
  <w:footnote w:id="19">
    <w:p w14:paraId="5B1A62AB" w14:textId="77777777" w:rsidR="00D767FF" w:rsidRPr="00F61B6D" w:rsidRDefault="00D767FF" w:rsidP="00991A75">
      <w:pPr>
        <w:pStyle w:val="FootnoteText"/>
        <w:jc w:val="both"/>
        <w:rPr>
          <w:rFonts w:ascii="Times New Roman" w:hAnsi="Times New Roman" w:cs="Times New Roman"/>
          <w:sz w:val="16"/>
          <w:szCs w:val="16"/>
        </w:rPr>
      </w:pPr>
      <w:r w:rsidRPr="00F61B6D">
        <w:rPr>
          <w:rStyle w:val="FootnoteReference"/>
          <w:rFonts w:ascii="Times New Roman" w:hAnsi="Times New Roman" w:cs="Times New Roman"/>
          <w:sz w:val="16"/>
          <w:szCs w:val="16"/>
        </w:rPr>
        <w:footnoteRef/>
      </w:r>
      <w:r w:rsidRPr="00F61B6D">
        <w:rPr>
          <w:rFonts w:ascii="Times New Roman" w:hAnsi="Times New Roman" w:cs="Times New Roman"/>
          <w:sz w:val="16"/>
          <w:szCs w:val="16"/>
        </w:rPr>
        <w:t xml:space="preserve"> Art.26 din Legea nr.548 din 21.07.1995.</w:t>
      </w:r>
    </w:p>
  </w:footnote>
  <w:footnote w:id="20">
    <w:p w14:paraId="1E482C77" w14:textId="77777777" w:rsidR="00D767FF" w:rsidRPr="00F61B6D" w:rsidRDefault="00D767FF" w:rsidP="00991A75">
      <w:pPr>
        <w:pStyle w:val="FootnoteText"/>
        <w:jc w:val="both"/>
        <w:rPr>
          <w:rFonts w:asciiTheme="majorHAnsi" w:hAnsiTheme="majorHAnsi" w:cstheme="majorHAnsi"/>
          <w:sz w:val="16"/>
          <w:szCs w:val="16"/>
        </w:rPr>
      </w:pPr>
      <w:r w:rsidRPr="00F61B6D">
        <w:rPr>
          <w:rStyle w:val="FootnoteReference"/>
          <w:rFonts w:ascii="Times New Roman" w:hAnsi="Times New Roman" w:cs="Times New Roman"/>
          <w:sz w:val="16"/>
          <w:szCs w:val="16"/>
        </w:rPr>
        <w:footnoteRef/>
      </w:r>
      <w:r w:rsidRPr="00F61B6D">
        <w:rPr>
          <w:rFonts w:ascii="Times New Roman" w:hAnsi="Times New Roman" w:cs="Times New Roman"/>
          <w:sz w:val="16"/>
          <w:szCs w:val="16"/>
        </w:rPr>
        <w:t xml:space="preserve"> Art.27 din Legea nr.548 din 21.07.1995.</w:t>
      </w:r>
    </w:p>
  </w:footnote>
  <w:footnote w:id="21">
    <w:p w14:paraId="51DE8BC0" w14:textId="77777777" w:rsidR="00D767FF" w:rsidRPr="00F61B6D" w:rsidRDefault="00D767FF" w:rsidP="00F61B6D">
      <w:pPr>
        <w:pStyle w:val="FootnoteText"/>
        <w:jc w:val="both"/>
        <w:rPr>
          <w:rFonts w:ascii="Times New Roman" w:hAnsi="Times New Roman" w:cs="Times New Roman"/>
          <w:sz w:val="16"/>
          <w:szCs w:val="16"/>
        </w:rPr>
      </w:pPr>
      <w:r w:rsidRPr="00F61B6D">
        <w:rPr>
          <w:rStyle w:val="FootnoteReference"/>
          <w:rFonts w:ascii="Times New Roman" w:hAnsi="Times New Roman" w:cs="Times New Roman"/>
          <w:sz w:val="16"/>
          <w:szCs w:val="16"/>
        </w:rPr>
        <w:footnoteRef/>
      </w:r>
      <w:r w:rsidRPr="00F61B6D">
        <w:rPr>
          <w:rFonts w:ascii="Times New Roman" w:hAnsi="Times New Roman" w:cs="Times New Roman"/>
          <w:sz w:val="16"/>
          <w:szCs w:val="16"/>
        </w:rPr>
        <w:t xml:space="preserve"> </w:t>
      </w:r>
      <w:r w:rsidRPr="00F61B6D">
        <w:rPr>
          <w:rFonts w:ascii="Times New Roman" w:hAnsi="Times New Roman" w:cs="Times New Roman"/>
          <w:color w:val="000000"/>
          <w:spacing w:val="-3"/>
          <w:sz w:val="16"/>
          <w:szCs w:val="16"/>
        </w:rPr>
        <w:t>Legea privind organizarea și funcționarea Curții de Conturi a Republicii Moldova nr.260 din 07.12.2017</w:t>
      </w:r>
      <w:r w:rsidRPr="00F61B6D">
        <w:rPr>
          <w:rFonts w:ascii="Times New Roman" w:hAnsi="Times New Roman" w:cs="Times New Roman"/>
          <w:color w:val="000000"/>
          <w:spacing w:val="-1"/>
          <w:sz w:val="16"/>
          <w:szCs w:val="16"/>
        </w:rPr>
        <w:t>.</w:t>
      </w:r>
    </w:p>
  </w:footnote>
  <w:footnote w:id="22">
    <w:p w14:paraId="61A41944" w14:textId="77777777" w:rsidR="00D767FF" w:rsidRPr="00AF57CE" w:rsidRDefault="00D767FF" w:rsidP="00F61B6D">
      <w:pPr>
        <w:pStyle w:val="FootnoteText"/>
        <w:jc w:val="both"/>
        <w:rPr>
          <w:rFonts w:ascii="Times New Roman" w:hAnsi="Times New Roman" w:cs="Times New Roman"/>
          <w:sz w:val="16"/>
          <w:szCs w:val="16"/>
        </w:rPr>
      </w:pPr>
      <w:r w:rsidRPr="00F61B6D">
        <w:rPr>
          <w:rStyle w:val="FootnoteReference"/>
          <w:rFonts w:ascii="Times New Roman" w:hAnsi="Times New Roman" w:cs="Times New Roman"/>
          <w:sz w:val="16"/>
          <w:szCs w:val="16"/>
        </w:rPr>
        <w:footnoteRef/>
      </w:r>
      <w:r w:rsidRPr="00F61B6D">
        <w:rPr>
          <w:rFonts w:ascii="Times New Roman" w:hAnsi="Times New Roman" w:cs="Times New Roman"/>
          <w:sz w:val="16"/>
          <w:szCs w:val="16"/>
        </w:rPr>
        <w:t xml:space="preserve"> Hotărârea Curții de Conturi nr.65 din 22.12.2022 </w:t>
      </w:r>
      <w:r w:rsidRPr="00991A75">
        <w:rPr>
          <w:rFonts w:ascii="Times New Roman" w:hAnsi="Times New Roman" w:cs="Times New Roman"/>
          <w:bCs/>
          <w:sz w:val="16"/>
          <w:szCs w:val="16"/>
        </w:rPr>
        <w:t xml:space="preserve">„Privind aprobarea </w:t>
      </w:r>
      <w:r w:rsidRPr="00991A75">
        <w:rPr>
          <w:rFonts w:ascii="Times New Roman" w:hAnsi="Times New Roman" w:cs="Times New Roman"/>
          <w:sz w:val="16"/>
          <w:szCs w:val="16"/>
        </w:rPr>
        <w:t>Programului activității de audit a</w:t>
      </w:r>
      <w:r>
        <w:rPr>
          <w:rFonts w:ascii="Times New Roman" w:hAnsi="Times New Roman" w:cs="Times New Roman"/>
          <w:sz w:val="16"/>
          <w:szCs w:val="16"/>
        </w:rPr>
        <w:t>l</w:t>
      </w:r>
      <w:r w:rsidRPr="00991A75">
        <w:rPr>
          <w:rFonts w:ascii="Times New Roman" w:hAnsi="Times New Roman" w:cs="Times New Roman"/>
          <w:sz w:val="16"/>
          <w:szCs w:val="16"/>
        </w:rPr>
        <w:t xml:space="preserve"> Curții de Conturi pe anul 2023”</w:t>
      </w:r>
      <w:r w:rsidRPr="00F61B6D">
        <w:rPr>
          <w:rFonts w:ascii="Times New Roman" w:hAnsi="Times New Roman" w:cs="Times New Roman"/>
          <w:sz w:val="16"/>
          <w:szCs w:val="16"/>
        </w:rPr>
        <w:t xml:space="preserve"> (cu modi</w:t>
      </w:r>
      <w:r w:rsidRPr="00AF57CE">
        <w:rPr>
          <w:rFonts w:ascii="Times New Roman" w:hAnsi="Times New Roman" w:cs="Times New Roman"/>
          <w:sz w:val="16"/>
          <w:szCs w:val="16"/>
        </w:rPr>
        <w:t>ficările și completările ulterioare).</w:t>
      </w:r>
    </w:p>
  </w:footnote>
  <w:footnote w:id="23">
    <w:p w14:paraId="6F6A41B5" w14:textId="3A632425" w:rsidR="00D767FF" w:rsidRPr="00CB4D3A" w:rsidRDefault="00D767FF">
      <w:pPr>
        <w:pStyle w:val="FootnoteText"/>
        <w:rPr>
          <w:rFonts w:ascii="Times New Roman" w:hAnsi="Times New Roman" w:cs="Times New Roman"/>
          <w:sz w:val="16"/>
          <w:szCs w:val="16"/>
        </w:rPr>
      </w:pPr>
      <w:r w:rsidRPr="00CB4D3A">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3E6963">
        <w:rPr>
          <w:rFonts w:ascii="Times New Roman" w:hAnsi="Times New Roman"/>
          <w:sz w:val="16"/>
          <w:szCs w:val="16"/>
          <w:lang w:val="ro-RO"/>
        </w:rPr>
        <w:t>Hotărârea Curții de Conturi nr.2 din 24.01.2020 „Cu privire la Cadrul Declaraț</w:t>
      </w:r>
      <w:r>
        <w:rPr>
          <w:rFonts w:ascii="Times New Roman" w:hAnsi="Times New Roman"/>
          <w:sz w:val="16"/>
          <w:szCs w:val="16"/>
          <w:lang w:val="ro-RO"/>
        </w:rPr>
        <w:t>iilor Profesionale ale ,,INTOSAI”</w:t>
      </w:r>
      <w:r w:rsidRPr="003E6963">
        <w:rPr>
          <w:rFonts w:ascii="Times New Roman" w:hAnsi="Times New Roman"/>
          <w:sz w:val="16"/>
          <w:szCs w:val="16"/>
          <w:lang w:val="ro-RO"/>
        </w:rPr>
        <w:t>.</w:t>
      </w:r>
    </w:p>
  </w:footnote>
  <w:footnote w:id="24">
    <w:p w14:paraId="5A67AE32" w14:textId="399605E9" w:rsidR="00D767FF" w:rsidRPr="00290FAF" w:rsidRDefault="00D767FF" w:rsidP="00EF53FB">
      <w:pPr>
        <w:spacing w:after="0"/>
        <w:rPr>
          <w:rFonts w:asciiTheme="majorHAnsi" w:hAnsiTheme="majorHAnsi" w:cstheme="majorHAnsi"/>
          <w:sz w:val="16"/>
          <w:szCs w:val="16"/>
          <w:lang w:val="ro-RO"/>
        </w:rPr>
      </w:pPr>
      <w:r w:rsidRPr="00CB4D3A">
        <w:rPr>
          <w:rStyle w:val="FootnoteReference"/>
          <w:rFonts w:ascii="Times New Roman" w:hAnsi="Times New Roman" w:cs="Times New Roman"/>
          <w:sz w:val="16"/>
          <w:szCs w:val="16"/>
        </w:rPr>
        <w:footnoteRef/>
      </w:r>
      <w:r w:rsidRPr="00CB4D3A">
        <w:rPr>
          <w:rFonts w:ascii="Times New Roman" w:hAnsi="Times New Roman" w:cs="Times New Roman"/>
          <w:sz w:val="16"/>
          <w:szCs w:val="16"/>
        </w:rPr>
        <w:t xml:space="preserve"> Legea </w:t>
      </w:r>
      <w:r>
        <w:rPr>
          <w:rFonts w:ascii="Times New Roman" w:hAnsi="Times New Roman" w:cs="Times New Roman"/>
          <w:sz w:val="16"/>
          <w:szCs w:val="16"/>
        </w:rPr>
        <w:t>nr.548</w:t>
      </w:r>
      <w:r w:rsidRPr="00CB4D3A">
        <w:rPr>
          <w:rFonts w:ascii="Times New Roman" w:hAnsi="Times New Roman" w:cs="Times New Roman"/>
          <w:sz w:val="16"/>
          <w:szCs w:val="16"/>
        </w:rPr>
        <w:t xml:space="preserve"> din 21.07.1995.</w:t>
      </w:r>
    </w:p>
  </w:footnote>
  <w:footnote w:id="25">
    <w:p w14:paraId="56928E4D" w14:textId="77777777" w:rsidR="00D767FF" w:rsidRPr="00033F6D" w:rsidRDefault="00D767FF" w:rsidP="00033F6D">
      <w:pPr>
        <w:pStyle w:val="FootnoteText"/>
        <w:jc w:val="both"/>
        <w:rPr>
          <w:rFonts w:ascii="Times New Roman" w:hAnsi="Times New Roman" w:cs="Times New Roman"/>
          <w:sz w:val="16"/>
          <w:szCs w:val="16"/>
        </w:rPr>
      </w:pPr>
      <w:r w:rsidRPr="00033F6D">
        <w:rPr>
          <w:rStyle w:val="FootnoteReference"/>
          <w:rFonts w:ascii="Times New Roman" w:hAnsi="Times New Roman" w:cs="Times New Roman"/>
          <w:sz w:val="16"/>
          <w:szCs w:val="16"/>
        </w:rPr>
        <w:footnoteRef/>
      </w:r>
      <w:r w:rsidRPr="00033F6D">
        <w:rPr>
          <w:rFonts w:ascii="Times New Roman" w:hAnsi="Times New Roman" w:cs="Times New Roman"/>
          <w:sz w:val="16"/>
          <w:szCs w:val="16"/>
        </w:rPr>
        <w:t xml:space="preserve"> </w:t>
      </w:r>
      <w:r w:rsidRPr="00991A75">
        <w:rPr>
          <w:rFonts w:ascii="Times New Roman" w:eastAsia="Times New Roman" w:hAnsi="Times New Roman" w:cs="Times New Roman"/>
          <w:sz w:val="16"/>
          <w:szCs w:val="16"/>
        </w:rPr>
        <w:t xml:space="preserve">Hotărârea Curții de Conturi nr.19 din 05.04.2019 „Cu privire la aprobarea Codului etic al Curții de Conturi”. </w:t>
      </w:r>
    </w:p>
  </w:footnote>
  <w:footnote w:id="26">
    <w:p w14:paraId="4F6A0D84" w14:textId="77777777" w:rsidR="00D767FF" w:rsidRPr="001776A1" w:rsidRDefault="00D767FF" w:rsidP="00991A75">
      <w:pPr>
        <w:pStyle w:val="FootnoteText"/>
        <w:jc w:val="both"/>
        <w:rPr>
          <w:rFonts w:ascii="Times New Roman" w:hAnsi="Times New Roman" w:cs="Times New Roman"/>
        </w:rPr>
      </w:pPr>
      <w:r w:rsidRPr="00033F6D">
        <w:rPr>
          <w:rStyle w:val="FootnoteReference"/>
          <w:rFonts w:ascii="Times New Roman" w:hAnsi="Times New Roman" w:cs="Times New Roman"/>
          <w:sz w:val="16"/>
          <w:szCs w:val="16"/>
        </w:rPr>
        <w:footnoteRef/>
      </w:r>
      <w:r w:rsidRPr="00033F6D">
        <w:rPr>
          <w:rFonts w:ascii="Times New Roman" w:hAnsi="Times New Roman" w:cs="Times New Roman"/>
          <w:sz w:val="16"/>
          <w:szCs w:val="16"/>
        </w:rPr>
        <w:t xml:space="preserve"> Art.11 din Legea nr.548 din 21.07.1995.</w:t>
      </w:r>
    </w:p>
  </w:footnote>
  <w:footnote w:id="27">
    <w:p w14:paraId="32957039" w14:textId="77777777" w:rsidR="00D767FF" w:rsidRPr="005415F3" w:rsidRDefault="00D767FF" w:rsidP="00284C18">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w:t>
      </w:r>
      <w:r w:rsidRPr="00685A42">
        <w:rPr>
          <w:rFonts w:ascii="Times New Roman" w:hAnsi="Times New Roman" w:cs="Times New Roman"/>
          <w:i/>
          <w:sz w:val="16"/>
          <w:szCs w:val="16"/>
        </w:rPr>
        <w:t>Contabilitatea de angajamente</w:t>
      </w:r>
      <w:r w:rsidRPr="00991A75">
        <w:rPr>
          <w:rFonts w:ascii="Times New Roman" w:hAnsi="Times New Roman" w:cs="Times New Roman"/>
          <w:sz w:val="16"/>
          <w:szCs w:val="16"/>
        </w:rPr>
        <w:t xml:space="preserve"> –</w:t>
      </w:r>
      <w:r w:rsidRPr="005415F3">
        <w:rPr>
          <w:rFonts w:ascii="Times New Roman" w:hAnsi="Times New Roman" w:cs="Times New Roman"/>
          <w:sz w:val="16"/>
          <w:szCs w:val="16"/>
        </w:rPr>
        <w:t xml:space="preserve"> efectele tranzacțiilor și ale altor evenimente, veniturile și cheltuielile se recunosc în perioada de raportare în care se produc, sunt obținute sau efectuate, indiferent de momentul încasării sau achitării acestora.</w:t>
      </w:r>
    </w:p>
  </w:footnote>
  <w:footnote w:id="28">
    <w:p w14:paraId="29FF0A6F" w14:textId="4B6D987B" w:rsidR="00D767FF" w:rsidRPr="005415F3" w:rsidRDefault="00D767FF" w:rsidP="00274B19">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Transformarea proceselor de activitate ale BNM aferent</w:t>
      </w:r>
      <w:r>
        <w:rPr>
          <w:rFonts w:ascii="Times New Roman" w:hAnsi="Times New Roman" w:cs="Times New Roman"/>
          <w:sz w:val="16"/>
          <w:szCs w:val="16"/>
        </w:rPr>
        <w:t>e</w:t>
      </w:r>
      <w:r w:rsidRPr="005415F3">
        <w:rPr>
          <w:rFonts w:ascii="Times New Roman" w:hAnsi="Times New Roman" w:cs="Times New Roman"/>
          <w:sz w:val="16"/>
          <w:szCs w:val="16"/>
        </w:rPr>
        <w:t xml:space="preserve"> operațiunilor bancare, operațiunilor cu numerar, gestionării resurselor financiare, materiale și umane, precum și modernizarea sistemului informatic bancar al BNM, </w:t>
      </w:r>
      <w:r>
        <w:rPr>
          <w:rFonts w:ascii="Times New Roman" w:hAnsi="Times New Roman" w:cs="Times New Roman"/>
          <w:sz w:val="16"/>
          <w:szCs w:val="16"/>
        </w:rPr>
        <w:t>pe</w:t>
      </w:r>
      <w:r w:rsidRPr="005415F3">
        <w:rPr>
          <w:rFonts w:ascii="Times New Roman" w:hAnsi="Times New Roman" w:cs="Times New Roman"/>
          <w:sz w:val="16"/>
          <w:szCs w:val="16"/>
        </w:rPr>
        <w:t>ntru eficientizarea activității operaționale a BNM.</w:t>
      </w:r>
    </w:p>
  </w:footnote>
  <w:footnote w:id="29">
    <w:p w14:paraId="384001FE" w14:textId="77777777" w:rsidR="00D767FF" w:rsidRPr="00844366" w:rsidRDefault="00D767FF" w:rsidP="00991A75">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Contract</w:t>
      </w:r>
      <w:r>
        <w:rPr>
          <w:rFonts w:ascii="Times New Roman" w:hAnsi="Times New Roman" w:cs="Times New Roman"/>
          <w:sz w:val="16"/>
          <w:szCs w:val="16"/>
        </w:rPr>
        <w:t>ul</w:t>
      </w:r>
      <w:r w:rsidRPr="005415F3">
        <w:rPr>
          <w:rFonts w:ascii="Times New Roman" w:hAnsi="Times New Roman" w:cs="Times New Roman"/>
          <w:sz w:val="16"/>
          <w:szCs w:val="16"/>
        </w:rPr>
        <w:t xml:space="preserve"> nr.25/183 din 19.12.2012.</w:t>
      </w:r>
    </w:p>
  </w:footnote>
  <w:footnote w:id="30">
    <w:p w14:paraId="0A99338F" w14:textId="24C002DD" w:rsidR="00D767FF" w:rsidRPr="005415F3" w:rsidRDefault="00D767FF" w:rsidP="00BA272D">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Contract</w:t>
      </w:r>
      <w:r>
        <w:rPr>
          <w:rFonts w:ascii="Times New Roman" w:hAnsi="Times New Roman" w:cs="Times New Roman"/>
          <w:sz w:val="16"/>
          <w:szCs w:val="16"/>
        </w:rPr>
        <w:t>ul</w:t>
      </w:r>
      <w:r w:rsidRPr="005415F3">
        <w:rPr>
          <w:rFonts w:ascii="Times New Roman" w:hAnsi="Times New Roman" w:cs="Times New Roman"/>
          <w:sz w:val="16"/>
          <w:szCs w:val="16"/>
        </w:rPr>
        <w:t xml:space="preserve"> nr.25/154 din 29.07.2022 în sumă de 603</w:t>
      </w:r>
      <w:r>
        <w:rPr>
          <w:rFonts w:ascii="Times New Roman" w:hAnsi="Times New Roman" w:cs="Times New Roman"/>
          <w:sz w:val="16"/>
          <w:szCs w:val="16"/>
        </w:rPr>
        <w:t>.</w:t>
      </w:r>
      <w:r w:rsidRPr="005415F3">
        <w:rPr>
          <w:rFonts w:ascii="Times New Roman" w:hAnsi="Times New Roman" w:cs="Times New Roman"/>
          <w:sz w:val="16"/>
          <w:szCs w:val="16"/>
        </w:rPr>
        <w:t xml:space="preserve">100,0 </w:t>
      </w:r>
      <w:r>
        <w:rPr>
          <w:rFonts w:ascii="Times New Roman" w:hAnsi="Times New Roman" w:cs="Times New Roman"/>
          <w:sz w:val="16"/>
          <w:szCs w:val="16"/>
        </w:rPr>
        <w:t>dolari SUA</w:t>
      </w:r>
      <w:r w:rsidRPr="005415F3">
        <w:rPr>
          <w:rFonts w:ascii="Times New Roman" w:hAnsi="Times New Roman" w:cs="Times New Roman"/>
          <w:sz w:val="16"/>
          <w:szCs w:val="16"/>
        </w:rPr>
        <w:t xml:space="preserve"> pentru perioada 29.07.2022 – 31.05.2024.</w:t>
      </w:r>
    </w:p>
  </w:footnote>
  <w:footnote w:id="31">
    <w:p w14:paraId="325BB6F6" w14:textId="77777777" w:rsidR="00D767FF" w:rsidRPr="002C01FE" w:rsidRDefault="00D767FF" w:rsidP="002C01FE">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w:t>
      </w:r>
      <w:r>
        <w:rPr>
          <w:rFonts w:ascii="Times New Roman" w:hAnsi="Times New Roman" w:cs="Times New Roman"/>
          <w:sz w:val="16"/>
          <w:szCs w:val="16"/>
        </w:rPr>
        <w:t xml:space="preserve">Legea privind administrarea și </w:t>
      </w:r>
      <w:proofErr w:type="spellStart"/>
      <w:r>
        <w:rPr>
          <w:rFonts w:ascii="Times New Roman" w:hAnsi="Times New Roman" w:cs="Times New Roman"/>
          <w:sz w:val="16"/>
          <w:szCs w:val="16"/>
        </w:rPr>
        <w:t>deetatizarea</w:t>
      </w:r>
      <w:proofErr w:type="spellEnd"/>
      <w:r>
        <w:rPr>
          <w:rFonts w:ascii="Times New Roman" w:hAnsi="Times New Roman" w:cs="Times New Roman"/>
          <w:sz w:val="16"/>
          <w:szCs w:val="16"/>
        </w:rPr>
        <w:t xml:space="preserve"> proprietății publice nr.121 din 04.05.2007.</w:t>
      </w:r>
    </w:p>
  </w:footnote>
  <w:footnote w:id="32">
    <w:p w14:paraId="0386D62F" w14:textId="753A8F21" w:rsidR="00D767FF" w:rsidRPr="005415F3" w:rsidRDefault="00D767FF" w:rsidP="00704596">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Art.25</w:t>
      </w:r>
      <w:r w:rsidRPr="005415F3">
        <w:rPr>
          <w:rFonts w:ascii="Times New Roman" w:hAnsi="Times New Roman" w:cs="Times New Roman"/>
          <w:sz w:val="16"/>
          <w:szCs w:val="16"/>
          <w:vertAlign w:val="superscript"/>
        </w:rPr>
        <w:t>1</w:t>
      </w:r>
      <w:r w:rsidRPr="005415F3">
        <w:rPr>
          <w:rFonts w:ascii="Times New Roman" w:hAnsi="Times New Roman" w:cs="Times New Roman"/>
          <w:sz w:val="16"/>
          <w:szCs w:val="16"/>
        </w:rPr>
        <w:t xml:space="preserve"> din Legea salarizării nr.847 din 14.02.2002. </w:t>
      </w:r>
    </w:p>
  </w:footnote>
  <w:footnote w:id="33">
    <w:p w14:paraId="66D3823E" w14:textId="71B41D4E" w:rsidR="00D767FF" w:rsidRPr="005415F3" w:rsidRDefault="00D767FF" w:rsidP="00704596">
      <w:pPr>
        <w:pStyle w:val="FootnoteText"/>
        <w:jc w:val="both"/>
        <w:rPr>
          <w:rFonts w:ascii="Times New Roman" w:hAnsi="Times New Roman" w:cs="Times New Roman"/>
        </w:rPr>
      </w:pPr>
      <w:r w:rsidRPr="001108BE">
        <w:rPr>
          <w:rStyle w:val="FootnoteReference"/>
          <w:rFonts w:ascii="Times New Roman" w:hAnsi="Times New Roman" w:cs="Times New Roman"/>
          <w:sz w:val="16"/>
          <w:szCs w:val="16"/>
        </w:rPr>
        <w:footnoteRef/>
      </w:r>
      <w:r w:rsidRPr="001108BE">
        <w:rPr>
          <w:rFonts w:ascii="Times New Roman" w:hAnsi="Times New Roman" w:cs="Times New Roman"/>
          <w:sz w:val="16"/>
          <w:szCs w:val="16"/>
        </w:rPr>
        <w:t xml:space="preserve"> </w:t>
      </w:r>
      <w:r>
        <w:rPr>
          <w:rFonts w:ascii="Times New Roman" w:hAnsi="Times New Roman" w:cs="Times New Roman"/>
          <w:sz w:val="16"/>
          <w:szCs w:val="16"/>
        </w:rPr>
        <w:t>,,</w:t>
      </w:r>
      <w:r w:rsidRPr="001108BE">
        <w:rPr>
          <w:rFonts w:ascii="Times New Roman" w:hAnsi="Times New Roman" w:cs="Times New Roman"/>
          <w:sz w:val="16"/>
          <w:szCs w:val="16"/>
        </w:rPr>
        <w:t>Regulamentul privind salarizarea angajaților BNM” aprobat prin Hotărârea CS nr.15 din 11.07.2018 (cu modificările ulterioare).</w:t>
      </w:r>
    </w:p>
  </w:footnote>
  <w:footnote w:id="34">
    <w:p w14:paraId="5B387510" w14:textId="59AEBC9B" w:rsidR="00D767FF" w:rsidRPr="005415F3" w:rsidRDefault="00D767FF" w:rsidP="00991A75">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Anul 2019</w:t>
      </w:r>
      <w:r>
        <w:rPr>
          <w:rFonts w:ascii="Times New Roman" w:hAnsi="Times New Roman" w:cs="Times New Roman"/>
          <w:sz w:val="16"/>
          <w:szCs w:val="16"/>
        </w:rPr>
        <w:t xml:space="preserve"> –</w:t>
      </w:r>
      <w:r w:rsidRPr="005415F3">
        <w:rPr>
          <w:rFonts w:ascii="Times New Roman" w:hAnsi="Times New Roman" w:cs="Times New Roman"/>
          <w:sz w:val="16"/>
          <w:szCs w:val="16"/>
        </w:rPr>
        <w:t xml:space="preserve"> 161,6 mil. lei, </w:t>
      </w:r>
      <w:r>
        <w:rPr>
          <w:rFonts w:ascii="Times New Roman" w:hAnsi="Times New Roman" w:cs="Times New Roman"/>
          <w:sz w:val="16"/>
          <w:szCs w:val="16"/>
        </w:rPr>
        <w:t>a</w:t>
      </w:r>
      <w:r w:rsidRPr="005415F3">
        <w:rPr>
          <w:rFonts w:ascii="Times New Roman" w:hAnsi="Times New Roman" w:cs="Times New Roman"/>
          <w:sz w:val="16"/>
          <w:szCs w:val="16"/>
        </w:rPr>
        <w:t xml:space="preserve">nul 2020 – 163,1 mil. lei, </w:t>
      </w:r>
      <w:r>
        <w:rPr>
          <w:rFonts w:ascii="Times New Roman" w:hAnsi="Times New Roman" w:cs="Times New Roman"/>
          <w:sz w:val="16"/>
          <w:szCs w:val="16"/>
        </w:rPr>
        <w:t>a</w:t>
      </w:r>
      <w:r w:rsidRPr="005415F3">
        <w:rPr>
          <w:rFonts w:ascii="Times New Roman" w:hAnsi="Times New Roman" w:cs="Times New Roman"/>
          <w:sz w:val="16"/>
          <w:szCs w:val="16"/>
        </w:rPr>
        <w:t>nul 2021 – 176,9 mil. lei</w:t>
      </w:r>
      <w:r>
        <w:rPr>
          <w:rFonts w:ascii="Times New Roman" w:hAnsi="Times New Roman" w:cs="Times New Roman"/>
          <w:sz w:val="16"/>
          <w:szCs w:val="16"/>
        </w:rPr>
        <w:t>,</w:t>
      </w:r>
      <w:r w:rsidRPr="005415F3">
        <w:rPr>
          <w:rFonts w:ascii="Times New Roman" w:hAnsi="Times New Roman" w:cs="Times New Roman"/>
          <w:sz w:val="16"/>
          <w:szCs w:val="16"/>
        </w:rPr>
        <w:t xml:space="preserve"> și în </w:t>
      </w:r>
      <w:r>
        <w:rPr>
          <w:rFonts w:ascii="Times New Roman" w:hAnsi="Times New Roman" w:cs="Times New Roman"/>
          <w:sz w:val="16"/>
          <w:szCs w:val="16"/>
        </w:rPr>
        <w:t>a</w:t>
      </w:r>
      <w:r w:rsidRPr="005415F3">
        <w:rPr>
          <w:rFonts w:ascii="Times New Roman" w:hAnsi="Times New Roman" w:cs="Times New Roman"/>
          <w:sz w:val="16"/>
          <w:szCs w:val="16"/>
        </w:rPr>
        <w:t xml:space="preserve">nul 2022 </w:t>
      </w:r>
      <w:r>
        <w:rPr>
          <w:rFonts w:ascii="Times New Roman" w:hAnsi="Times New Roman" w:cs="Times New Roman"/>
          <w:sz w:val="16"/>
          <w:szCs w:val="16"/>
        </w:rPr>
        <w:t xml:space="preserve">– </w:t>
      </w:r>
      <w:r w:rsidRPr="005415F3">
        <w:rPr>
          <w:rFonts w:ascii="Times New Roman" w:hAnsi="Times New Roman" w:cs="Times New Roman"/>
          <w:sz w:val="16"/>
          <w:szCs w:val="16"/>
        </w:rPr>
        <w:t>265,1 mil. lei.</w:t>
      </w:r>
    </w:p>
  </w:footnote>
  <w:footnote w:id="35">
    <w:p w14:paraId="1FEFE046" w14:textId="1F8679DA" w:rsidR="00D767FF" w:rsidRPr="005415F3" w:rsidRDefault="00D767FF" w:rsidP="00704596">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w:t>
      </w:r>
      <w:r>
        <w:rPr>
          <w:rFonts w:ascii="Times New Roman" w:hAnsi="Times New Roman" w:cs="Times New Roman"/>
          <w:sz w:val="16"/>
          <w:szCs w:val="16"/>
        </w:rPr>
        <w:t>P</w:t>
      </w:r>
      <w:r w:rsidRPr="005415F3">
        <w:rPr>
          <w:rFonts w:ascii="Times New Roman" w:hAnsi="Times New Roman" w:cs="Times New Roman"/>
          <w:sz w:val="16"/>
          <w:szCs w:val="16"/>
        </w:rPr>
        <w:t>ct. 4, lit. e) din Regulamentul de organizare și funcționare a Consiliului de supraveghere a</w:t>
      </w:r>
      <w:r>
        <w:rPr>
          <w:rFonts w:ascii="Times New Roman" w:hAnsi="Times New Roman" w:cs="Times New Roman"/>
          <w:sz w:val="16"/>
          <w:szCs w:val="16"/>
        </w:rPr>
        <w:t>l</w:t>
      </w:r>
      <w:r w:rsidRPr="005415F3">
        <w:rPr>
          <w:rFonts w:ascii="Times New Roman" w:hAnsi="Times New Roman" w:cs="Times New Roman"/>
          <w:sz w:val="16"/>
          <w:szCs w:val="16"/>
        </w:rPr>
        <w:t xml:space="preserve"> BNM</w:t>
      </w:r>
      <w:r>
        <w:rPr>
          <w:rFonts w:ascii="Times New Roman" w:hAnsi="Times New Roman" w:cs="Times New Roman"/>
          <w:sz w:val="16"/>
          <w:szCs w:val="16"/>
        </w:rPr>
        <w:t>.</w:t>
      </w:r>
    </w:p>
  </w:footnote>
  <w:footnote w:id="36">
    <w:p w14:paraId="507BA1C3" w14:textId="77777777" w:rsidR="00D767FF" w:rsidRPr="00C458CA" w:rsidRDefault="00D767FF" w:rsidP="00E75762">
      <w:pPr>
        <w:pStyle w:val="FootnoteText"/>
        <w:jc w:val="both"/>
        <w:rPr>
          <w:rFonts w:ascii="Times New Roman" w:hAnsi="Times New Roman" w:cs="Times New Roman"/>
          <w:sz w:val="16"/>
          <w:szCs w:val="16"/>
        </w:rPr>
      </w:pPr>
      <w:r w:rsidRPr="00C458CA">
        <w:rPr>
          <w:rStyle w:val="FootnoteReference"/>
          <w:rFonts w:ascii="Times New Roman" w:hAnsi="Times New Roman" w:cs="Times New Roman"/>
          <w:sz w:val="16"/>
          <w:szCs w:val="16"/>
        </w:rPr>
        <w:footnoteRef/>
      </w:r>
      <w:r w:rsidRPr="00C458CA">
        <w:rPr>
          <w:rFonts w:ascii="Times New Roman" w:hAnsi="Times New Roman" w:cs="Times New Roman"/>
          <w:sz w:val="16"/>
          <w:szCs w:val="16"/>
        </w:rPr>
        <w:t xml:space="preserve"> Pct. 24 și pct.28 din HCS nr. 25 din 23.08.2019 Regulamentul de organizare și funcționare a Consiliului de supraveghere al Băncii Naționale a Moldovei.</w:t>
      </w:r>
    </w:p>
  </w:footnote>
  <w:footnote w:id="37">
    <w:p w14:paraId="31F9A8DB" w14:textId="77777777" w:rsidR="00D767FF" w:rsidRPr="00C458CA" w:rsidRDefault="00D767FF" w:rsidP="003A5162">
      <w:pPr>
        <w:pStyle w:val="FootnoteText"/>
        <w:jc w:val="both"/>
        <w:rPr>
          <w:rFonts w:asciiTheme="majorHAnsi" w:hAnsiTheme="majorHAnsi" w:cstheme="majorHAnsi"/>
          <w:sz w:val="16"/>
          <w:szCs w:val="16"/>
        </w:rPr>
      </w:pPr>
      <w:r w:rsidRPr="00C458CA">
        <w:rPr>
          <w:rStyle w:val="FootnoteReference"/>
          <w:rFonts w:ascii="Times New Roman" w:hAnsi="Times New Roman" w:cs="Times New Roman"/>
          <w:sz w:val="16"/>
          <w:szCs w:val="16"/>
        </w:rPr>
        <w:footnoteRef/>
      </w:r>
      <w:r w:rsidRPr="00C458CA">
        <w:rPr>
          <w:rFonts w:ascii="Times New Roman" w:hAnsi="Times New Roman" w:cs="Times New Roman"/>
          <w:sz w:val="16"/>
          <w:szCs w:val="16"/>
        </w:rPr>
        <w:t xml:space="preserve"> HCS nr.34 din 28.11.2018, HCS nr. 40 din 12.12.2020, HCS nr.32 din 16.12.2020, HCS nr.39 din 20.12.2021</w:t>
      </w:r>
      <w:r>
        <w:rPr>
          <w:rFonts w:ascii="Times New Roman" w:hAnsi="Times New Roman" w:cs="Times New Roman"/>
          <w:sz w:val="16"/>
          <w:szCs w:val="16"/>
        </w:rPr>
        <w:t>.</w:t>
      </w:r>
    </w:p>
  </w:footnote>
  <w:footnote w:id="38">
    <w:p w14:paraId="51CFAC6E" w14:textId="04FD571F" w:rsidR="00D767FF" w:rsidRPr="00C458CA" w:rsidRDefault="00D767FF" w:rsidP="00CD71E8">
      <w:pPr>
        <w:pStyle w:val="FootnoteText"/>
        <w:jc w:val="both"/>
        <w:rPr>
          <w:rFonts w:ascii="Times New Roman" w:hAnsi="Times New Roman" w:cs="Times New Roman"/>
          <w:sz w:val="16"/>
          <w:szCs w:val="16"/>
        </w:rPr>
      </w:pPr>
      <w:r w:rsidRPr="00C458CA">
        <w:rPr>
          <w:rStyle w:val="FootnoteReference"/>
          <w:rFonts w:ascii="Times New Roman" w:hAnsi="Times New Roman" w:cs="Times New Roman"/>
          <w:sz w:val="16"/>
          <w:szCs w:val="16"/>
        </w:rPr>
        <w:footnoteRef/>
      </w:r>
      <w:r w:rsidRPr="00C458CA">
        <w:rPr>
          <w:rFonts w:ascii="Times New Roman" w:hAnsi="Times New Roman" w:cs="Times New Roman"/>
          <w:sz w:val="16"/>
          <w:szCs w:val="16"/>
        </w:rPr>
        <w:t xml:space="preserve"> IAS 37 ,,Provizioane, datorii contigente și active contigente”.</w:t>
      </w:r>
      <w:r w:rsidRPr="00991A75">
        <w:rPr>
          <w:rFonts w:ascii="Times New Roman" w:hAnsi="Times New Roman" w:cs="Times New Roman"/>
          <w:bCs/>
          <w:sz w:val="16"/>
          <w:szCs w:val="16"/>
        </w:rPr>
        <w:t xml:space="preserve"> În perioada 2019-2022, au fost executate cheltuieli de judecată și taxele de stat în sumă totală de 2</w:t>
      </w:r>
      <w:r>
        <w:rPr>
          <w:rFonts w:ascii="Times New Roman" w:hAnsi="Times New Roman" w:cs="Times New Roman"/>
          <w:bCs/>
          <w:sz w:val="16"/>
          <w:szCs w:val="16"/>
        </w:rPr>
        <w:t>.</w:t>
      </w:r>
      <w:r w:rsidRPr="00991A75">
        <w:rPr>
          <w:rFonts w:ascii="Times New Roman" w:hAnsi="Times New Roman" w:cs="Times New Roman"/>
          <w:bCs/>
          <w:sz w:val="16"/>
          <w:szCs w:val="16"/>
        </w:rPr>
        <w:t>431,3 mii lei</w:t>
      </w:r>
      <w:r>
        <w:rPr>
          <w:rFonts w:ascii="Times New Roman" w:hAnsi="Times New Roman" w:cs="Times New Roman"/>
          <w:bCs/>
          <w:sz w:val="16"/>
          <w:szCs w:val="16"/>
        </w:rPr>
        <w:t>,</w:t>
      </w:r>
      <w:r w:rsidRPr="00991A75">
        <w:rPr>
          <w:rFonts w:ascii="Times New Roman" w:hAnsi="Times New Roman" w:cs="Times New Roman"/>
          <w:bCs/>
          <w:sz w:val="16"/>
          <w:szCs w:val="16"/>
        </w:rPr>
        <w:t xml:space="preserve"> ceea ce constituie 0,25% din total</w:t>
      </w:r>
      <w:r>
        <w:rPr>
          <w:rFonts w:ascii="Times New Roman" w:hAnsi="Times New Roman" w:cs="Times New Roman"/>
          <w:bCs/>
          <w:sz w:val="16"/>
          <w:szCs w:val="16"/>
        </w:rPr>
        <w:t>ul</w:t>
      </w:r>
      <w:r w:rsidRPr="00991A75">
        <w:rPr>
          <w:rFonts w:ascii="Times New Roman" w:hAnsi="Times New Roman" w:cs="Times New Roman"/>
          <w:bCs/>
          <w:sz w:val="16"/>
          <w:szCs w:val="16"/>
        </w:rPr>
        <w:t xml:space="preserve"> cheltuieli</w:t>
      </w:r>
      <w:r>
        <w:rPr>
          <w:rFonts w:ascii="Times New Roman" w:hAnsi="Times New Roman" w:cs="Times New Roman"/>
          <w:bCs/>
          <w:sz w:val="16"/>
          <w:szCs w:val="16"/>
        </w:rPr>
        <w:t>lor</w:t>
      </w:r>
      <w:r w:rsidRPr="00991A75">
        <w:rPr>
          <w:rFonts w:ascii="Times New Roman" w:hAnsi="Times New Roman" w:cs="Times New Roman"/>
          <w:bCs/>
          <w:sz w:val="16"/>
          <w:szCs w:val="16"/>
        </w:rPr>
        <w:t xml:space="preserve"> administrative (945,4 mil. lei), din care în anul 2019 – 168,8 mii lei, în anul 2020 – 687,9 mii lei, în anul 2021 – 835,4 mii lei</w:t>
      </w:r>
      <w:r>
        <w:rPr>
          <w:rFonts w:ascii="Times New Roman" w:hAnsi="Times New Roman" w:cs="Times New Roman"/>
          <w:bCs/>
          <w:sz w:val="16"/>
          <w:szCs w:val="16"/>
        </w:rPr>
        <w:t>,</w:t>
      </w:r>
      <w:r w:rsidRPr="00991A75">
        <w:rPr>
          <w:rFonts w:ascii="Times New Roman" w:hAnsi="Times New Roman" w:cs="Times New Roman"/>
          <w:bCs/>
          <w:sz w:val="16"/>
          <w:szCs w:val="16"/>
        </w:rPr>
        <w:t xml:space="preserve"> și în anul 2022 – 739,2 mii lei. </w:t>
      </w:r>
    </w:p>
  </w:footnote>
  <w:footnote w:id="39">
    <w:p w14:paraId="2716CDC1" w14:textId="76F8A749" w:rsidR="00D767FF" w:rsidRPr="00C458CA" w:rsidRDefault="00D767FF" w:rsidP="003A5162">
      <w:pPr>
        <w:pStyle w:val="FootnoteText"/>
        <w:jc w:val="both"/>
        <w:rPr>
          <w:rFonts w:ascii="Times New Roman" w:hAnsi="Times New Roman" w:cs="Times New Roman"/>
          <w:sz w:val="16"/>
          <w:szCs w:val="16"/>
        </w:rPr>
      </w:pPr>
      <w:r w:rsidRPr="00C458CA">
        <w:rPr>
          <w:rStyle w:val="FootnoteReference"/>
          <w:rFonts w:ascii="Times New Roman" w:hAnsi="Times New Roman" w:cs="Times New Roman"/>
          <w:sz w:val="16"/>
          <w:szCs w:val="16"/>
        </w:rPr>
        <w:footnoteRef/>
      </w:r>
      <w:r w:rsidRPr="00C458CA">
        <w:rPr>
          <w:rFonts w:ascii="Times New Roman" w:hAnsi="Times New Roman" w:cs="Times New Roman"/>
          <w:sz w:val="16"/>
          <w:szCs w:val="16"/>
        </w:rPr>
        <w:t xml:space="preserve"> Contractul nr.15/169/2021 – NFP din 07.12.2021, în sumă de 53</w:t>
      </w:r>
      <w:r>
        <w:rPr>
          <w:rFonts w:ascii="Times New Roman" w:hAnsi="Times New Roman" w:cs="Times New Roman"/>
          <w:sz w:val="16"/>
          <w:szCs w:val="16"/>
        </w:rPr>
        <w:t>.</w:t>
      </w:r>
      <w:r w:rsidRPr="00C458CA">
        <w:rPr>
          <w:rFonts w:ascii="Times New Roman" w:hAnsi="Times New Roman" w:cs="Times New Roman"/>
          <w:sz w:val="16"/>
          <w:szCs w:val="16"/>
        </w:rPr>
        <w:t xml:space="preserve">088,0 </w:t>
      </w:r>
      <w:r>
        <w:rPr>
          <w:rFonts w:ascii="Times New Roman" w:hAnsi="Times New Roman" w:cs="Times New Roman"/>
          <w:sz w:val="16"/>
          <w:szCs w:val="16"/>
        </w:rPr>
        <w:t>e</w:t>
      </w:r>
      <w:r w:rsidRPr="00C458CA">
        <w:rPr>
          <w:rFonts w:ascii="Times New Roman" w:hAnsi="Times New Roman" w:cs="Times New Roman"/>
          <w:sz w:val="16"/>
          <w:szCs w:val="16"/>
        </w:rPr>
        <w:t>uro/1</w:t>
      </w:r>
      <w:r>
        <w:rPr>
          <w:rFonts w:ascii="Times New Roman" w:hAnsi="Times New Roman" w:cs="Times New Roman"/>
          <w:sz w:val="16"/>
          <w:szCs w:val="16"/>
        </w:rPr>
        <w:t>.</w:t>
      </w:r>
      <w:r w:rsidRPr="00C458CA">
        <w:rPr>
          <w:rFonts w:ascii="Times New Roman" w:hAnsi="Times New Roman" w:cs="Times New Roman"/>
          <w:sz w:val="16"/>
          <w:szCs w:val="16"/>
        </w:rPr>
        <w:t>283,5 mii lei, pentru perioada 07.12.2021 – 31.12.2022.</w:t>
      </w:r>
    </w:p>
  </w:footnote>
  <w:footnote w:id="40">
    <w:p w14:paraId="239160CA" w14:textId="77777777" w:rsidR="00D767FF" w:rsidRPr="00C458CA" w:rsidRDefault="00D767FF" w:rsidP="00504A52">
      <w:pPr>
        <w:pStyle w:val="FootnoteText"/>
        <w:jc w:val="both"/>
        <w:rPr>
          <w:rFonts w:ascii="Times New Roman" w:hAnsi="Times New Roman" w:cs="Times New Roman"/>
          <w:sz w:val="16"/>
          <w:szCs w:val="16"/>
        </w:rPr>
      </w:pPr>
      <w:r w:rsidRPr="00C458CA">
        <w:rPr>
          <w:rStyle w:val="FootnoteReference"/>
          <w:rFonts w:ascii="Times New Roman" w:hAnsi="Times New Roman" w:cs="Times New Roman"/>
          <w:sz w:val="16"/>
          <w:szCs w:val="16"/>
        </w:rPr>
        <w:footnoteRef/>
      </w:r>
      <w:r w:rsidRPr="00C458CA">
        <w:rPr>
          <w:rFonts w:ascii="Times New Roman" w:hAnsi="Times New Roman" w:cs="Times New Roman"/>
          <w:sz w:val="16"/>
          <w:szCs w:val="16"/>
        </w:rPr>
        <w:t xml:space="preserve"> Art.34, alin. (3) al Legii nr.548 din 21.07.1995</w:t>
      </w:r>
      <w:r>
        <w:rPr>
          <w:rFonts w:ascii="Times New Roman" w:hAnsi="Times New Roman" w:cs="Times New Roman"/>
          <w:sz w:val="16"/>
          <w:szCs w:val="16"/>
        </w:rPr>
        <w:t>.</w:t>
      </w:r>
      <w:r w:rsidRPr="00C458CA">
        <w:rPr>
          <w:rFonts w:ascii="Times New Roman" w:hAnsi="Times New Roman" w:cs="Times New Roman"/>
          <w:sz w:val="16"/>
          <w:szCs w:val="16"/>
        </w:rPr>
        <w:t xml:space="preserve"> </w:t>
      </w:r>
    </w:p>
  </w:footnote>
  <w:footnote w:id="41">
    <w:p w14:paraId="25BC49BD" w14:textId="77777777" w:rsidR="00D767FF" w:rsidRPr="00124A7A" w:rsidRDefault="00D767FF" w:rsidP="00583F95">
      <w:pPr>
        <w:pStyle w:val="FootnoteText"/>
        <w:jc w:val="both"/>
        <w:rPr>
          <w:rFonts w:asciiTheme="majorHAnsi" w:hAnsiTheme="majorHAnsi" w:cstheme="majorHAnsi"/>
          <w:sz w:val="16"/>
          <w:szCs w:val="16"/>
        </w:rPr>
      </w:pPr>
      <w:r w:rsidRPr="00C458CA">
        <w:rPr>
          <w:rStyle w:val="FootnoteReference"/>
          <w:rFonts w:ascii="Times New Roman" w:hAnsi="Times New Roman" w:cs="Times New Roman"/>
          <w:sz w:val="16"/>
          <w:szCs w:val="16"/>
        </w:rPr>
        <w:footnoteRef/>
      </w:r>
      <w:r w:rsidRPr="00C458CA">
        <w:rPr>
          <w:rFonts w:ascii="Times New Roman" w:hAnsi="Times New Roman" w:cs="Times New Roman"/>
          <w:sz w:val="16"/>
          <w:szCs w:val="16"/>
        </w:rPr>
        <w:t xml:space="preserve"> HCE nr. 318 din 20.12.2018, HCE nr. 353 din 27.12.2019, HCE nr. 304 din 30.12.2020, HCE nr</w:t>
      </w:r>
      <w:r w:rsidRPr="005415F3">
        <w:rPr>
          <w:rFonts w:ascii="Times New Roman" w:hAnsi="Times New Roman" w:cs="Times New Roman"/>
          <w:sz w:val="16"/>
          <w:szCs w:val="16"/>
        </w:rPr>
        <w:t>. 262 din 23.12.2021 și HCE nr. 53 din 21.03.2022.</w:t>
      </w:r>
    </w:p>
  </w:footnote>
  <w:footnote w:id="42">
    <w:p w14:paraId="436591A8" w14:textId="7902E43B" w:rsidR="00D767FF" w:rsidRPr="005415F3" w:rsidRDefault="00D767FF" w:rsidP="00FC0FE5">
      <w:pPr>
        <w:spacing w:after="0" w:line="240" w:lineRule="auto"/>
        <w:jc w:val="both"/>
        <w:rPr>
          <w:rFonts w:ascii="Times New Roman" w:eastAsia="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w:t>
      </w:r>
      <w:r w:rsidRPr="005415F3">
        <w:rPr>
          <w:rFonts w:ascii="Times New Roman" w:eastAsia="Times New Roman" w:hAnsi="Times New Roman" w:cs="Times New Roman"/>
          <w:b/>
          <w:i/>
          <w:sz w:val="16"/>
          <w:szCs w:val="16"/>
        </w:rPr>
        <w:t>Etapa 1:</w:t>
      </w:r>
      <w:r w:rsidRPr="005415F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î</w:t>
      </w:r>
      <w:r w:rsidRPr="005415F3">
        <w:rPr>
          <w:rFonts w:ascii="Times New Roman" w:eastAsia="Times New Roman" w:hAnsi="Times New Roman" w:cs="Times New Roman"/>
          <w:sz w:val="16"/>
          <w:szCs w:val="16"/>
        </w:rPr>
        <w:t>naintarea propunerilor de actualizare a sistemului de salarizare a angajaților BNM și management</w:t>
      </w:r>
      <w:r>
        <w:rPr>
          <w:rFonts w:ascii="Times New Roman" w:eastAsia="Times New Roman" w:hAnsi="Times New Roman" w:cs="Times New Roman"/>
          <w:sz w:val="16"/>
          <w:szCs w:val="16"/>
        </w:rPr>
        <w:t>ul</w:t>
      </w:r>
      <w:r w:rsidRPr="005415F3">
        <w:rPr>
          <w:rFonts w:ascii="Times New Roman" w:eastAsia="Times New Roman" w:hAnsi="Times New Roman" w:cs="Times New Roman"/>
          <w:sz w:val="16"/>
          <w:szCs w:val="16"/>
        </w:rPr>
        <w:t xml:space="preserve"> de proiect – </w:t>
      </w:r>
      <w:r>
        <w:rPr>
          <w:rFonts w:ascii="Times New Roman" w:eastAsia="Times New Roman" w:hAnsi="Times New Roman" w:cs="Times New Roman"/>
          <w:sz w:val="16"/>
          <w:szCs w:val="16"/>
        </w:rPr>
        <w:t>A</w:t>
      </w:r>
      <w:r w:rsidRPr="005415F3">
        <w:rPr>
          <w:rFonts w:ascii="Times New Roman" w:eastAsia="Times New Roman" w:hAnsi="Times New Roman" w:cs="Times New Roman"/>
          <w:sz w:val="16"/>
          <w:szCs w:val="16"/>
        </w:rPr>
        <w:t>ct</w:t>
      </w:r>
      <w:r>
        <w:rPr>
          <w:rFonts w:ascii="Times New Roman" w:eastAsia="Times New Roman" w:hAnsi="Times New Roman" w:cs="Times New Roman"/>
          <w:sz w:val="16"/>
          <w:szCs w:val="16"/>
        </w:rPr>
        <w:t>ul</w:t>
      </w:r>
      <w:r w:rsidRPr="005415F3">
        <w:rPr>
          <w:rFonts w:ascii="Times New Roman" w:eastAsia="Times New Roman" w:hAnsi="Times New Roman" w:cs="Times New Roman"/>
          <w:sz w:val="16"/>
          <w:szCs w:val="16"/>
        </w:rPr>
        <w:t xml:space="preserve"> nr.2 din 07.02.2022</w:t>
      </w:r>
      <w:r>
        <w:rPr>
          <w:rFonts w:ascii="Times New Roman" w:eastAsia="Times New Roman" w:hAnsi="Times New Roman" w:cs="Times New Roman"/>
          <w:sz w:val="16"/>
          <w:szCs w:val="16"/>
        </w:rPr>
        <w:t>,</w:t>
      </w:r>
      <w:r w:rsidRPr="005415F3">
        <w:rPr>
          <w:rFonts w:ascii="Times New Roman" w:eastAsia="Times New Roman" w:hAnsi="Times New Roman" w:cs="Times New Roman"/>
          <w:sz w:val="16"/>
          <w:szCs w:val="16"/>
        </w:rPr>
        <w:t xml:space="preserve"> în sumă de 22</w:t>
      </w:r>
      <w:r>
        <w:rPr>
          <w:rFonts w:ascii="Times New Roman" w:eastAsia="Times New Roman" w:hAnsi="Times New Roman" w:cs="Times New Roman"/>
          <w:sz w:val="16"/>
          <w:szCs w:val="16"/>
        </w:rPr>
        <w:t>.</w:t>
      </w:r>
      <w:r w:rsidRPr="005415F3">
        <w:rPr>
          <w:rFonts w:ascii="Times New Roman" w:eastAsia="Times New Roman" w:hAnsi="Times New Roman" w:cs="Times New Roman"/>
          <w:sz w:val="16"/>
          <w:szCs w:val="16"/>
        </w:rPr>
        <w:t>405 euro/455,6 mii lei (TVA 4</w:t>
      </w:r>
      <w:r>
        <w:rPr>
          <w:rFonts w:ascii="Times New Roman" w:eastAsia="Times New Roman" w:hAnsi="Times New Roman" w:cs="Times New Roman"/>
          <w:sz w:val="16"/>
          <w:szCs w:val="16"/>
        </w:rPr>
        <w:t>.</w:t>
      </w:r>
      <w:r w:rsidRPr="005415F3">
        <w:rPr>
          <w:rFonts w:ascii="Times New Roman" w:eastAsia="Times New Roman" w:hAnsi="Times New Roman" w:cs="Times New Roman"/>
          <w:sz w:val="16"/>
          <w:szCs w:val="16"/>
        </w:rPr>
        <w:t xml:space="preserve">481 euro/92,5 mii lei); </w:t>
      </w:r>
      <w:r w:rsidRPr="005415F3">
        <w:rPr>
          <w:rFonts w:ascii="Times New Roman" w:eastAsia="Times New Roman" w:hAnsi="Times New Roman" w:cs="Times New Roman"/>
          <w:b/>
          <w:i/>
          <w:sz w:val="16"/>
          <w:szCs w:val="16"/>
        </w:rPr>
        <w:t xml:space="preserve">Etapa </w:t>
      </w:r>
      <w:r>
        <w:rPr>
          <w:rFonts w:ascii="Times New Roman" w:eastAsia="Times New Roman" w:hAnsi="Times New Roman" w:cs="Times New Roman"/>
          <w:b/>
          <w:i/>
          <w:sz w:val="16"/>
          <w:szCs w:val="16"/>
        </w:rPr>
        <w:t xml:space="preserve">a </w:t>
      </w:r>
      <w:r w:rsidRPr="005415F3">
        <w:rPr>
          <w:rFonts w:ascii="Times New Roman" w:eastAsia="Times New Roman" w:hAnsi="Times New Roman" w:cs="Times New Roman"/>
          <w:b/>
          <w:i/>
          <w:sz w:val="16"/>
          <w:szCs w:val="16"/>
        </w:rPr>
        <w:t>2</w:t>
      </w:r>
      <w:r>
        <w:rPr>
          <w:rFonts w:ascii="Times New Roman" w:eastAsia="Times New Roman" w:hAnsi="Times New Roman" w:cs="Times New Roman"/>
          <w:b/>
          <w:i/>
          <w:sz w:val="16"/>
          <w:szCs w:val="16"/>
        </w:rPr>
        <w:t>-a</w:t>
      </w:r>
      <w:r w:rsidRPr="005415F3">
        <w:rPr>
          <w:rFonts w:ascii="Times New Roman" w:eastAsia="Times New Roman" w:hAnsi="Times New Roman" w:cs="Times New Roman"/>
          <w:b/>
          <w:i/>
          <w:sz w:val="16"/>
          <w:szCs w:val="16"/>
        </w:rPr>
        <w:t>:</w:t>
      </w:r>
      <w:r w:rsidRPr="005415F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w:t>
      </w:r>
      <w:r w:rsidRPr="005415F3">
        <w:rPr>
          <w:rFonts w:ascii="Times New Roman" w:eastAsia="Times New Roman" w:hAnsi="Times New Roman" w:cs="Times New Roman"/>
          <w:sz w:val="16"/>
          <w:szCs w:val="16"/>
        </w:rPr>
        <w:t xml:space="preserve">ctualizarea grilelor (benzilor) salariale conform datelor actuale ale pieței de referință din RM – </w:t>
      </w:r>
      <w:r>
        <w:rPr>
          <w:rFonts w:ascii="Times New Roman" w:eastAsia="Times New Roman" w:hAnsi="Times New Roman" w:cs="Times New Roman"/>
          <w:sz w:val="16"/>
          <w:szCs w:val="16"/>
        </w:rPr>
        <w:t>A</w:t>
      </w:r>
      <w:r w:rsidRPr="005415F3">
        <w:rPr>
          <w:rFonts w:ascii="Times New Roman" w:eastAsia="Times New Roman" w:hAnsi="Times New Roman" w:cs="Times New Roman"/>
          <w:sz w:val="16"/>
          <w:szCs w:val="16"/>
        </w:rPr>
        <w:t>ct</w:t>
      </w:r>
      <w:r>
        <w:rPr>
          <w:rFonts w:ascii="Times New Roman" w:eastAsia="Times New Roman" w:hAnsi="Times New Roman" w:cs="Times New Roman"/>
          <w:sz w:val="16"/>
          <w:szCs w:val="16"/>
        </w:rPr>
        <w:t>ul</w:t>
      </w:r>
      <w:r w:rsidRPr="005415F3">
        <w:rPr>
          <w:rFonts w:ascii="Times New Roman" w:eastAsia="Times New Roman" w:hAnsi="Times New Roman" w:cs="Times New Roman"/>
          <w:sz w:val="16"/>
          <w:szCs w:val="16"/>
        </w:rPr>
        <w:t xml:space="preserve"> nr.1 din 04.02.2022</w:t>
      </w:r>
      <w:r>
        <w:rPr>
          <w:rFonts w:ascii="Times New Roman" w:eastAsia="Times New Roman" w:hAnsi="Times New Roman" w:cs="Times New Roman"/>
          <w:sz w:val="16"/>
          <w:szCs w:val="16"/>
        </w:rPr>
        <w:t>,</w:t>
      </w:r>
      <w:r w:rsidRPr="005415F3">
        <w:rPr>
          <w:rFonts w:ascii="Times New Roman" w:eastAsia="Times New Roman" w:hAnsi="Times New Roman" w:cs="Times New Roman"/>
          <w:sz w:val="16"/>
          <w:szCs w:val="16"/>
        </w:rPr>
        <w:t xml:space="preserve"> în sumă de 21</w:t>
      </w:r>
      <w:r>
        <w:rPr>
          <w:rFonts w:ascii="Times New Roman" w:eastAsia="Times New Roman" w:hAnsi="Times New Roman" w:cs="Times New Roman"/>
          <w:sz w:val="16"/>
          <w:szCs w:val="16"/>
        </w:rPr>
        <w:t>.</w:t>
      </w:r>
      <w:r w:rsidRPr="005415F3">
        <w:rPr>
          <w:rFonts w:ascii="Times New Roman" w:eastAsia="Times New Roman" w:hAnsi="Times New Roman" w:cs="Times New Roman"/>
          <w:sz w:val="16"/>
          <w:szCs w:val="16"/>
        </w:rPr>
        <w:t>191,0 euro/430,96 mii lei (TVA 4</w:t>
      </w:r>
      <w:r>
        <w:rPr>
          <w:rFonts w:ascii="Times New Roman" w:eastAsia="Times New Roman" w:hAnsi="Times New Roman" w:cs="Times New Roman"/>
          <w:sz w:val="16"/>
          <w:szCs w:val="16"/>
        </w:rPr>
        <w:t>.</w:t>
      </w:r>
      <w:r w:rsidRPr="005415F3">
        <w:rPr>
          <w:rFonts w:ascii="Times New Roman" w:eastAsia="Times New Roman" w:hAnsi="Times New Roman" w:cs="Times New Roman"/>
          <w:sz w:val="16"/>
          <w:szCs w:val="16"/>
        </w:rPr>
        <w:t>238 euro/86,2 mii lei).</w:t>
      </w:r>
    </w:p>
  </w:footnote>
  <w:footnote w:id="43">
    <w:p w14:paraId="2A91A423" w14:textId="77777777" w:rsidR="00D767FF" w:rsidRPr="005415F3" w:rsidRDefault="00D767FF" w:rsidP="00047DF5">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Art.19, lit. d) din Codul fiscal.</w:t>
      </w:r>
    </w:p>
  </w:footnote>
  <w:footnote w:id="44">
    <w:p w14:paraId="30529ED8" w14:textId="6DA94B39" w:rsidR="00D767FF" w:rsidRPr="00493FA8" w:rsidRDefault="00D767FF" w:rsidP="00FC0668">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Art.71, alin. (2), lit. d) din Legea nr.548 din 21.07.1995.</w:t>
      </w:r>
    </w:p>
  </w:footnote>
  <w:footnote w:id="45">
    <w:p w14:paraId="6CA48CEC" w14:textId="15982A97" w:rsidR="00D767FF" w:rsidRPr="005415F3" w:rsidRDefault="00D767FF" w:rsidP="00C42DB5">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HG nr.10 din 05.01.2012 ,,</w:t>
      </w:r>
      <w:r>
        <w:rPr>
          <w:rFonts w:ascii="Times New Roman" w:hAnsi="Times New Roman" w:cs="Times New Roman"/>
          <w:sz w:val="16"/>
          <w:szCs w:val="16"/>
        </w:rPr>
        <w:t>P</w:t>
      </w:r>
      <w:r w:rsidRPr="005415F3">
        <w:rPr>
          <w:rFonts w:ascii="Times New Roman" w:hAnsi="Times New Roman" w:cs="Times New Roman"/>
          <w:sz w:val="16"/>
          <w:szCs w:val="16"/>
        </w:rPr>
        <w:t>entru aprobarea Regulamentului cu privire la delegarea salariaților entităților din RM”; Codul muncii nr.154/2003</w:t>
      </w:r>
      <w:r>
        <w:rPr>
          <w:rFonts w:ascii="Times New Roman" w:hAnsi="Times New Roman" w:cs="Times New Roman"/>
          <w:sz w:val="16"/>
          <w:szCs w:val="16"/>
        </w:rPr>
        <w:t>;</w:t>
      </w:r>
      <w:r w:rsidRPr="005415F3">
        <w:rPr>
          <w:rFonts w:ascii="Times New Roman" w:hAnsi="Times New Roman" w:cs="Times New Roman"/>
          <w:sz w:val="16"/>
          <w:szCs w:val="16"/>
        </w:rPr>
        <w:t xml:space="preserve"> Legea cu privire la statutul persoanelor cu funcții de demnitate publică nr.199/2010.</w:t>
      </w:r>
    </w:p>
  </w:footnote>
  <w:footnote w:id="46">
    <w:p w14:paraId="7FBF2C5F" w14:textId="27EDF7AD" w:rsidR="00D767FF" w:rsidRPr="005415F3" w:rsidRDefault="00D767FF" w:rsidP="00493FA8">
      <w:pPr>
        <w:pStyle w:val="FootnoteText"/>
        <w:spacing w:line="276" w:lineRule="auto"/>
        <w:jc w:val="both"/>
        <w:rPr>
          <w:rFonts w:ascii="Times New Roman" w:hAnsi="Times New Roman" w:cs="Times New Roman"/>
          <w:sz w:val="16"/>
          <w:szCs w:val="16"/>
        </w:rPr>
      </w:pPr>
      <w:r w:rsidRPr="00021627">
        <w:rPr>
          <w:rStyle w:val="FootnoteReference"/>
          <w:rFonts w:ascii="Times New Roman" w:hAnsi="Times New Roman" w:cs="Times New Roman"/>
          <w:sz w:val="16"/>
          <w:szCs w:val="16"/>
        </w:rPr>
        <w:footnoteRef/>
      </w:r>
      <w:r w:rsidRPr="00021627">
        <w:rPr>
          <w:rFonts w:ascii="Times New Roman" w:hAnsi="Times New Roman" w:cs="Times New Roman"/>
          <w:sz w:val="16"/>
          <w:szCs w:val="16"/>
        </w:rPr>
        <w:t xml:space="preserve"> Regulamentul intern al Băncii Naționale a Moldovei, aprobat prin HCE al BNM nr.62/2016 (cu modificările ulterioare); ,,Instrucțiunea privind modul de planificare, organizare și desfășurare a achizițiilor în Banca Națională a Moldovei” aprobată prin HCE al BNM nr.218 din 16.08.2019, modificată prin HCE nr.193 din 30.09.2021.</w:t>
      </w:r>
    </w:p>
  </w:footnote>
  <w:footnote w:id="47">
    <w:p w14:paraId="6416356A" w14:textId="77777777" w:rsidR="00D767FF" w:rsidRPr="005415F3" w:rsidRDefault="00D767FF" w:rsidP="00214228">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5415F3">
        <w:rPr>
          <w:rFonts w:ascii="Times New Roman" w:hAnsi="Times New Roman" w:cs="Times New Roman"/>
          <w:sz w:val="16"/>
          <w:szCs w:val="16"/>
        </w:rPr>
        <w:t>Regulamentul Intern al Băncii Naționale a Moldovei, aprobat prin Hotărârea Comitetului executiv al BNM nr.62 din 16.03.2016 (cu modificările ulterioare)</w:t>
      </w:r>
      <w:r>
        <w:rPr>
          <w:rFonts w:ascii="Times New Roman" w:hAnsi="Times New Roman" w:cs="Times New Roman"/>
          <w:sz w:val="16"/>
          <w:szCs w:val="16"/>
        </w:rPr>
        <w:t>.</w:t>
      </w:r>
      <w:r w:rsidRPr="005415F3">
        <w:rPr>
          <w:rFonts w:ascii="Times New Roman" w:hAnsi="Times New Roman" w:cs="Times New Roman"/>
          <w:sz w:val="16"/>
          <w:szCs w:val="16"/>
        </w:rPr>
        <w:t xml:space="preserve"> </w:t>
      </w:r>
    </w:p>
  </w:footnote>
  <w:footnote w:id="48">
    <w:p w14:paraId="430C1BEB" w14:textId="77777777" w:rsidR="00D767FF" w:rsidRPr="00214228" w:rsidRDefault="00D767FF" w:rsidP="00214228">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Regulamentul privind sistemul de management al performanței și dezvoltarea profesională a angajaților BNM , aprobat prin Hotărârea Consiliului de administrație al BNM nr.201 din 02.10.2014.</w:t>
      </w:r>
    </w:p>
  </w:footnote>
  <w:footnote w:id="49">
    <w:p w14:paraId="4297DC3D" w14:textId="7F90C903" w:rsidR="00D767FF" w:rsidRPr="005415F3" w:rsidRDefault="00D767FF" w:rsidP="001944A0">
      <w:pPr>
        <w:pStyle w:val="FootnoteText"/>
        <w:spacing w:line="276" w:lineRule="auto"/>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Art.213, pct. (3) al Codului </w:t>
      </w:r>
      <w:r>
        <w:rPr>
          <w:rFonts w:ascii="Times New Roman" w:hAnsi="Times New Roman" w:cs="Times New Roman"/>
          <w:sz w:val="16"/>
          <w:szCs w:val="16"/>
        </w:rPr>
        <w:t>m</w:t>
      </w:r>
      <w:r w:rsidRPr="005415F3">
        <w:rPr>
          <w:rFonts w:ascii="Times New Roman" w:hAnsi="Times New Roman" w:cs="Times New Roman"/>
          <w:sz w:val="16"/>
          <w:szCs w:val="16"/>
        </w:rPr>
        <w:t>uncii nr.154 din 28.03.2003</w:t>
      </w:r>
      <w:r>
        <w:rPr>
          <w:rFonts w:ascii="Times New Roman" w:hAnsi="Times New Roman" w:cs="Times New Roman"/>
          <w:sz w:val="16"/>
          <w:szCs w:val="16"/>
        </w:rPr>
        <w:t>.</w:t>
      </w:r>
      <w:r w:rsidRPr="005415F3">
        <w:rPr>
          <w:rFonts w:ascii="Times New Roman" w:hAnsi="Times New Roman" w:cs="Times New Roman"/>
          <w:sz w:val="16"/>
          <w:szCs w:val="16"/>
        </w:rPr>
        <w:t xml:space="preserve">  </w:t>
      </w:r>
    </w:p>
  </w:footnote>
  <w:footnote w:id="50">
    <w:p w14:paraId="56E8F024" w14:textId="77777777" w:rsidR="00D767FF" w:rsidRPr="005415F3" w:rsidRDefault="00D767FF" w:rsidP="006915E0">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Regulamentul privind cheltuielile de reprezentanță, aprobat prin HCE nr.238 din 08.09.2016 (cu modificările ulterioare).</w:t>
      </w:r>
    </w:p>
  </w:footnote>
  <w:footnote w:id="51">
    <w:p w14:paraId="41518911" w14:textId="707C760B" w:rsidR="00D767FF" w:rsidRPr="006915E0" w:rsidRDefault="00D767FF" w:rsidP="006915E0">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HG nr.101 din 30.01.2018 ,,</w:t>
      </w:r>
      <w:r>
        <w:rPr>
          <w:rFonts w:ascii="Times New Roman" w:hAnsi="Times New Roman" w:cs="Times New Roman"/>
          <w:sz w:val="16"/>
          <w:szCs w:val="16"/>
        </w:rPr>
        <w:t>P</w:t>
      </w:r>
      <w:r w:rsidRPr="005415F3">
        <w:rPr>
          <w:rFonts w:ascii="Times New Roman" w:hAnsi="Times New Roman" w:cs="Times New Roman"/>
          <w:sz w:val="16"/>
          <w:szCs w:val="16"/>
        </w:rPr>
        <w:t>entru aprobarea Regulamentului privind modul de utilizare a mijloacelor financiare pentru deservirea delegațiilor și persoanelor oficiale străine”.</w:t>
      </w:r>
    </w:p>
  </w:footnote>
  <w:footnote w:id="52">
    <w:p w14:paraId="700431E8" w14:textId="5715D5FC" w:rsidR="00D767FF" w:rsidRPr="00246C01" w:rsidRDefault="00D767FF" w:rsidP="00F864B0">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Le</w:t>
      </w:r>
      <w:r w:rsidRPr="00246C01">
        <w:rPr>
          <w:rFonts w:ascii="Times New Roman" w:hAnsi="Times New Roman" w:cs="Times New Roman"/>
          <w:sz w:val="16"/>
          <w:szCs w:val="16"/>
        </w:rPr>
        <w:t>gea nr.1585 din 27.02.1998 cu privire la asigurarea obligatorie de asistență medicală.</w:t>
      </w:r>
    </w:p>
  </w:footnote>
  <w:footnote w:id="53">
    <w:p w14:paraId="6BFB7E3A" w14:textId="0F4A7B66" w:rsidR="00D767FF" w:rsidRPr="005415F3" w:rsidRDefault="00D767FF" w:rsidP="00991A75">
      <w:pPr>
        <w:pStyle w:val="FootnoteText"/>
        <w:jc w:val="both"/>
        <w:rPr>
          <w:rFonts w:ascii="Times New Roman" w:hAnsi="Times New Roman" w:cs="Times New Roman"/>
          <w:sz w:val="16"/>
          <w:szCs w:val="16"/>
        </w:rPr>
      </w:pPr>
      <w:r w:rsidRPr="00246C01">
        <w:rPr>
          <w:rStyle w:val="FootnoteReference"/>
          <w:rFonts w:ascii="Times New Roman" w:hAnsi="Times New Roman" w:cs="Times New Roman"/>
          <w:sz w:val="16"/>
          <w:szCs w:val="16"/>
        </w:rPr>
        <w:footnoteRef/>
      </w:r>
      <w:r w:rsidRPr="00246C01">
        <w:rPr>
          <w:rFonts w:ascii="Times New Roman" w:hAnsi="Times New Roman" w:cs="Times New Roman"/>
          <w:sz w:val="16"/>
          <w:szCs w:val="16"/>
        </w:rPr>
        <w:t xml:space="preserve"> Contractul nr.AM200 24/16/2021 din 01.02.2021 de asigurare medicală benevolă.</w:t>
      </w:r>
    </w:p>
  </w:footnote>
  <w:footnote w:id="54">
    <w:p w14:paraId="2A26551B" w14:textId="77777777" w:rsidR="00D767FF" w:rsidRPr="005415F3" w:rsidRDefault="00D767FF" w:rsidP="00991A75">
      <w:pPr>
        <w:pStyle w:val="FootnoteText"/>
        <w:jc w:val="both"/>
        <w:rPr>
          <w:rFonts w:ascii="Times New Roman" w:hAnsi="Times New Roman" w:cs="Times New Roman"/>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Pct.32, lit. o) din Regulamentul intern al BNM, aprobat prin Hotărârea Comitetului executiv al BNM nr.62 din 16.03.2016.</w:t>
      </w:r>
    </w:p>
  </w:footnote>
  <w:footnote w:id="55">
    <w:p w14:paraId="1B9BC527" w14:textId="6BF50DD2" w:rsidR="00D767FF" w:rsidRPr="00017878" w:rsidRDefault="00D767FF" w:rsidP="00F864B0">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Art.17 din Legea nr.1585 din 27.02.1998 cu privire la asigurarea obligatorie de asistență medicală, modificat prin Legea nr.60 din 23.04.2020.</w:t>
      </w:r>
    </w:p>
  </w:footnote>
  <w:footnote w:id="56">
    <w:p w14:paraId="41E72290" w14:textId="77777777" w:rsidR="00D767FF" w:rsidRPr="005415F3" w:rsidRDefault="00D767FF">
      <w:pPr>
        <w:pStyle w:val="FootnoteText"/>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w:t>
      </w:r>
      <w:hyperlink r:id="rId1" w:history="1">
        <w:r w:rsidRPr="005415F3">
          <w:rPr>
            <w:rStyle w:val="Hyperlink"/>
            <w:rFonts w:ascii="Times New Roman" w:hAnsi="Times New Roman" w:cs="Times New Roman"/>
            <w:sz w:val="16"/>
            <w:szCs w:val="16"/>
          </w:rPr>
          <w:t>https://bnm.md/files/Situatii%20financiare%20_semnat_RAI.pdf</w:t>
        </w:r>
      </w:hyperlink>
      <w:r w:rsidRPr="005415F3">
        <w:rPr>
          <w:rFonts w:ascii="Times New Roman" w:hAnsi="Times New Roman" w:cs="Times New Roman"/>
          <w:sz w:val="16"/>
          <w:szCs w:val="16"/>
        </w:rPr>
        <w:t xml:space="preserve"> (pag.31)</w:t>
      </w:r>
    </w:p>
  </w:footnote>
  <w:footnote w:id="57">
    <w:p w14:paraId="5B25CD65" w14:textId="332020B5" w:rsidR="00D767FF" w:rsidRPr="005415F3" w:rsidRDefault="00D767FF" w:rsidP="00017878">
      <w:pPr>
        <w:pStyle w:val="FootnoteText"/>
        <w:jc w:val="both"/>
        <w:rPr>
          <w:rFonts w:ascii="Times New Roman" w:hAnsi="Times New Roman" w:cs="Times New Roman"/>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HG nr.351 din 23.03.2005 ,,</w:t>
      </w:r>
      <w:r>
        <w:rPr>
          <w:rFonts w:ascii="Times New Roman" w:hAnsi="Times New Roman" w:cs="Times New Roman"/>
          <w:sz w:val="16"/>
          <w:szCs w:val="16"/>
        </w:rPr>
        <w:t>C</w:t>
      </w:r>
      <w:r w:rsidRPr="005415F3">
        <w:rPr>
          <w:rFonts w:ascii="Times New Roman" w:hAnsi="Times New Roman" w:cs="Times New Roman"/>
          <w:sz w:val="16"/>
          <w:szCs w:val="16"/>
        </w:rPr>
        <w:t>u privire la aprobarea listelor bunurilor imobile proprietate publică a statului și la transmiterea unor bunuri imobile”.</w:t>
      </w:r>
    </w:p>
  </w:footnote>
  <w:footnote w:id="58">
    <w:p w14:paraId="544588C9" w14:textId="72939D7D" w:rsidR="00D767FF" w:rsidRPr="00AC79CF" w:rsidRDefault="00D767FF" w:rsidP="0025463B">
      <w:pPr>
        <w:pStyle w:val="FootnoteText"/>
        <w:jc w:val="both"/>
        <w:rPr>
          <w:rFonts w:asciiTheme="majorHAnsi" w:hAnsiTheme="majorHAnsi" w:cstheme="majorHAnsi"/>
          <w:sz w:val="16"/>
          <w:szCs w:val="16"/>
        </w:rPr>
      </w:pPr>
      <w:r w:rsidRPr="0025463B">
        <w:rPr>
          <w:rStyle w:val="FootnoteReference"/>
          <w:rFonts w:ascii="Times New Roman" w:hAnsi="Times New Roman" w:cs="Times New Roman"/>
          <w:sz w:val="16"/>
          <w:szCs w:val="16"/>
        </w:rPr>
        <w:footnoteRef/>
      </w:r>
      <w:r w:rsidRPr="0025463B">
        <w:rPr>
          <w:rFonts w:ascii="Times New Roman" w:hAnsi="Times New Roman" w:cs="Times New Roman"/>
          <w:sz w:val="16"/>
          <w:szCs w:val="16"/>
        </w:rPr>
        <w:t xml:space="preserve"> Hotărârea Curții de Conturi nr.22 din 06.07.2015 ,,Privind Raportul auditului conformității executării devizului de cheltuieli la BNM pe anii 2013-2014”.</w:t>
      </w:r>
    </w:p>
  </w:footnote>
  <w:footnote w:id="59">
    <w:p w14:paraId="0A9D72D8" w14:textId="240DA72B" w:rsidR="00D767FF" w:rsidRPr="005415F3" w:rsidRDefault="00D767FF" w:rsidP="001B6BC1">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Lucrările au fost executate conform </w:t>
      </w:r>
      <w:r>
        <w:rPr>
          <w:rFonts w:ascii="Times New Roman" w:hAnsi="Times New Roman" w:cs="Times New Roman"/>
          <w:sz w:val="16"/>
          <w:szCs w:val="16"/>
        </w:rPr>
        <w:t>C</w:t>
      </w:r>
      <w:r w:rsidRPr="005415F3">
        <w:rPr>
          <w:rFonts w:ascii="Times New Roman" w:hAnsi="Times New Roman" w:cs="Times New Roman"/>
          <w:sz w:val="16"/>
          <w:szCs w:val="16"/>
        </w:rPr>
        <w:t>ontractului nr.24/145/2021-LD din 01.11.</w:t>
      </w:r>
      <w:r>
        <w:rPr>
          <w:rFonts w:ascii="Times New Roman" w:hAnsi="Times New Roman" w:cs="Times New Roman"/>
          <w:sz w:val="16"/>
          <w:szCs w:val="16"/>
        </w:rPr>
        <w:t>2021.</w:t>
      </w:r>
    </w:p>
  </w:footnote>
  <w:footnote w:id="60">
    <w:p w14:paraId="554B8A8E" w14:textId="77777777" w:rsidR="00D767FF" w:rsidRPr="00990FF4" w:rsidRDefault="00D767FF" w:rsidP="001B6BC1">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Pct.8 ,,operațiuni privind achiziționarea și utilizarea produselor alimentare în Cantina BNM” din Instrucțiunea privind organizarea și efectuarea operațiunilor contabile și documentelor aferente acestora în BNM, nr.11-01104/375 din 31.12.2014.</w:t>
      </w:r>
    </w:p>
  </w:footnote>
  <w:footnote w:id="61">
    <w:p w14:paraId="4E0F4B5E" w14:textId="3AD2DFAF" w:rsidR="00D767FF" w:rsidRPr="00A04A80" w:rsidRDefault="00D767FF" w:rsidP="007F1F02">
      <w:pPr>
        <w:pStyle w:val="FootnoteText"/>
        <w:rPr>
          <w:rFonts w:ascii="Times New Roman" w:hAnsi="Times New Roman" w:cs="Times New Roman"/>
          <w:sz w:val="16"/>
          <w:szCs w:val="16"/>
        </w:rPr>
      </w:pPr>
      <w:r w:rsidRPr="00A04A80">
        <w:rPr>
          <w:rStyle w:val="FootnoteReference"/>
          <w:rFonts w:ascii="Times New Roman" w:hAnsi="Times New Roman" w:cs="Times New Roman"/>
          <w:sz w:val="16"/>
          <w:szCs w:val="16"/>
        </w:rPr>
        <w:footnoteRef/>
      </w:r>
      <w:r w:rsidRPr="00A04A80">
        <w:rPr>
          <w:rFonts w:ascii="Times New Roman" w:hAnsi="Times New Roman" w:cs="Times New Roman"/>
          <w:sz w:val="16"/>
          <w:szCs w:val="16"/>
        </w:rPr>
        <w:t xml:space="preserve"> HG nr.1209 din 08.11.2007 ,,</w:t>
      </w:r>
      <w:r>
        <w:rPr>
          <w:rFonts w:ascii="Times New Roman" w:hAnsi="Times New Roman" w:cs="Times New Roman"/>
          <w:sz w:val="16"/>
          <w:szCs w:val="16"/>
        </w:rPr>
        <w:t>C</w:t>
      </w:r>
      <w:r w:rsidRPr="00A04A80">
        <w:rPr>
          <w:rFonts w:ascii="Times New Roman" w:hAnsi="Times New Roman" w:cs="Times New Roman"/>
          <w:sz w:val="16"/>
          <w:szCs w:val="16"/>
        </w:rPr>
        <w:t>u privire la prestarea serviciilor de alimentație publică” (abrogată din 24.11.2023)</w:t>
      </w:r>
      <w:r>
        <w:rPr>
          <w:rFonts w:ascii="Times New Roman" w:hAnsi="Times New Roman" w:cs="Times New Roman"/>
          <w:sz w:val="16"/>
          <w:szCs w:val="16"/>
        </w:rPr>
        <w:t>.</w:t>
      </w:r>
    </w:p>
  </w:footnote>
  <w:footnote w:id="62">
    <w:p w14:paraId="3BCB3090" w14:textId="77777777" w:rsidR="00D767FF" w:rsidRPr="005415F3" w:rsidRDefault="00D767FF" w:rsidP="00943F76">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Legea nr.131 din 03.07.2015 privind achizițiile publice.</w:t>
      </w:r>
    </w:p>
  </w:footnote>
  <w:footnote w:id="63">
    <w:p w14:paraId="7D12CEDD" w14:textId="46DC05DB" w:rsidR="00D767FF" w:rsidRPr="005415F3" w:rsidRDefault="00D767FF" w:rsidP="00943F76">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Hotărârea Comitetului executiv al BNM nr.218 din 16.08.2019 </w:t>
      </w:r>
      <w:r>
        <w:rPr>
          <w:rFonts w:ascii="Times New Roman" w:hAnsi="Times New Roman" w:cs="Times New Roman"/>
          <w:sz w:val="16"/>
          <w:szCs w:val="16"/>
        </w:rPr>
        <w:t>„</w:t>
      </w:r>
      <w:r w:rsidRPr="005415F3">
        <w:rPr>
          <w:rFonts w:ascii="Times New Roman" w:hAnsi="Times New Roman" w:cs="Times New Roman"/>
          <w:sz w:val="16"/>
          <w:szCs w:val="16"/>
        </w:rPr>
        <w:t>Instrucțiune privind modul de planificare, organizare și desfășurare a achizițiilor în Banca Națională a Moldovei”.</w:t>
      </w:r>
    </w:p>
  </w:footnote>
  <w:footnote w:id="64">
    <w:p w14:paraId="5596EA39" w14:textId="0D7AFE44" w:rsidR="00D767FF" w:rsidRPr="005415F3" w:rsidRDefault="00D767FF" w:rsidP="00943F76">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Ordinul BNM nr.335 din 18.11.2019 </w:t>
      </w:r>
      <w:r>
        <w:rPr>
          <w:rFonts w:ascii="Times New Roman" w:hAnsi="Times New Roman" w:cs="Times New Roman"/>
          <w:sz w:val="16"/>
          <w:szCs w:val="16"/>
        </w:rPr>
        <w:t>„P</w:t>
      </w:r>
      <w:r w:rsidRPr="005415F3">
        <w:rPr>
          <w:rFonts w:ascii="Times New Roman" w:hAnsi="Times New Roman" w:cs="Times New Roman"/>
          <w:sz w:val="16"/>
          <w:szCs w:val="16"/>
        </w:rPr>
        <w:t>rivind crearea grupurilor de lucru pentru achiziții” (cu modificările ulterioare).</w:t>
      </w:r>
    </w:p>
  </w:footnote>
  <w:footnote w:id="65">
    <w:p w14:paraId="19A462F4" w14:textId="406D6BB1" w:rsidR="00D767FF" w:rsidRPr="005415F3" w:rsidRDefault="00D767FF" w:rsidP="008B47B5">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Pct.13 din HG nr.1419 din 28.12.2016 </w:t>
      </w:r>
      <w:r>
        <w:rPr>
          <w:rFonts w:ascii="Times New Roman" w:hAnsi="Times New Roman" w:cs="Times New Roman"/>
          <w:sz w:val="16"/>
          <w:szCs w:val="16"/>
        </w:rPr>
        <w:t>„P</w:t>
      </w:r>
      <w:r w:rsidRPr="005415F3">
        <w:rPr>
          <w:rFonts w:ascii="Times New Roman" w:hAnsi="Times New Roman" w:cs="Times New Roman"/>
          <w:sz w:val="16"/>
          <w:szCs w:val="16"/>
        </w:rPr>
        <w:t>entru aprobarea Regulamentului cu privire la modul de planificare a contractelor de achiziții publice</w:t>
      </w:r>
      <w:r>
        <w:rPr>
          <w:rFonts w:ascii="Times New Roman" w:hAnsi="Times New Roman" w:cs="Times New Roman"/>
          <w:sz w:val="16"/>
          <w:szCs w:val="16"/>
        </w:rPr>
        <w:t>”</w:t>
      </w:r>
      <w:r w:rsidRPr="005415F3">
        <w:rPr>
          <w:rFonts w:ascii="Times New Roman" w:hAnsi="Times New Roman" w:cs="Times New Roman"/>
          <w:sz w:val="16"/>
          <w:szCs w:val="16"/>
        </w:rPr>
        <w:t>.</w:t>
      </w:r>
    </w:p>
  </w:footnote>
  <w:footnote w:id="66">
    <w:p w14:paraId="5274E0BD" w14:textId="77777777" w:rsidR="00D767FF" w:rsidRPr="005415F3" w:rsidRDefault="00D767FF" w:rsidP="001C1F8A">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Art.4 din Legea nr.131 din 03.07.2015; HG nr.1419 din 28.12.2016 „Pentru aprobarea Regulamentului cu privire la modul de planificare a contractelor de achiziții publice”.</w:t>
      </w:r>
    </w:p>
  </w:footnote>
  <w:footnote w:id="67">
    <w:p w14:paraId="68DE920B" w14:textId="042072E6" w:rsidR="00D767FF" w:rsidRPr="005415F3" w:rsidRDefault="00D767FF" w:rsidP="001C1F8A">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Pct.13 din HG nr.1419 din 28.12.2016 </w:t>
      </w:r>
      <w:r>
        <w:rPr>
          <w:rFonts w:ascii="Times New Roman" w:hAnsi="Times New Roman" w:cs="Times New Roman"/>
          <w:sz w:val="16"/>
          <w:szCs w:val="16"/>
        </w:rPr>
        <w:t>„P</w:t>
      </w:r>
      <w:r w:rsidRPr="005415F3">
        <w:rPr>
          <w:rFonts w:ascii="Times New Roman" w:hAnsi="Times New Roman" w:cs="Times New Roman"/>
          <w:sz w:val="16"/>
          <w:szCs w:val="16"/>
        </w:rPr>
        <w:t>entru aprobarea Regulamentului cu privire la modul de planificare a contractelor de achiziții publice</w:t>
      </w:r>
      <w:r>
        <w:rPr>
          <w:rFonts w:ascii="Times New Roman" w:hAnsi="Times New Roman" w:cs="Times New Roman"/>
          <w:sz w:val="16"/>
          <w:szCs w:val="16"/>
        </w:rPr>
        <w:t>”</w:t>
      </w:r>
      <w:r w:rsidRPr="005415F3">
        <w:rPr>
          <w:rFonts w:ascii="Times New Roman" w:hAnsi="Times New Roman" w:cs="Times New Roman"/>
          <w:sz w:val="16"/>
          <w:szCs w:val="16"/>
        </w:rPr>
        <w:t>.</w:t>
      </w:r>
    </w:p>
  </w:footnote>
  <w:footnote w:id="68">
    <w:p w14:paraId="3D95929A" w14:textId="6BE4A058" w:rsidR="00D767FF" w:rsidRPr="00BB6B6A" w:rsidRDefault="00D767FF" w:rsidP="00991A75">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Pct.18 din HG nr.1419 din 28.12.2016 </w:t>
      </w:r>
      <w:r>
        <w:rPr>
          <w:rFonts w:ascii="Times New Roman" w:hAnsi="Times New Roman" w:cs="Times New Roman"/>
          <w:sz w:val="16"/>
          <w:szCs w:val="16"/>
        </w:rPr>
        <w:t>„P</w:t>
      </w:r>
      <w:r w:rsidRPr="005415F3">
        <w:rPr>
          <w:rFonts w:ascii="Times New Roman" w:hAnsi="Times New Roman" w:cs="Times New Roman"/>
          <w:sz w:val="16"/>
          <w:szCs w:val="16"/>
        </w:rPr>
        <w:t>entru aprobarea Regulamentului cu privire la modul de planificare a contractelor de achiziții publice</w:t>
      </w:r>
      <w:r>
        <w:rPr>
          <w:rFonts w:ascii="Times New Roman" w:hAnsi="Times New Roman" w:cs="Times New Roman"/>
          <w:sz w:val="16"/>
          <w:szCs w:val="16"/>
        </w:rPr>
        <w:t>”</w:t>
      </w:r>
      <w:r w:rsidRPr="005415F3">
        <w:rPr>
          <w:rFonts w:ascii="Times New Roman" w:hAnsi="Times New Roman" w:cs="Times New Roman"/>
          <w:sz w:val="16"/>
          <w:szCs w:val="16"/>
        </w:rPr>
        <w:t>.</w:t>
      </w:r>
    </w:p>
  </w:footnote>
  <w:footnote w:id="69">
    <w:p w14:paraId="2E25F949" w14:textId="77777777" w:rsidR="00D767FF" w:rsidRPr="002132A1" w:rsidRDefault="00D767FF" w:rsidP="00991A75">
      <w:pPr>
        <w:pStyle w:val="FootnoteText"/>
        <w:jc w:val="both"/>
        <w:rPr>
          <w:rFonts w:ascii="Times New Roman" w:hAnsi="Times New Roman" w:cs="Times New Roman"/>
          <w:sz w:val="16"/>
          <w:szCs w:val="16"/>
        </w:rPr>
      </w:pPr>
      <w:r w:rsidRPr="002132A1">
        <w:rPr>
          <w:rStyle w:val="FootnoteReference"/>
          <w:rFonts w:ascii="Times New Roman" w:hAnsi="Times New Roman" w:cs="Times New Roman"/>
          <w:sz w:val="16"/>
          <w:szCs w:val="16"/>
        </w:rPr>
        <w:footnoteRef/>
      </w:r>
      <w:r w:rsidRPr="002132A1">
        <w:rPr>
          <w:rFonts w:ascii="Times New Roman" w:hAnsi="Times New Roman" w:cs="Times New Roman"/>
          <w:sz w:val="16"/>
          <w:szCs w:val="16"/>
        </w:rPr>
        <w:t xml:space="preserve"> Darea de seamă de anulare a procedurii de atribuire nr.1 din 21.09.2021.</w:t>
      </w:r>
    </w:p>
  </w:footnote>
  <w:footnote w:id="70">
    <w:p w14:paraId="01D9291C" w14:textId="10AAF598" w:rsidR="00D767FF" w:rsidRPr="002132A1" w:rsidRDefault="00D767FF" w:rsidP="00991A75">
      <w:pPr>
        <w:pStyle w:val="FootnoteText"/>
        <w:jc w:val="both"/>
        <w:rPr>
          <w:rFonts w:ascii="Times New Roman" w:hAnsi="Times New Roman" w:cs="Times New Roman"/>
          <w:sz w:val="16"/>
          <w:szCs w:val="16"/>
        </w:rPr>
      </w:pPr>
      <w:r w:rsidRPr="002132A1">
        <w:rPr>
          <w:rStyle w:val="FootnoteReference"/>
          <w:rFonts w:ascii="Times New Roman" w:hAnsi="Times New Roman" w:cs="Times New Roman"/>
          <w:sz w:val="16"/>
          <w:szCs w:val="16"/>
        </w:rPr>
        <w:footnoteRef/>
      </w:r>
      <w:r w:rsidRPr="002132A1">
        <w:rPr>
          <w:rFonts w:ascii="Times New Roman" w:hAnsi="Times New Roman" w:cs="Times New Roman"/>
          <w:sz w:val="16"/>
          <w:szCs w:val="16"/>
        </w:rPr>
        <w:t xml:space="preserve"> Procesul-verbal al grupului de lucru pentru achiziții din 28.07.2021.</w:t>
      </w:r>
    </w:p>
  </w:footnote>
  <w:footnote w:id="71">
    <w:p w14:paraId="030AC482" w14:textId="77777777" w:rsidR="00D767FF" w:rsidRPr="002132A1" w:rsidRDefault="00D767FF" w:rsidP="00991A75">
      <w:pPr>
        <w:pStyle w:val="FootnoteText"/>
        <w:jc w:val="both"/>
        <w:rPr>
          <w:rFonts w:ascii="Times New Roman" w:hAnsi="Times New Roman" w:cs="Times New Roman"/>
          <w:sz w:val="16"/>
          <w:szCs w:val="16"/>
        </w:rPr>
      </w:pPr>
      <w:r w:rsidRPr="002132A1">
        <w:rPr>
          <w:rStyle w:val="FootnoteReference"/>
          <w:rFonts w:ascii="Times New Roman" w:hAnsi="Times New Roman" w:cs="Times New Roman"/>
          <w:sz w:val="16"/>
          <w:szCs w:val="16"/>
        </w:rPr>
        <w:footnoteRef/>
      </w:r>
      <w:r w:rsidRPr="002132A1">
        <w:rPr>
          <w:rFonts w:ascii="Times New Roman" w:hAnsi="Times New Roman" w:cs="Times New Roman"/>
          <w:sz w:val="16"/>
          <w:szCs w:val="16"/>
        </w:rPr>
        <w:t xml:space="preserve"> A fost aplicată penalitate în mărime de 5,43 mii lei pentru executarea cu întârziere a lucrărilor.</w:t>
      </w:r>
    </w:p>
  </w:footnote>
  <w:footnote w:id="72">
    <w:p w14:paraId="4F215E95" w14:textId="45F7D10A" w:rsidR="00D767FF" w:rsidRPr="008B7910" w:rsidRDefault="00D767FF" w:rsidP="00BE6EA2">
      <w:pPr>
        <w:pStyle w:val="FootnoteText"/>
        <w:jc w:val="both"/>
        <w:rPr>
          <w:rFonts w:ascii="Times New Roman" w:hAnsi="Times New Roman" w:cs="Times New Roman"/>
          <w:sz w:val="16"/>
          <w:szCs w:val="16"/>
        </w:rPr>
      </w:pPr>
      <w:r w:rsidRPr="002132A1">
        <w:rPr>
          <w:rStyle w:val="FootnoteReference"/>
          <w:rFonts w:ascii="Times New Roman" w:hAnsi="Times New Roman" w:cs="Times New Roman"/>
          <w:sz w:val="16"/>
          <w:szCs w:val="16"/>
        </w:rPr>
        <w:footnoteRef/>
      </w:r>
      <w:r w:rsidRPr="002132A1">
        <w:rPr>
          <w:rFonts w:ascii="Times New Roman" w:hAnsi="Times New Roman" w:cs="Times New Roman"/>
          <w:sz w:val="16"/>
          <w:szCs w:val="16"/>
        </w:rPr>
        <w:t xml:space="preserve"> Scrisoarea nr.DA-05/218-1153 din 28.07.2023.</w:t>
      </w:r>
    </w:p>
  </w:footnote>
  <w:footnote w:id="73">
    <w:p w14:paraId="4E36632C" w14:textId="77777777" w:rsidR="00D767FF" w:rsidRPr="00BE6EA2" w:rsidRDefault="00D767FF" w:rsidP="00BE6EA2">
      <w:pPr>
        <w:pStyle w:val="FootnoteText"/>
        <w:jc w:val="both"/>
        <w:rPr>
          <w:rFonts w:asciiTheme="majorHAnsi" w:hAnsiTheme="majorHAnsi" w:cstheme="majorHAnsi"/>
          <w:sz w:val="16"/>
          <w:szCs w:val="16"/>
        </w:rPr>
      </w:pPr>
      <w:r w:rsidRPr="008B7910">
        <w:rPr>
          <w:rStyle w:val="FootnoteReference"/>
          <w:rFonts w:ascii="Times New Roman" w:hAnsi="Times New Roman" w:cs="Times New Roman"/>
          <w:sz w:val="16"/>
          <w:szCs w:val="16"/>
        </w:rPr>
        <w:footnoteRef/>
      </w:r>
      <w:r w:rsidRPr="008B7910">
        <w:rPr>
          <w:rFonts w:ascii="Times New Roman" w:hAnsi="Times New Roman" w:cs="Times New Roman"/>
          <w:sz w:val="16"/>
          <w:szCs w:val="16"/>
        </w:rPr>
        <w:t xml:space="preserve"> Decizia Agenției Achiziții Publice nr.11 din 02.10.2023.</w:t>
      </w:r>
    </w:p>
  </w:footnote>
  <w:footnote w:id="74">
    <w:p w14:paraId="17877A82" w14:textId="77777777" w:rsidR="00D767FF" w:rsidRPr="008B7910" w:rsidRDefault="00D767FF" w:rsidP="005908CC">
      <w:pPr>
        <w:pStyle w:val="FootnoteText"/>
        <w:jc w:val="both"/>
        <w:rPr>
          <w:rFonts w:ascii="Times New Roman" w:hAnsi="Times New Roman" w:cs="Times New Roman"/>
          <w:sz w:val="16"/>
          <w:szCs w:val="16"/>
        </w:rPr>
      </w:pPr>
      <w:r w:rsidRPr="008B7910">
        <w:rPr>
          <w:rStyle w:val="FootnoteReference"/>
          <w:rFonts w:ascii="Times New Roman" w:hAnsi="Times New Roman" w:cs="Times New Roman"/>
          <w:sz w:val="16"/>
          <w:szCs w:val="16"/>
        </w:rPr>
        <w:footnoteRef/>
      </w:r>
      <w:r w:rsidRPr="008B7910">
        <w:rPr>
          <w:rFonts w:ascii="Times New Roman" w:hAnsi="Times New Roman" w:cs="Times New Roman"/>
          <w:sz w:val="16"/>
          <w:szCs w:val="16"/>
        </w:rPr>
        <w:t xml:space="preserve"> Legea privind controlul financiar public intern nr.229 din 23.09.2010.</w:t>
      </w:r>
    </w:p>
  </w:footnote>
  <w:footnote w:id="75">
    <w:p w14:paraId="437399CE" w14:textId="3CE8320D" w:rsidR="00D767FF" w:rsidRPr="00887EDB" w:rsidRDefault="00D767FF" w:rsidP="005908CC">
      <w:pPr>
        <w:pStyle w:val="FootnoteText"/>
        <w:jc w:val="both"/>
        <w:rPr>
          <w:rFonts w:asciiTheme="majorHAnsi" w:hAnsiTheme="majorHAnsi" w:cstheme="majorHAnsi"/>
          <w:sz w:val="16"/>
          <w:szCs w:val="16"/>
        </w:rPr>
      </w:pPr>
      <w:r w:rsidRPr="008B7910">
        <w:rPr>
          <w:rStyle w:val="FootnoteReference"/>
          <w:rFonts w:ascii="Times New Roman" w:hAnsi="Times New Roman" w:cs="Times New Roman"/>
          <w:sz w:val="16"/>
          <w:szCs w:val="16"/>
        </w:rPr>
        <w:footnoteRef/>
      </w:r>
      <w:r w:rsidRPr="008B7910">
        <w:rPr>
          <w:rFonts w:ascii="Times New Roman" w:hAnsi="Times New Roman" w:cs="Times New Roman"/>
          <w:sz w:val="16"/>
          <w:szCs w:val="16"/>
        </w:rPr>
        <w:t xml:space="preserve"> Hotărârea Consiliului de administrație al BNM nr.72 din 08.04.2010 ,,</w:t>
      </w:r>
      <w:r>
        <w:rPr>
          <w:rFonts w:ascii="Times New Roman" w:hAnsi="Times New Roman" w:cs="Times New Roman"/>
          <w:sz w:val="16"/>
          <w:szCs w:val="16"/>
        </w:rPr>
        <w:t>P</w:t>
      </w:r>
      <w:r w:rsidRPr="008B7910">
        <w:rPr>
          <w:rFonts w:ascii="Times New Roman" w:hAnsi="Times New Roman" w:cs="Times New Roman"/>
          <w:sz w:val="16"/>
          <w:szCs w:val="16"/>
        </w:rPr>
        <w:t>rivind aprobarea Regulamentului privind Sistemul de Control Intern în cadrul BNM”</w:t>
      </w:r>
      <w:r>
        <w:rPr>
          <w:rFonts w:ascii="Times New Roman" w:hAnsi="Times New Roman" w:cs="Times New Roman"/>
          <w:sz w:val="16"/>
          <w:szCs w:val="16"/>
        </w:rPr>
        <w:t>.</w:t>
      </w:r>
    </w:p>
  </w:footnote>
  <w:footnote w:id="76">
    <w:p w14:paraId="44E03FBD" w14:textId="70292618" w:rsidR="00D767FF" w:rsidRPr="00A555C2" w:rsidRDefault="00D767FF" w:rsidP="00991A75">
      <w:pPr>
        <w:pStyle w:val="FootnoteText"/>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International </w:t>
      </w:r>
      <w:proofErr w:type="spellStart"/>
      <w:r w:rsidRPr="00A555C2">
        <w:rPr>
          <w:rFonts w:ascii="Times New Roman" w:hAnsi="Times New Roman" w:cs="Times New Roman"/>
          <w:sz w:val="16"/>
          <w:szCs w:val="16"/>
        </w:rPr>
        <w:t>Operational</w:t>
      </w:r>
      <w:proofErr w:type="spellEnd"/>
      <w:r w:rsidRPr="00A555C2">
        <w:rPr>
          <w:rFonts w:ascii="Times New Roman" w:hAnsi="Times New Roman" w:cs="Times New Roman"/>
          <w:sz w:val="16"/>
          <w:szCs w:val="16"/>
        </w:rPr>
        <w:t xml:space="preserve"> </w:t>
      </w:r>
      <w:proofErr w:type="spellStart"/>
      <w:r w:rsidRPr="00A555C2">
        <w:rPr>
          <w:rFonts w:ascii="Times New Roman" w:hAnsi="Times New Roman" w:cs="Times New Roman"/>
          <w:sz w:val="16"/>
          <w:szCs w:val="16"/>
        </w:rPr>
        <w:t>Risk</w:t>
      </w:r>
      <w:proofErr w:type="spellEnd"/>
      <w:r w:rsidRPr="00A555C2">
        <w:rPr>
          <w:rFonts w:ascii="Times New Roman" w:hAnsi="Times New Roman" w:cs="Times New Roman"/>
          <w:sz w:val="16"/>
          <w:szCs w:val="16"/>
        </w:rPr>
        <w:t xml:space="preserve"> </w:t>
      </w:r>
      <w:proofErr w:type="spellStart"/>
      <w:r w:rsidRPr="00A555C2">
        <w:rPr>
          <w:rFonts w:ascii="Times New Roman" w:hAnsi="Times New Roman" w:cs="Times New Roman"/>
          <w:sz w:val="16"/>
          <w:szCs w:val="16"/>
        </w:rPr>
        <w:t>Working</w:t>
      </w:r>
      <w:proofErr w:type="spellEnd"/>
      <w:r w:rsidRPr="00A555C2">
        <w:rPr>
          <w:rFonts w:ascii="Times New Roman" w:hAnsi="Times New Roman" w:cs="Times New Roman"/>
          <w:sz w:val="16"/>
          <w:szCs w:val="16"/>
        </w:rPr>
        <w:t xml:space="preserve"> Group, circa 120 </w:t>
      </w:r>
      <w:r>
        <w:rPr>
          <w:rFonts w:ascii="Times New Roman" w:hAnsi="Times New Roman" w:cs="Times New Roman"/>
          <w:sz w:val="16"/>
          <w:szCs w:val="16"/>
        </w:rPr>
        <w:t xml:space="preserve">de </w:t>
      </w:r>
      <w:r w:rsidRPr="00A555C2">
        <w:rPr>
          <w:rFonts w:ascii="Times New Roman" w:hAnsi="Times New Roman" w:cs="Times New Roman"/>
          <w:sz w:val="16"/>
          <w:szCs w:val="16"/>
        </w:rPr>
        <w:t>bănci centrale.</w:t>
      </w:r>
    </w:p>
  </w:footnote>
  <w:footnote w:id="77">
    <w:p w14:paraId="69FA0F92" w14:textId="2DB0933F" w:rsidR="00D767FF" w:rsidRPr="00A555C2" w:rsidRDefault="00D767FF" w:rsidP="00991A75">
      <w:pPr>
        <w:pStyle w:val="FootnoteText"/>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Art.28, alin.(3) din Legea nr.548 din 21.07.1995.</w:t>
      </w:r>
    </w:p>
  </w:footnote>
  <w:footnote w:id="78">
    <w:p w14:paraId="3934530B" w14:textId="77777777" w:rsidR="00D767FF" w:rsidRPr="000C0DDA" w:rsidRDefault="00D767FF" w:rsidP="00F847BB">
      <w:pPr>
        <w:pStyle w:val="FootnoteText"/>
        <w:jc w:val="both"/>
        <w:rPr>
          <w:rFonts w:asciiTheme="majorHAnsi" w:hAnsiTheme="majorHAnsi" w:cstheme="majorHAnsi"/>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Nivelul operațional ce posedă și gestionează riscurile; nivelul ce oferă suport metodologic, organizează, coordonează, supraveghează procesul și raportează gestiunea riscurilor; nivelul ce oferă asigurare obiectivă și independentă.</w:t>
      </w:r>
    </w:p>
  </w:footnote>
  <w:footnote w:id="79">
    <w:p w14:paraId="2762A244" w14:textId="77777777" w:rsidR="00D767FF" w:rsidRPr="00A555C2" w:rsidRDefault="00D767FF" w:rsidP="00F847BB">
      <w:pPr>
        <w:pStyle w:val="1"/>
        <w:rPr>
          <w:rFonts w:ascii="Times New Roman" w:hAnsi="Times New Roman" w:cs="Times New Roman"/>
        </w:rPr>
      </w:pPr>
      <w:r w:rsidRPr="00A555C2">
        <w:rPr>
          <w:rStyle w:val="FootnoteReference"/>
          <w:rFonts w:ascii="Times New Roman" w:hAnsi="Times New Roman" w:cs="Times New Roman"/>
        </w:rPr>
        <w:footnoteRef/>
      </w:r>
      <w:r w:rsidRPr="00A555C2">
        <w:rPr>
          <w:rFonts w:ascii="Times New Roman" w:hAnsi="Times New Roman" w:cs="Times New Roman"/>
        </w:rPr>
        <w:t xml:space="preserve"> Pct.1.2 din Regulamentul cu privire la funcționarea Departamentului Audit Intern al BNM, aprobat prin HCS al BNM nr.32 din 12.12.2019.</w:t>
      </w:r>
    </w:p>
  </w:footnote>
  <w:footnote w:id="80">
    <w:p w14:paraId="0DF7D94E" w14:textId="6A0DA4D6" w:rsidR="00D767FF" w:rsidRPr="00A555C2" w:rsidRDefault="00D767FF" w:rsidP="000760E5">
      <w:pPr>
        <w:spacing w:after="0"/>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Art.33, alin.(3) din Legea nr.548 din 21.07.1995. </w:t>
      </w:r>
    </w:p>
  </w:footnote>
  <w:footnote w:id="81">
    <w:p w14:paraId="78584D90" w14:textId="77777777" w:rsidR="00D767FF" w:rsidRPr="00A555C2" w:rsidRDefault="00D767FF" w:rsidP="000760E5">
      <w:pPr>
        <w:pStyle w:val="FootnoteText"/>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Raport de audit nr.1 din 29.01.2020 ,,Deplasări ale salariaților în scop de formare profesională și de serviciu”.</w:t>
      </w:r>
    </w:p>
  </w:footnote>
  <w:footnote w:id="82">
    <w:p w14:paraId="6EA49169" w14:textId="2879947D" w:rsidR="00D767FF" w:rsidRPr="00A555C2" w:rsidRDefault="00D767FF" w:rsidP="00D330AE">
      <w:pPr>
        <w:pStyle w:val="FootnoteText"/>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Raport de audit nr.7 din 27.02.2020 ,,Realizarea achizițiilor. Elaborarea și aprobarea Planului de achiziții al BNM. Monitorizarea realizării achizițiilor și raportarea executării Planului de achiziții al BNM”; Raport de audit nr.1 din 20.01.2022 ,,Realizarea achizițiilor. Elaborarea și aprobarea Planului de achiziții al BNM. Monitorizarea realizării achizițiilor și raportarea executării Planului de achiziții al BNM”</w:t>
      </w:r>
      <w:r>
        <w:rPr>
          <w:rFonts w:ascii="Times New Roman" w:hAnsi="Times New Roman" w:cs="Times New Roman"/>
          <w:sz w:val="16"/>
          <w:szCs w:val="16"/>
        </w:rPr>
        <w:t>.</w:t>
      </w:r>
    </w:p>
  </w:footnote>
  <w:footnote w:id="83">
    <w:p w14:paraId="3A6B4BFA" w14:textId="1853215C" w:rsidR="00D767FF" w:rsidRPr="00A555C2" w:rsidRDefault="00D767FF">
      <w:pPr>
        <w:pStyle w:val="FootnoteText"/>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Raport de audit nr.9 din 09.03.2020 ,,</w:t>
      </w:r>
      <w:r>
        <w:rPr>
          <w:rFonts w:ascii="Times New Roman" w:hAnsi="Times New Roman" w:cs="Times New Roman"/>
          <w:sz w:val="16"/>
          <w:szCs w:val="16"/>
        </w:rPr>
        <w:t>Î</w:t>
      </w:r>
      <w:r w:rsidRPr="00A555C2">
        <w:rPr>
          <w:rFonts w:ascii="Times New Roman" w:hAnsi="Times New Roman" w:cs="Times New Roman"/>
          <w:sz w:val="16"/>
          <w:szCs w:val="16"/>
        </w:rPr>
        <w:t>ntocmirea situațiilor financiare, a rapoartelor statistice, a declarațiilor fiscale etc. și deschiderea și închiderea zilei operaționale”.</w:t>
      </w:r>
    </w:p>
  </w:footnote>
  <w:footnote w:id="84">
    <w:p w14:paraId="414E7FC6" w14:textId="48338A15" w:rsidR="00D767FF" w:rsidRPr="00A555C2" w:rsidRDefault="00D767FF">
      <w:pPr>
        <w:pStyle w:val="FootnoteText"/>
        <w:jc w:val="both"/>
        <w:rPr>
          <w:rFonts w:ascii="Times New Roman" w:hAnsi="Times New Roman" w:cs="Times New Roman"/>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Raport de audit nr.11 din 26.07.2021 ,,</w:t>
      </w:r>
      <w:r>
        <w:rPr>
          <w:rFonts w:ascii="Times New Roman" w:hAnsi="Times New Roman" w:cs="Times New Roman"/>
          <w:sz w:val="16"/>
          <w:szCs w:val="16"/>
        </w:rPr>
        <w:t>O</w:t>
      </w:r>
      <w:r w:rsidRPr="00A555C2">
        <w:rPr>
          <w:rFonts w:ascii="Times New Roman" w:hAnsi="Times New Roman" w:cs="Times New Roman"/>
          <w:sz w:val="16"/>
          <w:szCs w:val="16"/>
        </w:rPr>
        <w:t>rganizarea securității și sănătății în muncă a colaboratorilor BNM”</w:t>
      </w:r>
      <w:r>
        <w:rPr>
          <w:rFonts w:ascii="Times New Roman" w:hAnsi="Times New Roman" w:cs="Times New Roman"/>
          <w:sz w:val="16"/>
          <w:szCs w:val="16"/>
        </w:rPr>
        <w:t>.</w:t>
      </w:r>
    </w:p>
  </w:footnote>
  <w:footnote w:id="85">
    <w:p w14:paraId="7B88B37B" w14:textId="7C45224A" w:rsidR="00D767FF" w:rsidRPr="00A555C2" w:rsidRDefault="00D767FF" w:rsidP="00991A75">
      <w:pPr>
        <w:pStyle w:val="FootnoteText"/>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Raport de audit nr.17 din 30.09.2021 ,,</w:t>
      </w:r>
      <w:r>
        <w:rPr>
          <w:rFonts w:ascii="Times New Roman" w:hAnsi="Times New Roman" w:cs="Times New Roman"/>
          <w:sz w:val="16"/>
          <w:szCs w:val="16"/>
        </w:rPr>
        <w:t>S</w:t>
      </w:r>
      <w:r w:rsidRPr="00A555C2">
        <w:rPr>
          <w:rFonts w:ascii="Times New Roman" w:hAnsi="Times New Roman" w:cs="Times New Roman"/>
          <w:sz w:val="16"/>
          <w:szCs w:val="16"/>
        </w:rPr>
        <w:t xml:space="preserve">ervicii </w:t>
      </w:r>
      <w:proofErr w:type="spellStart"/>
      <w:r w:rsidRPr="00A555C2">
        <w:rPr>
          <w:rFonts w:ascii="Times New Roman" w:hAnsi="Times New Roman" w:cs="Times New Roman"/>
          <w:sz w:val="16"/>
          <w:szCs w:val="16"/>
        </w:rPr>
        <w:t>externalizate</w:t>
      </w:r>
      <w:proofErr w:type="spellEnd"/>
      <w:r w:rsidRPr="00A555C2">
        <w:rPr>
          <w:rFonts w:ascii="Times New Roman" w:hAnsi="Times New Roman" w:cs="Times New Roman"/>
          <w:sz w:val="16"/>
          <w:szCs w:val="16"/>
        </w:rPr>
        <w:t>: consultanță juridică, servicii de traducere, servicii de curățenie”</w:t>
      </w:r>
      <w:r>
        <w:rPr>
          <w:rFonts w:ascii="Times New Roman" w:hAnsi="Times New Roman" w:cs="Times New Roman"/>
          <w:sz w:val="16"/>
          <w:szCs w:val="16"/>
        </w:rPr>
        <w:t>.</w:t>
      </w:r>
    </w:p>
  </w:footnote>
  <w:footnote w:id="86">
    <w:p w14:paraId="465A6CBF" w14:textId="034168D9" w:rsidR="00D767FF" w:rsidRPr="00A555C2" w:rsidRDefault="00D767FF" w:rsidP="000760E5">
      <w:pPr>
        <w:pStyle w:val="FootnoteText"/>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Raport de audit nr.09 din 28.03.2022 ,,</w:t>
      </w:r>
      <w:r>
        <w:rPr>
          <w:rFonts w:ascii="Times New Roman" w:hAnsi="Times New Roman" w:cs="Times New Roman"/>
          <w:sz w:val="16"/>
          <w:szCs w:val="16"/>
        </w:rPr>
        <w:t>G</w:t>
      </w:r>
      <w:r w:rsidRPr="00A555C2">
        <w:rPr>
          <w:rFonts w:ascii="Times New Roman" w:hAnsi="Times New Roman" w:cs="Times New Roman"/>
          <w:sz w:val="16"/>
          <w:szCs w:val="16"/>
        </w:rPr>
        <w:t>estiunea deservirii utilajului”</w:t>
      </w:r>
      <w:r>
        <w:rPr>
          <w:rFonts w:ascii="Times New Roman" w:hAnsi="Times New Roman" w:cs="Times New Roman"/>
          <w:sz w:val="16"/>
          <w:szCs w:val="16"/>
        </w:rPr>
        <w:t>.</w:t>
      </w:r>
    </w:p>
  </w:footnote>
  <w:footnote w:id="87">
    <w:p w14:paraId="160AA6FE" w14:textId="7F5FF8F6" w:rsidR="00D767FF" w:rsidRPr="00A555C2" w:rsidRDefault="00D767FF" w:rsidP="00991A75">
      <w:pPr>
        <w:pStyle w:val="FootnoteText"/>
        <w:jc w:val="both"/>
        <w:rPr>
          <w:rFonts w:ascii="Times New Roman" w:hAnsi="Times New Roman" w:cs="Times New Roman"/>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Raport de audit nr.4 din 21.02.2020 ,,</w:t>
      </w:r>
      <w:r>
        <w:rPr>
          <w:rFonts w:ascii="Times New Roman" w:hAnsi="Times New Roman" w:cs="Times New Roman"/>
          <w:sz w:val="16"/>
          <w:szCs w:val="16"/>
        </w:rPr>
        <w:t>I</w:t>
      </w:r>
      <w:r w:rsidRPr="00A555C2">
        <w:rPr>
          <w:rFonts w:ascii="Times New Roman" w:hAnsi="Times New Roman" w:cs="Times New Roman"/>
          <w:sz w:val="16"/>
          <w:szCs w:val="16"/>
        </w:rPr>
        <w:t>mplementarea unui sistem integrat de management al resurselor umane”</w:t>
      </w:r>
      <w:r>
        <w:rPr>
          <w:rFonts w:ascii="Times New Roman" w:hAnsi="Times New Roman" w:cs="Times New Roman"/>
          <w:sz w:val="16"/>
          <w:szCs w:val="16"/>
        </w:rPr>
        <w:t>.</w:t>
      </w:r>
    </w:p>
  </w:footnote>
  <w:footnote w:id="88">
    <w:p w14:paraId="31B51C51" w14:textId="1FDEF50D" w:rsidR="00D767FF" w:rsidRPr="00D63BFE" w:rsidRDefault="00D767FF" w:rsidP="000760E5">
      <w:pPr>
        <w:pStyle w:val="FootnoteText"/>
        <w:jc w:val="both"/>
        <w:rPr>
          <w:rFonts w:asciiTheme="majorHAnsi" w:hAnsiTheme="majorHAnsi" w:cstheme="majorHAnsi"/>
          <w:sz w:val="16"/>
          <w:szCs w:val="16"/>
        </w:rPr>
      </w:pPr>
      <w:r w:rsidRPr="00A555C2">
        <w:rPr>
          <w:rStyle w:val="FootnoteReference"/>
          <w:rFonts w:ascii="Times New Roman" w:hAnsi="Times New Roman" w:cs="Times New Roman"/>
          <w:sz w:val="16"/>
          <w:szCs w:val="16"/>
        </w:rPr>
        <w:footnoteRef/>
      </w:r>
      <w:r w:rsidRPr="00A555C2">
        <w:rPr>
          <w:rFonts w:ascii="Times New Roman" w:hAnsi="Times New Roman" w:cs="Times New Roman"/>
          <w:sz w:val="16"/>
          <w:szCs w:val="16"/>
        </w:rPr>
        <w:t xml:space="preserve"> Raport de audit nr.5 din 03.03.2022 ,,</w:t>
      </w:r>
      <w:r>
        <w:rPr>
          <w:rFonts w:ascii="Times New Roman" w:hAnsi="Times New Roman" w:cs="Times New Roman"/>
          <w:sz w:val="16"/>
          <w:szCs w:val="16"/>
        </w:rPr>
        <w:t>E</w:t>
      </w:r>
      <w:r w:rsidRPr="00A555C2">
        <w:rPr>
          <w:rFonts w:ascii="Times New Roman" w:hAnsi="Times New Roman" w:cs="Times New Roman"/>
          <w:sz w:val="16"/>
          <w:szCs w:val="16"/>
        </w:rPr>
        <w:t>vidența timpului de muncă, salarizarea personalului, managementul performanței, demisia angajatului”</w:t>
      </w:r>
    </w:p>
  </w:footnote>
  <w:footnote w:id="89">
    <w:p w14:paraId="0C0C1231" w14:textId="77777777" w:rsidR="00D767FF" w:rsidRPr="00D330AE" w:rsidRDefault="00D767FF" w:rsidP="008A1327">
      <w:pPr>
        <w:pStyle w:val="FootnoteText"/>
        <w:jc w:val="both"/>
        <w:rPr>
          <w:rFonts w:ascii="Times New Roman" w:hAnsi="Times New Roman" w:cs="Times New Roman"/>
          <w:sz w:val="16"/>
          <w:szCs w:val="16"/>
        </w:rPr>
      </w:pPr>
      <w:r w:rsidRPr="00565AC4">
        <w:rPr>
          <w:rStyle w:val="FootnoteReference"/>
          <w:rFonts w:ascii="Times New Roman" w:hAnsi="Times New Roman" w:cs="Times New Roman"/>
          <w:sz w:val="16"/>
          <w:szCs w:val="16"/>
        </w:rPr>
        <w:footnoteRef/>
      </w:r>
      <w:r w:rsidRPr="00565AC4">
        <w:rPr>
          <w:rFonts w:ascii="Times New Roman" w:hAnsi="Times New Roman" w:cs="Times New Roman"/>
          <w:sz w:val="16"/>
          <w:szCs w:val="16"/>
        </w:rPr>
        <w:t xml:space="preserve"> Hotărârea Curții de Conturi </w:t>
      </w:r>
      <w:r w:rsidRPr="00565AC4">
        <w:rPr>
          <w:rFonts w:ascii="Times New Roman" w:hAnsi="Times New Roman" w:cs="Times New Roman"/>
          <w:bCs/>
          <w:iCs/>
          <w:sz w:val="16"/>
          <w:szCs w:val="16"/>
        </w:rPr>
        <w:t>nr.62 din 05.11.2019 „Cu privire la Raportul auditului privind conformitatea devizelor de cheltuieli și alocațiilor pentru investiții ale Băncii Naționale a Moldovei pe anii 2015-2018”.</w:t>
      </w:r>
    </w:p>
  </w:footnote>
  <w:footnote w:id="90">
    <w:p w14:paraId="46228F35" w14:textId="476BABB2" w:rsidR="00D767FF" w:rsidRPr="00565AC4" w:rsidRDefault="00D767FF" w:rsidP="001D5609">
      <w:pPr>
        <w:spacing w:after="0"/>
        <w:jc w:val="both"/>
        <w:rPr>
          <w:rFonts w:ascii="Times New Roman" w:hAnsi="Times New Roman" w:cs="Times New Roman"/>
          <w:sz w:val="16"/>
          <w:szCs w:val="16"/>
        </w:rPr>
      </w:pPr>
      <w:r w:rsidRPr="00565AC4">
        <w:rPr>
          <w:rStyle w:val="FootnoteReference"/>
          <w:rFonts w:ascii="Times New Roman" w:hAnsi="Times New Roman" w:cs="Times New Roman"/>
          <w:sz w:val="16"/>
          <w:szCs w:val="16"/>
        </w:rPr>
        <w:footnoteRef/>
      </w:r>
      <w:r w:rsidRPr="00565AC4">
        <w:rPr>
          <w:rFonts w:ascii="Times New Roman" w:hAnsi="Times New Roman" w:cs="Times New Roman"/>
          <w:sz w:val="16"/>
          <w:szCs w:val="16"/>
        </w:rPr>
        <w:t xml:space="preserve"> Art.32 alin.(7) din Legea nr.260 din 07.12.2017 și art.21 alin.(2) din Legea nr.548 din 21.07.1995.</w:t>
      </w:r>
    </w:p>
  </w:footnote>
  <w:footnote w:id="91">
    <w:p w14:paraId="1FAC7938" w14:textId="77777777" w:rsidR="00D767FF" w:rsidRPr="002F460B" w:rsidRDefault="00D767FF" w:rsidP="00AD3DD9">
      <w:pPr>
        <w:pStyle w:val="FootnoteText"/>
        <w:jc w:val="both"/>
        <w:rPr>
          <w:lang w:val="en-US"/>
        </w:rPr>
      </w:pPr>
      <w:r w:rsidRPr="00923BAB">
        <w:rPr>
          <w:rStyle w:val="FootnoteReference"/>
          <w:rFonts w:ascii="Times New Roman" w:hAnsi="Times New Roman"/>
          <w:sz w:val="16"/>
          <w:szCs w:val="16"/>
        </w:rPr>
        <w:footnoteRef/>
      </w:r>
      <w:r w:rsidRPr="00923BAB">
        <w:rPr>
          <w:rFonts w:ascii="Times New Roman" w:hAnsi="Times New Roman"/>
          <w:sz w:val="16"/>
          <w:szCs w:val="16"/>
          <w:lang w:val="en-US"/>
        </w:rPr>
        <w:t xml:space="preserve"> </w:t>
      </w:r>
      <w:r w:rsidRPr="00923BAB">
        <w:rPr>
          <w:rFonts w:ascii="Times New Roman" w:hAnsi="Times New Roman"/>
          <w:sz w:val="16"/>
          <w:szCs w:val="16"/>
        </w:rPr>
        <w:t>Regulamentul privind elaborarea și executarea Bugetului Băncii Naționale a Moldovei</w:t>
      </w:r>
      <w:r>
        <w:rPr>
          <w:rFonts w:ascii="Times New Roman" w:hAnsi="Times New Roman"/>
          <w:sz w:val="16"/>
          <w:szCs w:val="16"/>
        </w:rPr>
        <w:t>,</w:t>
      </w:r>
      <w:r w:rsidRPr="00923BAB">
        <w:rPr>
          <w:rFonts w:ascii="Times New Roman" w:hAnsi="Times New Roman"/>
          <w:sz w:val="16"/>
          <w:szCs w:val="16"/>
        </w:rPr>
        <w:t xml:space="preserve"> aprobat prin Hotărârea Comitetului executiv al Băncii Naționale a Moldovei nr.88 din 05.11.2015 (cu modificările ulterioare).</w:t>
      </w:r>
    </w:p>
  </w:footnote>
  <w:footnote w:id="92">
    <w:p w14:paraId="36B32566" w14:textId="77777777" w:rsidR="00D767FF" w:rsidRPr="003B0C7B" w:rsidRDefault="00D767FF" w:rsidP="00AD3DD9">
      <w:pPr>
        <w:pStyle w:val="FootnoteText"/>
        <w:jc w:val="both"/>
        <w:rPr>
          <w:rFonts w:ascii="Times New Roman" w:hAnsi="Times New Roman"/>
          <w:sz w:val="16"/>
          <w:szCs w:val="16"/>
        </w:rPr>
      </w:pPr>
      <w:r w:rsidRPr="003B0C7B">
        <w:rPr>
          <w:rStyle w:val="FootnoteReference"/>
          <w:rFonts w:ascii="Times New Roman" w:hAnsi="Times New Roman"/>
          <w:sz w:val="16"/>
          <w:szCs w:val="16"/>
        </w:rPr>
        <w:footnoteRef/>
      </w:r>
      <w:r w:rsidRPr="003B0C7B">
        <w:rPr>
          <w:rFonts w:ascii="Times New Roman" w:hAnsi="Times New Roman"/>
          <w:sz w:val="16"/>
          <w:szCs w:val="16"/>
        </w:rPr>
        <w:t xml:space="preserve"> Hotărârea Guvernului nr.351 din 23.03.2005 </w:t>
      </w:r>
      <w:r>
        <w:rPr>
          <w:rFonts w:ascii="Times New Roman" w:hAnsi="Times New Roman"/>
          <w:sz w:val="16"/>
          <w:szCs w:val="16"/>
        </w:rPr>
        <w:t>„C</w:t>
      </w:r>
      <w:r w:rsidRPr="003B0C7B">
        <w:rPr>
          <w:rFonts w:ascii="Times New Roman" w:hAnsi="Times New Roman"/>
          <w:sz w:val="16"/>
          <w:szCs w:val="16"/>
        </w:rPr>
        <w:t>u privire la aprobarea listelor bunurilor imobile proprietate publică a statului și la transmiterea unor bunuri imobile”.</w:t>
      </w:r>
    </w:p>
  </w:footnote>
  <w:footnote w:id="93">
    <w:p w14:paraId="11AE7B8C" w14:textId="77777777" w:rsidR="00D767FF" w:rsidRPr="00890EE8" w:rsidRDefault="00D767FF" w:rsidP="00AD3DD9">
      <w:pPr>
        <w:pStyle w:val="FootnoteText"/>
        <w:jc w:val="both"/>
        <w:rPr>
          <w:rFonts w:ascii="Times New Roman" w:hAnsi="Times New Roman"/>
          <w:sz w:val="16"/>
          <w:szCs w:val="16"/>
        </w:rPr>
      </w:pPr>
      <w:r w:rsidRPr="003B0C7B">
        <w:rPr>
          <w:rStyle w:val="FootnoteReference"/>
          <w:rFonts w:ascii="Times New Roman" w:hAnsi="Times New Roman"/>
          <w:sz w:val="16"/>
          <w:szCs w:val="16"/>
        </w:rPr>
        <w:footnoteRef/>
      </w:r>
      <w:r w:rsidRPr="003B0C7B">
        <w:rPr>
          <w:rFonts w:ascii="Times New Roman" w:hAnsi="Times New Roman"/>
          <w:sz w:val="16"/>
          <w:szCs w:val="16"/>
        </w:rPr>
        <w:t xml:space="preserve"> Hotărârea Curții de Conturi nr.22 din 06.07.2015 ,,</w:t>
      </w:r>
      <w:r>
        <w:rPr>
          <w:rFonts w:ascii="Times New Roman" w:hAnsi="Times New Roman"/>
          <w:sz w:val="16"/>
          <w:szCs w:val="16"/>
        </w:rPr>
        <w:t>P</w:t>
      </w:r>
      <w:r w:rsidRPr="00890EE8">
        <w:rPr>
          <w:rFonts w:ascii="Times New Roman" w:hAnsi="Times New Roman"/>
          <w:sz w:val="16"/>
          <w:szCs w:val="16"/>
        </w:rPr>
        <w:t>rivi</w:t>
      </w:r>
      <w:r>
        <w:rPr>
          <w:rFonts w:ascii="Times New Roman" w:hAnsi="Times New Roman"/>
          <w:sz w:val="16"/>
          <w:szCs w:val="16"/>
        </w:rPr>
        <w:t>nd</w:t>
      </w:r>
      <w:r w:rsidRPr="00890EE8">
        <w:rPr>
          <w:rFonts w:ascii="Times New Roman" w:hAnsi="Times New Roman"/>
          <w:sz w:val="16"/>
          <w:szCs w:val="16"/>
        </w:rPr>
        <w:t xml:space="preserve"> Raportul auditului conformit</w:t>
      </w:r>
      <w:r>
        <w:rPr>
          <w:rFonts w:ascii="Times New Roman" w:hAnsi="Times New Roman"/>
          <w:sz w:val="16"/>
          <w:szCs w:val="16"/>
        </w:rPr>
        <w:t xml:space="preserve">ății executării </w:t>
      </w:r>
      <w:r w:rsidRPr="00890EE8">
        <w:rPr>
          <w:rFonts w:ascii="Times New Roman" w:hAnsi="Times New Roman"/>
          <w:sz w:val="16"/>
          <w:szCs w:val="16"/>
        </w:rPr>
        <w:t>deviz</w:t>
      </w:r>
      <w:r>
        <w:rPr>
          <w:rFonts w:ascii="Times New Roman" w:hAnsi="Times New Roman"/>
          <w:sz w:val="16"/>
          <w:szCs w:val="16"/>
        </w:rPr>
        <w:t>ului d</w:t>
      </w:r>
      <w:r w:rsidRPr="00890EE8">
        <w:rPr>
          <w:rFonts w:ascii="Times New Roman" w:hAnsi="Times New Roman"/>
          <w:sz w:val="16"/>
          <w:szCs w:val="16"/>
        </w:rPr>
        <w:t xml:space="preserve">e cheltuieli </w:t>
      </w:r>
      <w:r>
        <w:rPr>
          <w:rFonts w:ascii="Times New Roman" w:hAnsi="Times New Roman"/>
          <w:sz w:val="16"/>
          <w:szCs w:val="16"/>
        </w:rPr>
        <w:t>la</w:t>
      </w:r>
      <w:r w:rsidRPr="00890EE8">
        <w:rPr>
          <w:rFonts w:ascii="Times New Roman" w:hAnsi="Times New Roman"/>
          <w:sz w:val="16"/>
          <w:szCs w:val="16"/>
        </w:rPr>
        <w:t xml:space="preserve"> B</w:t>
      </w:r>
      <w:r>
        <w:rPr>
          <w:rFonts w:ascii="Times New Roman" w:hAnsi="Times New Roman"/>
          <w:sz w:val="16"/>
          <w:szCs w:val="16"/>
        </w:rPr>
        <w:t>anca</w:t>
      </w:r>
      <w:r w:rsidRPr="00890EE8">
        <w:rPr>
          <w:rFonts w:ascii="Times New Roman" w:hAnsi="Times New Roman"/>
          <w:sz w:val="16"/>
          <w:szCs w:val="16"/>
        </w:rPr>
        <w:t xml:space="preserve"> Național</w:t>
      </w:r>
      <w:r>
        <w:rPr>
          <w:rFonts w:ascii="Times New Roman" w:hAnsi="Times New Roman"/>
          <w:sz w:val="16"/>
          <w:szCs w:val="16"/>
        </w:rPr>
        <w:t>ă</w:t>
      </w:r>
      <w:r w:rsidRPr="00890EE8">
        <w:rPr>
          <w:rFonts w:ascii="Times New Roman" w:hAnsi="Times New Roman"/>
          <w:sz w:val="16"/>
          <w:szCs w:val="16"/>
        </w:rPr>
        <w:t xml:space="preserve"> a Moldovei pe anii 2013-2014”.</w:t>
      </w:r>
    </w:p>
  </w:footnote>
  <w:footnote w:id="94">
    <w:p w14:paraId="6DC653E4" w14:textId="77777777" w:rsidR="00D767FF" w:rsidRPr="00890EE8" w:rsidRDefault="00D767FF" w:rsidP="00AD3DD9">
      <w:pPr>
        <w:pStyle w:val="FootnoteText"/>
        <w:jc w:val="both"/>
        <w:rPr>
          <w:rFonts w:ascii="Times New Roman" w:hAnsi="Times New Roman"/>
          <w:sz w:val="16"/>
          <w:szCs w:val="16"/>
        </w:rPr>
      </w:pPr>
      <w:r w:rsidRPr="00890EE8">
        <w:rPr>
          <w:rStyle w:val="FootnoteReference"/>
          <w:rFonts w:ascii="Times New Roman" w:hAnsi="Times New Roman"/>
          <w:sz w:val="16"/>
          <w:szCs w:val="16"/>
        </w:rPr>
        <w:footnoteRef/>
      </w:r>
      <w:r w:rsidRPr="00890EE8">
        <w:rPr>
          <w:rFonts w:ascii="Times New Roman" w:hAnsi="Times New Roman"/>
          <w:sz w:val="16"/>
          <w:szCs w:val="16"/>
        </w:rPr>
        <w:t xml:space="preserve"> Proces-verbal al  grupului de lucru pentru achiziții din 28.07.2021.</w:t>
      </w:r>
    </w:p>
  </w:footnote>
  <w:footnote w:id="95">
    <w:p w14:paraId="45E72050" w14:textId="77777777" w:rsidR="00D767FF" w:rsidRPr="00F75C7C" w:rsidRDefault="00D767FF" w:rsidP="001D5609">
      <w:pPr>
        <w:pStyle w:val="FootnoteText"/>
        <w:jc w:val="both"/>
      </w:pPr>
      <w:r w:rsidRPr="00565AC4">
        <w:rPr>
          <w:rStyle w:val="FootnoteReference"/>
          <w:rFonts w:ascii="Times New Roman" w:hAnsi="Times New Roman" w:cs="Times New Roman"/>
          <w:sz w:val="16"/>
          <w:szCs w:val="16"/>
        </w:rPr>
        <w:footnoteRef/>
      </w:r>
      <w:r w:rsidRPr="00565AC4">
        <w:rPr>
          <w:rFonts w:ascii="Times New Roman" w:hAnsi="Times New Roman" w:cs="Times New Roman"/>
          <w:sz w:val="16"/>
          <w:szCs w:val="16"/>
        </w:rPr>
        <w:t xml:space="preserve"> Regulamentul privind elaborarea și executarea Bugetului Băncii Naționale a Moldovei, aprobat prin Hotărârea Comitetului executiv al Băncii Naționale a Moldovei nr.88 din 05.11.2015 (cu modificările ulterioare).</w:t>
      </w:r>
      <w:r>
        <w:t xml:space="preserve"> </w:t>
      </w:r>
    </w:p>
  </w:footnote>
  <w:footnote w:id="96">
    <w:p w14:paraId="4ECF7FAB" w14:textId="150FCE7A" w:rsidR="00D767FF" w:rsidRPr="004D0723" w:rsidRDefault="00D767FF" w:rsidP="00DC1CC4">
      <w:pPr>
        <w:pStyle w:val="FootnoteText"/>
        <w:jc w:val="both"/>
        <w:rPr>
          <w:rFonts w:ascii="Times New Roman" w:hAnsi="Times New Roman" w:cs="Times New Roman"/>
          <w:sz w:val="16"/>
          <w:szCs w:val="16"/>
        </w:rPr>
      </w:pPr>
      <w:r w:rsidRPr="004D0723">
        <w:rPr>
          <w:rStyle w:val="FootnoteReference"/>
          <w:rFonts w:ascii="Times New Roman" w:hAnsi="Times New Roman" w:cs="Times New Roman"/>
          <w:sz w:val="16"/>
          <w:szCs w:val="16"/>
        </w:rPr>
        <w:footnoteRef/>
      </w:r>
      <w:r w:rsidRPr="004D0723">
        <w:rPr>
          <w:rFonts w:ascii="Times New Roman" w:hAnsi="Times New Roman" w:cs="Times New Roman"/>
          <w:sz w:val="16"/>
          <w:szCs w:val="16"/>
        </w:rPr>
        <w:t xml:space="preserve"> </w:t>
      </w:r>
      <w:r w:rsidRPr="009B5882">
        <w:rPr>
          <w:rFonts w:ascii="Times New Roman" w:hAnsi="Times New Roman" w:cs="Times New Roman"/>
          <w:sz w:val="16"/>
          <w:szCs w:val="16"/>
        </w:rPr>
        <w:t>Legea nr.260 din 07.12.2017 privind organizarea și funcționarea Curții de Conturi a Republicii Moldova</w:t>
      </w:r>
      <w:r>
        <w:rPr>
          <w:rFonts w:ascii="Times New Roman" w:hAnsi="Times New Roman" w:cs="Times New Roman"/>
          <w:sz w:val="16"/>
          <w:szCs w:val="16"/>
        </w:rPr>
        <w:t>.</w:t>
      </w:r>
    </w:p>
  </w:footnote>
  <w:footnote w:id="97">
    <w:p w14:paraId="09619E76" w14:textId="1A70E19C" w:rsidR="00D767FF" w:rsidRPr="0085554B" w:rsidRDefault="00D767FF" w:rsidP="00250690">
      <w:pPr>
        <w:pStyle w:val="FootnoteText"/>
        <w:rPr>
          <w:rFonts w:ascii="Times New Roman" w:hAnsi="Times New Roman" w:cs="Times New Roman"/>
          <w:sz w:val="16"/>
          <w:szCs w:val="16"/>
        </w:rPr>
      </w:pPr>
      <w:r w:rsidRPr="0085554B">
        <w:rPr>
          <w:rStyle w:val="FootnoteReference"/>
          <w:rFonts w:ascii="Times New Roman" w:hAnsi="Times New Roman" w:cs="Times New Roman"/>
          <w:sz w:val="16"/>
          <w:szCs w:val="16"/>
        </w:rPr>
        <w:footnoteRef/>
      </w:r>
      <w:r w:rsidRPr="0085554B">
        <w:rPr>
          <w:rFonts w:ascii="Times New Roman" w:hAnsi="Times New Roman" w:cs="Times New Roman"/>
          <w:sz w:val="16"/>
          <w:szCs w:val="16"/>
        </w:rPr>
        <w:t xml:space="preserve"> Legea cu privire la B</w:t>
      </w:r>
      <w:r>
        <w:rPr>
          <w:rFonts w:ascii="Times New Roman" w:hAnsi="Times New Roman" w:cs="Times New Roman"/>
          <w:sz w:val="16"/>
          <w:szCs w:val="16"/>
        </w:rPr>
        <w:t xml:space="preserve">anca </w:t>
      </w:r>
      <w:r w:rsidRPr="0085554B">
        <w:rPr>
          <w:rFonts w:ascii="Times New Roman" w:hAnsi="Times New Roman" w:cs="Times New Roman"/>
          <w:sz w:val="16"/>
          <w:szCs w:val="16"/>
        </w:rPr>
        <w:t>N</w:t>
      </w:r>
      <w:r>
        <w:rPr>
          <w:rFonts w:ascii="Times New Roman" w:hAnsi="Times New Roman" w:cs="Times New Roman"/>
          <w:sz w:val="16"/>
          <w:szCs w:val="16"/>
        </w:rPr>
        <w:t xml:space="preserve">ațională a </w:t>
      </w:r>
      <w:r w:rsidRPr="0085554B">
        <w:rPr>
          <w:rFonts w:ascii="Times New Roman" w:hAnsi="Times New Roman" w:cs="Times New Roman"/>
          <w:sz w:val="16"/>
          <w:szCs w:val="16"/>
        </w:rPr>
        <w:t>M</w:t>
      </w:r>
      <w:r>
        <w:rPr>
          <w:rFonts w:ascii="Times New Roman" w:hAnsi="Times New Roman" w:cs="Times New Roman"/>
          <w:sz w:val="16"/>
          <w:szCs w:val="16"/>
        </w:rPr>
        <w:t>oldovei</w:t>
      </w:r>
      <w:r w:rsidRPr="0085554B">
        <w:rPr>
          <w:rFonts w:ascii="Times New Roman" w:hAnsi="Times New Roman" w:cs="Times New Roman"/>
          <w:sz w:val="16"/>
          <w:szCs w:val="16"/>
        </w:rPr>
        <w:t xml:space="preserve"> nr.548 din 21.07.1995.</w:t>
      </w:r>
    </w:p>
  </w:footnote>
  <w:footnote w:id="98">
    <w:p w14:paraId="0108D875" w14:textId="77777777" w:rsidR="00D767FF" w:rsidRPr="00B73B1E" w:rsidRDefault="00D767FF" w:rsidP="00DC1CC4">
      <w:pPr>
        <w:pStyle w:val="FootnoteText"/>
        <w:rPr>
          <w:rFonts w:asciiTheme="majorHAnsi" w:hAnsiTheme="majorHAnsi" w:cstheme="majorHAnsi"/>
          <w:sz w:val="16"/>
          <w:szCs w:val="16"/>
          <w:vertAlign w:val="superscript"/>
        </w:rPr>
      </w:pPr>
      <w:r w:rsidRPr="004D0723">
        <w:rPr>
          <w:rStyle w:val="FootnoteReference"/>
          <w:rFonts w:ascii="Times New Roman" w:hAnsi="Times New Roman" w:cs="Times New Roman"/>
          <w:sz w:val="16"/>
          <w:szCs w:val="16"/>
        </w:rPr>
        <w:footnoteRef/>
      </w:r>
      <w:r w:rsidRPr="004D0723">
        <w:rPr>
          <w:rFonts w:ascii="Times New Roman" w:hAnsi="Times New Roman" w:cs="Times New Roman"/>
          <w:sz w:val="16"/>
          <w:szCs w:val="16"/>
          <w:vertAlign w:val="superscript"/>
        </w:rPr>
        <w:t xml:space="preserve"> </w:t>
      </w:r>
      <w:r w:rsidRPr="004D0723">
        <w:rPr>
          <w:rFonts w:ascii="Times New Roman" w:hAnsi="Times New Roman" w:cs="Times New Roman"/>
          <w:sz w:val="16"/>
          <w:szCs w:val="16"/>
        </w:rPr>
        <w:t>Hotărârea Curții de Conturi nr.2 din 24.01.2020 „Cu privire la Cadrul Declarațiilor Profesionale ale INTOSAI”.</w:t>
      </w:r>
    </w:p>
  </w:footnote>
  <w:footnote w:id="99">
    <w:p w14:paraId="4B64ADD6" w14:textId="778BD57E" w:rsidR="00D767FF" w:rsidRPr="00F316E9" w:rsidRDefault="00D767FF" w:rsidP="006C4F40">
      <w:pPr>
        <w:pStyle w:val="FootnoteText"/>
        <w:rPr>
          <w:rFonts w:ascii="Times New Roman" w:hAnsi="Times New Roman" w:cs="Times New Roman"/>
        </w:rPr>
      </w:pPr>
      <w:r w:rsidRPr="00F316E9">
        <w:rPr>
          <w:rStyle w:val="FootnoteReference"/>
          <w:rFonts w:ascii="Times New Roman" w:hAnsi="Times New Roman" w:cs="Times New Roman"/>
          <w:sz w:val="16"/>
          <w:szCs w:val="16"/>
        </w:rPr>
        <w:footnoteRef/>
      </w:r>
      <w:r w:rsidRPr="00F316E9">
        <w:rPr>
          <w:rFonts w:ascii="Times New Roman" w:hAnsi="Times New Roman" w:cs="Times New Roman"/>
          <w:sz w:val="16"/>
          <w:szCs w:val="16"/>
        </w:rPr>
        <w:t xml:space="preserve"> Art.11 din Legea nr.548 din 21.07.1995.</w:t>
      </w:r>
    </w:p>
  </w:footnote>
  <w:footnote w:id="100">
    <w:p w14:paraId="706DC075" w14:textId="77777777" w:rsidR="00D767FF" w:rsidRPr="005415F3" w:rsidRDefault="00D767FF" w:rsidP="006C4F40">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Art.25</w:t>
      </w:r>
      <w:r w:rsidRPr="005415F3">
        <w:rPr>
          <w:rFonts w:ascii="Times New Roman" w:hAnsi="Times New Roman" w:cs="Times New Roman"/>
          <w:sz w:val="16"/>
          <w:szCs w:val="16"/>
          <w:vertAlign w:val="superscript"/>
        </w:rPr>
        <w:t>1</w:t>
      </w:r>
      <w:r w:rsidRPr="005415F3">
        <w:rPr>
          <w:rFonts w:ascii="Times New Roman" w:hAnsi="Times New Roman" w:cs="Times New Roman"/>
          <w:sz w:val="16"/>
          <w:szCs w:val="16"/>
        </w:rPr>
        <w:t xml:space="preserve"> din Legea salarizării nr.847-XV din 14.02.2002. </w:t>
      </w:r>
    </w:p>
  </w:footnote>
  <w:footnote w:id="101">
    <w:p w14:paraId="3D7D4C61" w14:textId="4A8A28FA" w:rsidR="00D767FF" w:rsidRPr="005415F3" w:rsidRDefault="00D767FF" w:rsidP="006C4F40">
      <w:pPr>
        <w:pStyle w:val="FootnoteText"/>
        <w:jc w:val="both"/>
        <w:rPr>
          <w:rFonts w:ascii="Times New Roman" w:hAnsi="Times New Roman" w:cs="Times New Roman"/>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H</w:t>
      </w:r>
      <w:r>
        <w:rPr>
          <w:rFonts w:ascii="Times New Roman" w:hAnsi="Times New Roman" w:cs="Times New Roman"/>
          <w:sz w:val="16"/>
          <w:szCs w:val="16"/>
        </w:rPr>
        <w:t>CS</w:t>
      </w:r>
      <w:r w:rsidRPr="005415F3">
        <w:rPr>
          <w:rFonts w:ascii="Times New Roman" w:hAnsi="Times New Roman" w:cs="Times New Roman"/>
          <w:sz w:val="16"/>
          <w:szCs w:val="16"/>
        </w:rPr>
        <w:t xml:space="preserve"> nr.15 din 11.07.2018 ,,Regulamentul privind salarizarea angajaților BNM” (cu modificările ulterioare).</w:t>
      </w:r>
    </w:p>
  </w:footnote>
  <w:footnote w:id="102">
    <w:p w14:paraId="0AE7F318" w14:textId="77777777" w:rsidR="00D767FF" w:rsidRPr="005415F3" w:rsidRDefault="00D767FF" w:rsidP="006C4F40">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Regulamentul privind cheltuielile de reprezentanță, aprobat prin HCE nr.238 din 08.09.2016 (cu modificările ulterioare).</w:t>
      </w:r>
    </w:p>
  </w:footnote>
  <w:footnote w:id="103">
    <w:p w14:paraId="7F6588A0" w14:textId="3152CF5F" w:rsidR="00D767FF" w:rsidRPr="006915E0" w:rsidRDefault="00D767FF" w:rsidP="006C4F40">
      <w:pPr>
        <w:pStyle w:val="FootnoteText"/>
        <w:jc w:val="both"/>
        <w:rPr>
          <w:rFonts w:asciiTheme="majorHAnsi" w:hAnsiTheme="majorHAnsi" w:cstheme="majorHAnsi"/>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HG nr.101 din 30.01.2018 ,,</w:t>
      </w:r>
      <w:r>
        <w:rPr>
          <w:rFonts w:ascii="Times New Roman" w:hAnsi="Times New Roman" w:cs="Times New Roman"/>
          <w:sz w:val="16"/>
          <w:szCs w:val="16"/>
        </w:rPr>
        <w:t>P</w:t>
      </w:r>
      <w:r w:rsidRPr="005415F3">
        <w:rPr>
          <w:rFonts w:ascii="Times New Roman" w:hAnsi="Times New Roman" w:cs="Times New Roman"/>
          <w:sz w:val="16"/>
          <w:szCs w:val="16"/>
        </w:rPr>
        <w:t>entru aprobarea Regulamentului privind modul de utilizare a mijloacelor financiare pentru deservirea delegațiilor și persoanelor oficiale străine”.</w:t>
      </w:r>
    </w:p>
  </w:footnote>
  <w:footnote w:id="104">
    <w:p w14:paraId="75376911" w14:textId="42D12420" w:rsidR="00D767FF" w:rsidRPr="005415F3" w:rsidRDefault="00D767FF" w:rsidP="006C4F40">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Legea nr.1585 din 27.02.1998 cu privire la asigurarea obligatorie de asistență medicală.</w:t>
      </w:r>
    </w:p>
  </w:footnote>
  <w:footnote w:id="105">
    <w:p w14:paraId="69C6B69F" w14:textId="77777777" w:rsidR="00D767FF" w:rsidRPr="004D0E03" w:rsidRDefault="00D767FF" w:rsidP="006C4F40">
      <w:pPr>
        <w:pStyle w:val="FootnoteText"/>
        <w:jc w:val="both"/>
        <w:rPr>
          <w:rFonts w:ascii="Times New Roman" w:hAnsi="Times New Roman" w:cs="Times New Roman"/>
          <w:sz w:val="16"/>
          <w:szCs w:val="16"/>
        </w:rPr>
      </w:pPr>
      <w:r w:rsidRPr="004D0E03">
        <w:rPr>
          <w:rStyle w:val="FootnoteReference"/>
          <w:rFonts w:ascii="Times New Roman" w:hAnsi="Times New Roman" w:cs="Times New Roman"/>
          <w:sz w:val="16"/>
          <w:szCs w:val="16"/>
        </w:rPr>
        <w:footnoteRef/>
      </w:r>
      <w:r w:rsidRPr="004D0E03">
        <w:rPr>
          <w:rFonts w:ascii="Times New Roman" w:hAnsi="Times New Roman" w:cs="Times New Roman"/>
          <w:sz w:val="16"/>
          <w:szCs w:val="16"/>
        </w:rPr>
        <w:t xml:space="preserve"> Pct.8 ,,operațiuni privind achiziționarea și utilizarea produselor alimentare în Cantina BNM” din Instrucțiunea privind organizarea și efectuarea operațiunilor contabile și documentelor aferente acestora în BNM, nr.11-01104/375 din 31.12.2014.</w:t>
      </w:r>
    </w:p>
  </w:footnote>
  <w:footnote w:id="106">
    <w:p w14:paraId="0758DEF0" w14:textId="77777777" w:rsidR="00D767FF" w:rsidRPr="005415F3" w:rsidRDefault="00D767FF" w:rsidP="006C4F40">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Art.4 din Legea nr.131 din 03.07.2015; HG nr.1419 din 28.12.2016 „Pentru aprobarea Regulamentului cu privire la modul de planificare a contractelor de achiziții publice”.</w:t>
      </w:r>
    </w:p>
  </w:footnote>
  <w:footnote w:id="107">
    <w:p w14:paraId="776D433F" w14:textId="6C63A5C1" w:rsidR="00D767FF" w:rsidRPr="005415F3" w:rsidRDefault="00D767FF" w:rsidP="006C4F40">
      <w:pPr>
        <w:pStyle w:val="FootnoteText"/>
        <w:jc w:val="both"/>
        <w:rPr>
          <w:rFonts w:ascii="Times New Roman" w:hAnsi="Times New Roman" w:cs="Times New Roman"/>
          <w:sz w:val="16"/>
          <w:szCs w:val="16"/>
        </w:rPr>
      </w:pPr>
      <w:r w:rsidRPr="005415F3">
        <w:rPr>
          <w:rStyle w:val="FootnoteReference"/>
          <w:rFonts w:ascii="Times New Roman" w:hAnsi="Times New Roman" w:cs="Times New Roman"/>
          <w:sz w:val="16"/>
          <w:szCs w:val="16"/>
        </w:rPr>
        <w:footnoteRef/>
      </w:r>
      <w:r w:rsidRPr="005415F3">
        <w:rPr>
          <w:rFonts w:ascii="Times New Roman" w:hAnsi="Times New Roman" w:cs="Times New Roman"/>
          <w:sz w:val="16"/>
          <w:szCs w:val="16"/>
        </w:rPr>
        <w:t xml:space="preserve"> Pct.13 din HG nr.1419 din 28.12.2016 ,,</w:t>
      </w:r>
      <w:r>
        <w:rPr>
          <w:rFonts w:ascii="Times New Roman" w:hAnsi="Times New Roman" w:cs="Times New Roman"/>
          <w:sz w:val="16"/>
          <w:szCs w:val="16"/>
        </w:rPr>
        <w:t>P</w:t>
      </w:r>
      <w:r w:rsidRPr="005415F3">
        <w:rPr>
          <w:rFonts w:ascii="Times New Roman" w:hAnsi="Times New Roman" w:cs="Times New Roman"/>
          <w:sz w:val="16"/>
          <w:szCs w:val="16"/>
        </w:rPr>
        <w:t>entru aprobarea Regulamentului cu privire la modul de planificare a contractelor de achiziții publice</w:t>
      </w:r>
      <w:r>
        <w:rPr>
          <w:rFonts w:ascii="Times New Roman" w:hAnsi="Times New Roman" w:cs="Times New Roman"/>
          <w:sz w:val="16"/>
          <w:szCs w:val="16"/>
        </w:rPr>
        <w:t>”</w:t>
      </w:r>
      <w:r w:rsidRPr="005415F3">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40A"/>
    <w:multiLevelType w:val="multilevel"/>
    <w:tmpl w:val="3A46EE18"/>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227A8"/>
    <w:multiLevelType w:val="hybridMultilevel"/>
    <w:tmpl w:val="87EE1D16"/>
    <w:lvl w:ilvl="0" w:tplc="6C3CAF8E">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51A8"/>
    <w:multiLevelType w:val="hybridMultilevel"/>
    <w:tmpl w:val="D234B3A0"/>
    <w:lvl w:ilvl="0" w:tplc="82184142">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04CB2"/>
    <w:multiLevelType w:val="hybridMultilevel"/>
    <w:tmpl w:val="6B1EFB1C"/>
    <w:lvl w:ilvl="0" w:tplc="0DF016C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66715"/>
    <w:multiLevelType w:val="hybridMultilevel"/>
    <w:tmpl w:val="BD2E488E"/>
    <w:lvl w:ilvl="0" w:tplc="8218414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24651"/>
    <w:multiLevelType w:val="hybridMultilevel"/>
    <w:tmpl w:val="A4085B28"/>
    <w:lvl w:ilvl="0" w:tplc="980A3070">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D0FDF"/>
    <w:multiLevelType w:val="hybridMultilevel"/>
    <w:tmpl w:val="88F6BF2E"/>
    <w:lvl w:ilvl="0" w:tplc="FED4A1B6">
      <w:start w:val="1"/>
      <w:numFmt w:val="lowerRoman"/>
      <w:lvlText w:val="(%1)"/>
      <w:lvlJc w:val="left"/>
      <w:pPr>
        <w:ind w:left="1430" w:hanging="720"/>
      </w:pPr>
      <w:rPr>
        <w:rFonts w:hint="default"/>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24F32647"/>
    <w:multiLevelType w:val="hybridMultilevel"/>
    <w:tmpl w:val="31F61B6A"/>
    <w:lvl w:ilvl="0" w:tplc="0C906C4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A4CC8"/>
    <w:multiLevelType w:val="hybridMultilevel"/>
    <w:tmpl w:val="E7D2F05C"/>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5B006A8"/>
    <w:multiLevelType w:val="hybridMultilevel"/>
    <w:tmpl w:val="CB0E4E0E"/>
    <w:lvl w:ilvl="0" w:tplc="209C8D1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96703A8"/>
    <w:multiLevelType w:val="hybridMultilevel"/>
    <w:tmpl w:val="FD5AE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A6710"/>
    <w:multiLevelType w:val="multilevel"/>
    <w:tmpl w:val="3758877C"/>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4E55"/>
    <w:multiLevelType w:val="hybridMultilevel"/>
    <w:tmpl w:val="135028C6"/>
    <w:lvl w:ilvl="0" w:tplc="A25A049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90DF6"/>
    <w:multiLevelType w:val="hybridMultilevel"/>
    <w:tmpl w:val="F5B4B750"/>
    <w:lvl w:ilvl="0" w:tplc="8218414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C503F"/>
    <w:multiLevelType w:val="hybridMultilevel"/>
    <w:tmpl w:val="9F028062"/>
    <w:lvl w:ilvl="0" w:tplc="D7D22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E236F"/>
    <w:multiLevelType w:val="hybridMultilevel"/>
    <w:tmpl w:val="F6A8555E"/>
    <w:lvl w:ilvl="0" w:tplc="8218414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A06FC"/>
    <w:multiLevelType w:val="hybridMultilevel"/>
    <w:tmpl w:val="0C58CA0A"/>
    <w:lvl w:ilvl="0" w:tplc="6BA62D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DA513E6"/>
    <w:multiLevelType w:val="hybridMultilevel"/>
    <w:tmpl w:val="3CFE7002"/>
    <w:lvl w:ilvl="0" w:tplc="76B8F616">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B57EDD"/>
    <w:multiLevelType w:val="hybridMultilevel"/>
    <w:tmpl w:val="6088CAC8"/>
    <w:lvl w:ilvl="0" w:tplc="465CCE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C3EA1"/>
    <w:multiLevelType w:val="hybridMultilevel"/>
    <w:tmpl w:val="5B66BC92"/>
    <w:lvl w:ilvl="0" w:tplc="CD720470">
      <w:start w:val="1"/>
      <w:numFmt w:val="lowerRoman"/>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968AD"/>
    <w:multiLevelType w:val="hybridMultilevel"/>
    <w:tmpl w:val="1CDA4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6D502A"/>
    <w:multiLevelType w:val="multilevel"/>
    <w:tmpl w:val="5F28E362"/>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3B5F06"/>
    <w:multiLevelType w:val="hybridMultilevel"/>
    <w:tmpl w:val="EBC0DCB2"/>
    <w:lvl w:ilvl="0" w:tplc="178C97EE">
      <w:start w:val="1"/>
      <w:numFmt w:val="bullet"/>
      <w:lvlText w:val=""/>
      <w:lvlJc w:val="left"/>
      <w:pPr>
        <w:ind w:left="720" w:hanging="360"/>
      </w:pPr>
      <w:rPr>
        <w:rFonts w:ascii="Wingdings" w:hAnsi="Wingdings" w:hint="default"/>
        <w:color w:val="000000" w:themeColor="text1"/>
        <w:sz w:val="28"/>
        <w:szCs w:val="28"/>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start w:val="1"/>
      <w:numFmt w:val="bullet"/>
      <w:lvlText w:val="o"/>
      <w:lvlJc w:val="left"/>
      <w:pPr>
        <w:ind w:left="3600" w:hanging="360"/>
      </w:pPr>
      <w:rPr>
        <w:rFonts w:ascii="Courier New" w:hAnsi="Courier New" w:cs="Courier New" w:hint="default"/>
      </w:rPr>
    </w:lvl>
    <w:lvl w:ilvl="5" w:tplc="08180005">
      <w:start w:val="1"/>
      <w:numFmt w:val="bullet"/>
      <w:lvlText w:val=""/>
      <w:lvlJc w:val="left"/>
      <w:pPr>
        <w:ind w:left="4320" w:hanging="360"/>
      </w:pPr>
      <w:rPr>
        <w:rFonts w:ascii="Wingdings" w:hAnsi="Wingdings" w:hint="default"/>
      </w:rPr>
    </w:lvl>
    <w:lvl w:ilvl="6" w:tplc="08180001">
      <w:start w:val="1"/>
      <w:numFmt w:val="bullet"/>
      <w:lvlText w:val=""/>
      <w:lvlJc w:val="left"/>
      <w:pPr>
        <w:ind w:left="5040" w:hanging="360"/>
      </w:pPr>
      <w:rPr>
        <w:rFonts w:ascii="Symbol" w:hAnsi="Symbol" w:hint="default"/>
      </w:rPr>
    </w:lvl>
    <w:lvl w:ilvl="7" w:tplc="08180003">
      <w:start w:val="1"/>
      <w:numFmt w:val="bullet"/>
      <w:lvlText w:val="o"/>
      <w:lvlJc w:val="left"/>
      <w:pPr>
        <w:ind w:left="5760" w:hanging="360"/>
      </w:pPr>
      <w:rPr>
        <w:rFonts w:ascii="Courier New" w:hAnsi="Courier New" w:cs="Courier New" w:hint="default"/>
      </w:rPr>
    </w:lvl>
    <w:lvl w:ilvl="8" w:tplc="08180005">
      <w:start w:val="1"/>
      <w:numFmt w:val="bullet"/>
      <w:lvlText w:val=""/>
      <w:lvlJc w:val="left"/>
      <w:pPr>
        <w:ind w:left="6480" w:hanging="360"/>
      </w:pPr>
      <w:rPr>
        <w:rFonts w:ascii="Wingdings" w:hAnsi="Wingdings" w:hint="default"/>
      </w:rPr>
    </w:lvl>
  </w:abstractNum>
  <w:abstractNum w:abstractNumId="23" w15:restartNumberingAfterBreak="0">
    <w:nsid w:val="555567E7"/>
    <w:multiLevelType w:val="hybridMultilevel"/>
    <w:tmpl w:val="DD9AEE12"/>
    <w:lvl w:ilvl="0" w:tplc="D37271C8">
      <w:start w:val="4"/>
      <w:numFmt w:val="bullet"/>
      <w:lvlText w:val="-"/>
      <w:lvlJc w:val="left"/>
      <w:pPr>
        <w:ind w:left="1506" w:hanging="360"/>
      </w:pPr>
      <w:rPr>
        <w:rFonts w:ascii="Calibri Light" w:eastAsia="Times New Roman" w:hAnsi="Calibri Light" w:cs="Calibri Light"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15:restartNumberingAfterBreak="0">
    <w:nsid w:val="55EB6A1B"/>
    <w:multiLevelType w:val="hybridMultilevel"/>
    <w:tmpl w:val="2A1012CE"/>
    <w:lvl w:ilvl="0" w:tplc="CBFC0DE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209D7"/>
    <w:multiLevelType w:val="hybridMultilevel"/>
    <w:tmpl w:val="479CB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E1A76"/>
    <w:multiLevelType w:val="hybridMultilevel"/>
    <w:tmpl w:val="B280712A"/>
    <w:lvl w:ilvl="0" w:tplc="B14AD6F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A75A1"/>
    <w:multiLevelType w:val="hybridMultilevel"/>
    <w:tmpl w:val="71BCB1BE"/>
    <w:lvl w:ilvl="0" w:tplc="FE324E5C">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167C4"/>
    <w:multiLevelType w:val="multilevel"/>
    <w:tmpl w:val="AC5E47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91797E"/>
    <w:multiLevelType w:val="hybridMultilevel"/>
    <w:tmpl w:val="CF2AF780"/>
    <w:lvl w:ilvl="0" w:tplc="FC3A03B6">
      <w:start w:val="1"/>
      <w:numFmt w:val="bullet"/>
      <w:lvlText w:val="-"/>
      <w:lvlJc w:val="left"/>
      <w:pPr>
        <w:ind w:left="720" w:hanging="360"/>
      </w:pPr>
      <w:rPr>
        <w:rFonts w:ascii="Calibri Light" w:eastAsia="Times New Roman" w:hAnsi="Calibri Light" w:cs="Calibri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33A9A"/>
    <w:multiLevelType w:val="hybridMultilevel"/>
    <w:tmpl w:val="06B232D0"/>
    <w:lvl w:ilvl="0" w:tplc="1FFC6180">
      <w:start w:val="4"/>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B1ABE"/>
    <w:multiLevelType w:val="hybridMultilevel"/>
    <w:tmpl w:val="229C3314"/>
    <w:lvl w:ilvl="0" w:tplc="624A2874">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DF07B5"/>
    <w:multiLevelType w:val="hybridMultilevel"/>
    <w:tmpl w:val="2432FA86"/>
    <w:lvl w:ilvl="0" w:tplc="6AD4AF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82F82"/>
    <w:multiLevelType w:val="hybridMultilevel"/>
    <w:tmpl w:val="846E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732F1"/>
    <w:multiLevelType w:val="hybridMultilevel"/>
    <w:tmpl w:val="18F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18"/>
  </w:num>
  <w:num w:numId="5">
    <w:abstractNumId w:val="8"/>
  </w:num>
  <w:num w:numId="6">
    <w:abstractNumId w:val="22"/>
  </w:num>
  <w:num w:numId="7">
    <w:abstractNumId w:val="28"/>
  </w:num>
  <w:num w:numId="8">
    <w:abstractNumId w:val="12"/>
  </w:num>
  <w:num w:numId="9">
    <w:abstractNumId w:val="4"/>
  </w:num>
  <w:num w:numId="10">
    <w:abstractNumId w:val="14"/>
  </w:num>
  <w:num w:numId="11">
    <w:abstractNumId w:val="19"/>
  </w:num>
  <w:num w:numId="12">
    <w:abstractNumId w:val="31"/>
  </w:num>
  <w:num w:numId="13">
    <w:abstractNumId w:val="30"/>
  </w:num>
  <w:num w:numId="14">
    <w:abstractNumId w:val="20"/>
  </w:num>
  <w:num w:numId="15">
    <w:abstractNumId w:val="13"/>
  </w:num>
  <w:num w:numId="16">
    <w:abstractNumId w:val="2"/>
  </w:num>
  <w:num w:numId="17">
    <w:abstractNumId w:val="23"/>
  </w:num>
  <w:num w:numId="18">
    <w:abstractNumId w:val="3"/>
  </w:num>
  <w:num w:numId="19">
    <w:abstractNumId w:val="26"/>
  </w:num>
  <w:num w:numId="20">
    <w:abstractNumId w:val="29"/>
  </w:num>
  <w:num w:numId="21">
    <w:abstractNumId w:val="10"/>
  </w:num>
  <w:num w:numId="22">
    <w:abstractNumId w:val="6"/>
  </w:num>
  <w:num w:numId="23">
    <w:abstractNumId w:val="24"/>
  </w:num>
  <w:num w:numId="24">
    <w:abstractNumId w:val="32"/>
  </w:num>
  <w:num w:numId="25">
    <w:abstractNumId w:val="27"/>
  </w:num>
  <w:num w:numId="26">
    <w:abstractNumId w:val="11"/>
  </w:num>
  <w:num w:numId="27">
    <w:abstractNumId w:val="25"/>
  </w:num>
  <w:num w:numId="28">
    <w:abstractNumId w:val="34"/>
  </w:num>
  <w:num w:numId="29">
    <w:abstractNumId w:val="33"/>
  </w:num>
  <w:num w:numId="30">
    <w:abstractNumId w:val="5"/>
  </w:num>
  <w:num w:numId="31">
    <w:abstractNumId w:val="1"/>
  </w:num>
  <w:num w:numId="32">
    <w:abstractNumId w:val="17"/>
  </w:num>
  <w:num w:numId="33">
    <w:abstractNumId w:val="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B3"/>
    <w:rsid w:val="0000061B"/>
    <w:rsid w:val="00000D88"/>
    <w:rsid w:val="00001A55"/>
    <w:rsid w:val="00002529"/>
    <w:rsid w:val="00003555"/>
    <w:rsid w:val="00004A5A"/>
    <w:rsid w:val="00004BEF"/>
    <w:rsid w:val="0000582F"/>
    <w:rsid w:val="000067AA"/>
    <w:rsid w:val="00006F83"/>
    <w:rsid w:val="0000737F"/>
    <w:rsid w:val="00007F0B"/>
    <w:rsid w:val="00007F64"/>
    <w:rsid w:val="000100D5"/>
    <w:rsid w:val="0001055B"/>
    <w:rsid w:val="00010E32"/>
    <w:rsid w:val="00011033"/>
    <w:rsid w:val="00011876"/>
    <w:rsid w:val="00011C88"/>
    <w:rsid w:val="0001218C"/>
    <w:rsid w:val="00012637"/>
    <w:rsid w:val="00012698"/>
    <w:rsid w:val="00012FD9"/>
    <w:rsid w:val="000135B4"/>
    <w:rsid w:val="00014C70"/>
    <w:rsid w:val="00014EBF"/>
    <w:rsid w:val="00015D00"/>
    <w:rsid w:val="000175C9"/>
    <w:rsid w:val="00017878"/>
    <w:rsid w:val="0002042B"/>
    <w:rsid w:val="00021627"/>
    <w:rsid w:val="00021A70"/>
    <w:rsid w:val="00021BC5"/>
    <w:rsid w:val="00022308"/>
    <w:rsid w:val="0002236E"/>
    <w:rsid w:val="000226DF"/>
    <w:rsid w:val="00023685"/>
    <w:rsid w:val="0002382B"/>
    <w:rsid w:val="00023842"/>
    <w:rsid w:val="00023931"/>
    <w:rsid w:val="0002430C"/>
    <w:rsid w:val="000247E1"/>
    <w:rsid w:val="0003056C"/>
    <w:rsid w:val="000309DB"/>
    <w:rsid w:val="00032681"/>
    <w:rsid w:val="00033E34"/>
    <w:rsid w:val="00033ECC"/>
    <w:rsid w:val="00033F5C"/>
    <w:rsid w:val="00033F6D"/>
    <w:rsid w:val="00034490"/>
    <w:rsid w:val="000352ED"/>
    <w:rsid w:val="0003584C"/>
    <w:rsid w:val="00035DE2"/>
    <w:rsid w:val="00035EAA"/>
    <w:rsid w:val="00036196"/>
    <w:rsid w:val="00037082"/>
    <w:rsid w:val="000370B4"/>
    <w:rsid w:val="0004000E"/>
    <w:rsid w:val="00040E4A"/>
    <w:rsid w:val="0004271D"/>
    <w:rsid w:val="00044A2D"/>
    <w:rsid w:val="00044C6F"/>
    <w:rsid w:val="000457BE"/>
    <w:rsid w:val="00045F8A"/>
    <w:rsid w:val="00046014"/>
    <w:rsid w:val="0004633E"/>
    <w:rsid w:val="0004678D"/>
    <w:rsid w:val="000468BE"/>
    <w:rsid w:val="000470D1"/>
    <w:rsid w:val="000471E1"/>
    <w:rsid w:val="00047D4F"/>
    <w:rsid w:val="00047DF5"/>
    <w:rsid w:val="00047F9B"/>
    <w:rsid w:val="0005148F"/>
    <w:rsid w:val="00052586"/>
    <w:rsid w:val="00052693"/>
    <w:rsid w:val="00052C4A"/>
    <w:rsid w:val="000540F6"/>
    <w:rsid w:val="00054BD4"/>
    <w:rsid w:val="00054F0D"/>
    <w:rsid w:val="00054F12"/>
    <w:rsid w:val="000557E2"/>
    <w:rsid w:val="00055874"/>
    <w:rsid w:val="000565B4"/>
    <w:rsid w:val="000572DC"/>
    <w:rsid w:val="000617DC"/>
    <w:rsid w:val="00062864"/>
    <w:rsid w:val="00063087"/>
    <w:rsid w:val="0006318C"/>
    <w:rsid w:val="00063C2F"/>
    <w:rsid w:val="00063DEF"/>
    <w:rsid w:val="0006456D"/>
    <w:rsid w:val="00065E99"/>
    <w:rsid w:val="00065F02"/>
    <w:rsid w:val="000673F0"/>
    <w:rsid w:val="00067A1E"/>
    <w:rsid w:val="0007076B"/>
    <w:rsid w:val="0007156D"/>
    <w:rsid w:val="00071C3F"/>
    <w:rsid w:val="00071E05"/>
    <w:rsid w:val="0007299A"/>
    <w:rsid w:val="000740F2"/>
    <w:rsid w:val="00075332"/>
    <w:rsid w:val="000760E5"/>
    <w:rsid w:val="00076475"/>
    <w:rsid w:val="00076481"/>
    <w:rsid w:val="00076C61"/>
    <w:rsid w:val="00077C42"/>
    <w:rsid w:val="00080324"/>
    <w:rsid w:val="0008315F"/>
    <w:rsid w:val="00083A14"/>
    <w:rsid w:val="0008428A"/>
    <w:rsid w:val="00084F5D"/>
    <w:rsid w:val="0008539C"/>
    <w:rsid w:val="00085EBA"/>
    <w:rsid w:val="000870DC"/>
    <w:rsid w:val="00090BA9"/>
    <w:rsid w:val="00090FF3"/>
    <w:rsid w:val="0009163B"/>
    <w:rsid w:val="00091919"/>
    <w:rsid w:val="00091DF8"/>
    <w:rsid w:val="0009313F"/>
    <w:rsid w:val="000931AA"/>
    <w:rsid w:val="000933E1"/>
    <w:rsid w:val="000939A5"/>
    <w:rsid w:val="00093D69"/>
    <w:rsid w:val="00095406"/>
    <w:rsid w:val="0009743D"/>
    <w:rsid w:val="00097D67"/>
    <w:rsid w:val="000A014B"/>
    <w:rsid w:val="000A0E82"/>
    <w:rsid w:val="000A17BE"/>
    <w:rsid w:val="000A1DDA"/>
    <w:rsid w:val="000A204C"/>
    <w:rsid w:val="000A2262"/>
    <w:rsid w:val="000A2495"/>
    <w:rsid w:val="000A40EA"/>
    <w:rsid w:val="000A427A"/>
    <w:rsid w:val="000A4297"/>
    <w:rsid w:val="000A676F"/>
    <w:rsid w:val="000A75A2"/>
    <w:rsid w:val="000A7901"/>
    <w:rsid w:val="000A7C01"/>
    <w:rsid w:val="000B0297"/>
    <w:rsid w:val="000B0348"/>
    <w:rsid w:val="000B03E5"/>
    <w:rsid w:val="000B0B34"/>
    <w:rsid w:val="000B0E5C"/>
    <w:rsid w:val="000B126C"/>
    <w:rsid w:val="000B33B5"/>
    <w:rsid w:val="000B3834"/>
    <w:rsid w:val="000B3AE8"/>
    <w:rsid w:val="000B3B91"/>
    <w:rsid w:val="000B4663"/>
    <w:rsid w:val="000B499E"/>
    <w:rsid w:val="000B4B4C"/>
    <w:rsid w:val="000B5397"/>
    <w:rsid w:val="000B5B76"/>
    <w:rsid w:val="000B6372"/>
    <w:rsid w:val="000B64DB"/>
    <w:rsid w:val="000B65BF"/>
    <w:rsid w:val="000B6A9E"/>
    <w:rsid w:val="000B6DCD"/>
    <w:rsid w:val="000B7030"/>
    <w:rsid w:val="000B782E"/>
    <w:rsid w:val="000B7A51"/>
    <w:rsid w:val="000C0DDA"/>
    <w:rsid w:val="000C0E3D"/>
    <w:rsid w:val="000C2421"/>
    <w:rsid w:val="000C269C"/>
    <w:rsid w:val="000C2FDD"/>
    <w:rsid w:val="000C3C1A"/>
    <w:rsid w:val="000C42A0"/>
    <w:rsid w:val="000C4DBE"/>
    <w:rsid w:val="000C54F9"/>
    <w:rsid w:val="000C5B29"/>
    <w:rsid w:val="000C5D05"/>
    <w:rsid w:val="000C6CE8"/>
    <w:rsid w:val="000C6DE1"/>
    <w:rsid w:val="000D383E"/>
    <w:rsid w:val="000D4565"/>
    <w:rsid w:val="000D46FA"/>
    <w:rsid w:val="000D483C"/>
    <w:rsid w:val="000D6FF2"/>
    <w:rsid w:val="000D77A9"/>
    <w:rsid w:val="000E050C"/>
    <w:rsid w:val="000E1D7E"/>
    <w:rsid w:val="000E22C1"/>
    <w:rsid w:val="000E2897"/>
    <w:rsid w:val="000E2DEB"/>
    <w:rsid w:val="000E2EB5"/>
    <w:rsid w:val="000E44A4"/>
    <w:rsid w:val="000E472F"/>
    <w:rsid w:val="000E5F4D"/>
    <w:rsid w:val="000E61D6"/>
    <w:rsid w:val="000E6F67"/>
    <w:rsid w:val="000E7BE4"/>
    <w:rsid w:val="000E7CBF"/>
    <w:rsid w:val="000F0A98"/>
    <w:rsid w:val="000F0D38"/>
    <w:rsid w:val="000F14B6"/>
    <w:rsid w:val="000F1652"/>
    <w:rsid w:val="000F1A4D"/>
    <w:rsid w:val="000F240C"/>
    <w:rsid w:val="000F258F"/>
    <w:rsid w:val="000F2F9F"/>
    <w:rsid w:val="000F380B"/>
    <w:rsid w:val="000F3FAF"/>
    <w:rsid w:val="000F538A"/>
    <w:rsid w:val="000F55DF"/>
    <w:rsid w:val="000F691D"/>
    <w:rsid w:val="000F7CB3"/>
    <w:rsid w:val="00100116"/>
    <w:rsid w:val="001009D4"/>
    <w:rsid w:val="00101A5B"/>
    <w:rsid w:val="00101DA2"/>
    <w:rsid w:val="00101ED4"/>
    <w:rsid w:val="0010498B"/>
    <w:rsid w:val="00104BFF"/>
    <w:rsid w:val="00104D07"/>
    <w:rsid w:val="00104E2A"/>
    <w:rsid w:val="00106FE9"/>
    <w:rsid w:val="00107057"/>
    <w:rsid w:val="00107429"/>
    <w:rsid w:val="00107538"/>
    <w:rsid w:val="00107FB4"/>
    <w:rsid w:val="00110332"/>
    <w:rsid w:val="00110580"/>
    <w:rsid w:val="001108BE"/>
    <w:rsid w:val="001113A4"/>
    <w:rsid w:val="00112531"/>
    <w:rsid w:val="001126DC"/>
    <w:rsid w:val="001130CE"/>
    <w:rsid w:val="00113383"/>
    <w:rsid w:val="001143B8"/>
    <w:rsid w:val="00114663"/>
    <w:rsid w:val="0011480E"/>
    <w:rsid w:val="00115719"/>
    <w:rsid w:val="00115FFA"/>
    <w:rsid w:val="0011735D"/>
    <w:rsid w:val="00120072"/>
    <w:rsid w:val="00120790"/>
    <w:rsid w:val="00121062"/>
    <w:rsid w:val="00121890"/>
    <w:rsid w:val="00121A59"/>
    <w:rsid w:val="0012257B"/>
    <w:rsid w:val="001229DB"/>
    <w:rsid w:val="00122D40"/>
    <w:rsid w:val="001240F8"/>
    <w:rsid w:val="00124A17"/>
    <w:rsid w:val="00125603"/>
    <w:rsid w:val="001258F9"/>
    <w:rsid w:val="00125E4F"/>
    <w:rsid w:val="0012600F"/>
    <w:rsid w:val="0012667E"/>
    <w:rsid w:val="0012744E"/>
    <w:rsid w:val="00127A7F"/>
    <w:rsid w:val="00131243"/>
    <w:rsid w:val="00131427"/>
    <w:rsid w:val="001323FC"/>
    <w:rsid w:val="00132B0F"/>
    <w:rsid w:val="001340B0"/>
    <w:rsid w:val="0013461E"/>
    <w:rsid w:val="00134F33"/>
    <w:rsid w:val="00135473"/>
    <w:rsid w:val="001370C8"/>
    <w:rsid w:val="0013730F"/>
    <w:rsid w:val="00137906"/>
    <w:rsid w:val="0014045A"/>
    <w:rsid w:val="001410C5"/>
    <w:rsid w:val="00143186"/>
    <w:rsid w:val="001431FF"/>
    <w:rsid w:val="001436A5"/>
    <w:rsid w:val="00143A0F"/>
    <w:rsid w:val="00143AD5"/>
    <w:rsid w:val="00144813"/>
    <w:rsid w:val="00144C06"/>
    <w:rsid w:val="00144E70"/>
    <w:rsid w:val="00144EE6"/>
    <w:rsid w:val="00144F40"/>
    <w:rsid w:val="0014526C"/>
    <w:rsid w:val="00146507"/>
    <w:rsid w:val="00147041"/>
    <w:rsid w:val="001478B9"/>
    <w:rsid w:val="0015096A"/>
    <w:rsid w:val="001512B2"/>
    <w:rsid w:val="00151774"/>
    <w:rsid w:val="001522E0"/>
    <w:rsid w:val="001530E3"/>
    <w:rsid w:val="00153A7F"/>
    <w:rsid w:val="001544B3"/>
    <w:rsid w:val="001547BF"/>
    <w:rsid w:val="00154B97"/>
    <w:rsid w:val="00155134"/>
    <w:rsid w:val="001555C6"/>
    <w:rsid w:val="00155821"/>
    <w:rsid w:val="001565A5"/>
    <w:rsid w:val="00156F2C"/>
    <w:rsid w:val="001571A2"/>
    <w:rsid w:val="001601F8"/>
    <w:rsid w:val="00160362"/>
    <w:rsid w:val="00160A6D"/>
    <w:rsid w:val="00160BB9"/>
    <w:rsid w:val="00161BA9"/>
    <w:rsid w:val="00162173"/>
    <w:rsid w:val="00162652"/>
    <w:rsid w:val="00162C03"/>
    <w:rsid w:val="001632CE"/>
    <w:rsid w:val="00163E1D"/>
    <w:rsid w:val="0016452D"/>
    <w:rsid w:val="00164599"/>
    <w:rsid w:val="00165058"/>
    <w:rsid w:val="001678D0"/>
    <w:rsid w:val="00170CF4"/>
    <w:rsid w:val="00171CCA"/>
    <w:rsid w:val="00171DE8"/>
    <w:rsid w:val="00171FCC"/>
    <w:rsid w:val="00172CE4"/>
    <w:rsid w:val="00172E57"/>
    <w:rsid w:val="001731AA"/>
    <w:rsid w:val="00173425"/>
    <w:rsid w:val="0017393E"/>
    <w:rsid w:val="00173D85"/>
    <w:rsid w:val="00174EE1"/>
    <w:rsid w:val="00175576"/>
    <w:rsid w:val="00175A3E"/>
    <w:rsid w:val="00175E96"/>
    <w:rsid w:val="00176664"/>
    <w:rsid w:val="00176778"/>
    <w:rsid w:val="00176F00"/>
    <w:rsid w:val="001776A1"/>
    <w:rsid w:val="001779C6"/>
    <w:rsid w:val="0018043E"/>
    <w:rsid w:val="001804DE"/>
    <w:rsid w:val="00180B22"/>
    <w:rsid w:val="00180F0D"/>
    <w:rsid w:val="001812C8"/>
    <w:rsid w:val="00181F1A"/>
    <w:rsid w:val="001827E1"/>
    <w:rsid w:val="001827EC"/>
    <w:rsid w:val="001828CF"/>
    <w:rsid w:val="00182FFD"/>
    <w:rsid w:val="00183FE6"/>
    <w:rsid w:val="0018451D"/>
    <w:rsid w:val="0018594F"/>
    <w:rsid w:val="00185BCA"/>
    <w:rsid w:val="00186D39"/>
    <w:rsid w:val="00187063"/>
    <w:rsid w:val="001876DB"/>
    <w:rsid w:val="0019078D"/>
    <w:rsid w:val="00191C9E"/>
    <w:rsid w:val="00191D24"/>
    <w:rsid w:val="00191F28"/>
    <w:rsid w:val="00192070"/>
    <w:rsid w:val="001921C4"/>
    <w:rsid w:val="00194256"/>
    <w:rsid w:val="001944A0"/>
    <w:rsid w:val="001948B2"/>
    <w:rsid w:val="00194A0D"/>
    <w:rsid w:val="00194E99"/>
    <w:rsid w:val="00195191"/>
    <w:rsid w:val="001952D6"/>
    <w:rsid w:val="00196803"/>
    <w:rsid w:val="00196E1C"/>
    <w:rsid w:val="00196FC3"/>
    <w:rsid w:val="001A00A4"/>
    <w:rsid w:val="001A1032"/>
    <w:rsid w:val="001A12DF"/>
    <w:rsid w:val="001A1F9F"/>
    <w:rsid w:val="001A25E5"/>
    <w:rsid w:val="001A2C1A"/>
    <w:rsid w:val="001A2F63"/>
    <w:rsid w:val="001A3C76"/>
    <w:rsid w:val="001A4B5D"/>
    <w:rsid w:val="001A5071"/>
    <w:rsid w:val="001A5136"/>
    <w:rsid w:val="001A55F9"/>
    <w:rsid w:val="001A5962"/>
    <w:rsid w:val="001A7F9A"/>
    <w:rsid w:val="001B02D9"/>
    <w:rsid w:val="001B123A"/>
    <w:rsid w:val="001B12E0"/>
    <w:rsid w:val="001B14E8"/>
    <w:rsid w:val="001B23C9"/>
    <w:rsid w:val="001B25A2"/>
    <w:rsid w:val="001B2C80"/>
    <w:rsid w:val="001B2E38"/>
    <w:rsid w:val="001B3741"/>
    <w:rsid w:val="001B396B"/>
    <w:rsid w:val="001B4061"/>
    <w:rsid w:val="001B4165"/>
    <w:rsid w:val="001B4897"/>
    <w:rsid w:val="001B5817"/>
    <w:rsid w:val="001B5F1A"/>
    <w:rsid w:val="001B5F52"/>
    <w:rsid w:val="001B62AD"/>
    <w:rsid w:val="001B6878"/>
    <w:rsid w:val="001B695A"/>
    <w:rsid w:val="001B6BC1"/>
    <w:rsid w:val="001C0163"/>
    <w:rsid w:val="001C07AA"/>
    <w:rsid w:val="001C0C86"/>
    <w:rsid w:val="001C1299"/>
    <w:rsid w:val="001C1A84"/>
    <w:rsid w:val="001C1F8A"/>
    <w:rsid w:val="001C246D"/>
    <w:rsid w:val="001C2846"/>
    <w:rsid w:val="001C29AC"/>
    <w:rsid w:val="001C2A8D"/>
    <w:rsid w:val="001C2CD3"/>
    <w:rsid w:val="001C31E8"/>
    <w:rsid w:val="001C3A7E"/>
    <w:rsid w:val="001C4301"/>
    <w:rsid w:val="001C53DA"/>
    <w:rsid w:val="001C5979"/>
    <w:rsid w:val="001C65CB"/>
    <w:rsid w:val="001C6795"/>
    <w:rsid w:val="001C72E5"/>
    <w:rsid w:val="001C7D7E"/>
    <w:rsid w:val="001D03C2"/>
    <w:rsid w:val="001D04BD"/>
    <w:rsid w:val="001D0B39"/>
    <w:rsid w:val="001D0C8C"/>
    <w:rsid w:val="001D1383"/>
    <w:rsid w:val="001D254B"/>
    <w:rsid w:val="001D2BB4"/>
    <w:rsid w:val="001D2D5E"/>
    <w:rsid w:val="001D31AF"/>
    <w:rsid w:val="001D351A"/>
    <w:rsid w:val="001D37A6"/>
    <w:rsid w:val="001D3982"/>
    <w:rsid w:val="001D3BEF"/>
    <w:rsid w:val="001D469F"/>
    <w:rsid w:val="001D4E51"/>
    <w:rsid w:val="001D5609"/>
    <w:rsid w:val="001D62EC"/>
    <w:rsid w:val="001D698E"/>
    <w:rsid w:val="001D74AD"/>
    <w:rsid w:val="001E06FF"/>
    <w:rsid w:val="001E0E9C"/>
    <w:rsid w:val="001E4137"/>
    <w:rsid w:val="001E5B0E"/>
    <w:rsid w:val="001E5C84"/>
    <w:rsid w:val="001E5EB8"/>
    <w:rsid w:val="001E774E"/>
    <w:rsid w:val="001F0910"/>
    <w:rsid w:val="001F0B4D"/>
    <w:rsid w:val="001F0D2B"/>
    <w:rsid w:val="001F14F1"/>
    <w:rsid w:val="001F26BF"/>
    <w:rsid w:val="001F26F1"/>
    <w:rsid w:val="001F31F7"/>
    <w:rsid w:val="001F3908"/>
    <w:rsid w:val="001F3AC8"/>
    <w:rsid w:val="001F455B"/>
    <w:rsid w:val="001F6144"/>
    <w:rsid w:val="001F650C"/>
    <w:rsid w:val="001F68DA"/>
    <w:rsid w:val="001F6B1E"/>
    <w:rsid w:val="001F751B"/>
    <w:rsid w:val="00200047"/>
    <w:rsid w:val="0020065B"/>
    <w:rsid w:val="00200CFB"/>
    <w:rsid w:val="00201519"/>
    <w:rsid w:val="00201CC9"/>
    <w:rsid w:val="00201EC8"/>
    <w:rsid w:val="0020311E"/>
    <w:rsid w:val="00203223"/>
    <w:rsid w:val="002035D2"/>
    <w:rsid w:val="00204044"/>
    <w:rsid w:val="0020547C"/>
    <w:rsid w:val="00205482"/>
    <w:rsid w:val="002057BB"/>
    <w:rsid w:val="00207006"/>
    <w:rsid w:val="00207055"/>
    <w:rsid w:val="0021000B"/>
    <w:rsid w:val="002106C8"/>
    <w:rsid w:val="00210E1B"/>
    <w:rsid w:val="00210F69"/>
    <w:rsid w:val="0021118E"/>
    <w:rsid w:val="00211983"/>
    <w:rsid w:val="00211BBC"/>
    <w:rsid w:val="00212107"/>
    <w:rsid w:val="0021213D"/>
    <w:rsid w:val="002123E0"/>
    <w:rsid w:val="002127A9"/>
    <w:rsid w:val="002132A1"/>
    <w:rsid w:val="002134E8"/>
    <w:rsid w:val="00214228"/>
    <w:rsid w:val="0021438B"/>
    <w:rsid w:val="00216785"/>
    <w:rsid w:val="00216BFF"/>
    <w:rsid w:val="00216E83"/>
    <w:rsid w:val="00216FF3"/>
    <w:rsid w:val="00217F10"/>
    <w:rsid w:val="00217F76"/>
    <w:rsid w:val="00220120"/>
    <w:rsid w:val="00220F67"/>
    <w:rsid w:val="002211DE"/>
    <w:rsid w:val="002212E6"/>
    <w:rsid w:val="00221609"/>
    <w:rsid w:val="00221678"/>
    <w:rsid w:val="0022197F"/>
    <w:rsid w:val="00221A15"/>
    <w:rsid w:val="00222782"/>
    <w:rsid w:val="002229C7"/>
    <w:rsid w:val="00222AF4"/>
    <w:rsid w:val="00222F03"/>
    <w:rsid w:val="0022406E"/>
    <w:rsid w:val="00224E29"/>
    <w:rsid w:val="00225DD5"/>
    <w:rsid w:val="002265B8"/>
    <w:rsid w:val="002269C1"/>
    <w:rsid w:val="00226B20"/>
    <w:rsid w:val="0022726F"/>
    <w:rsid w:val="00227352"/>
    <w:rsid w:val="0022771A"/>
    <w:rsid w:val="00230CC3"/>
    <w:rsid w:val="00230E05"/>
    <w:rsid w:val="00231CB1"/>
    <w:rsid w:val="002321FF"/>
    <w:rsid w:val="00232421"/>
    <w:rsid w:val="002324AE"/>
    <w:rsid w:val="00233132"/>
    <w:rsid w:val="00233E7B"/>
    <w:rsid w:val="00234166"/>
    <w:rsid w:val="002348A3"/>
    <w:rsid w:val="002348C3"/>
    <w:rsid w:val="0023492A"/>
    <w:rsid w:val="002359FA"/>
    <w:rsid w:val="00235E92"/>
    <w:rsid w:val="002400EC"/>
    <w:rsid w:val="00240703"/>
    <w:rsid w:val="0024072E"/>
    <w:rsid w:val="0024075C"/>
    <w:rsid w:val="00240A34"/>
    <w:rsid w:val="00240B54"/>
    <w:rsid w:val="00240EA4"/>
    <w:rsid w:val="00240F09"/>
    <w:rsid w:val="0024106D"/>
    <w:rsid w:val="00241CF5"/>
    <w:rsid w:val="00242450"/>
    <w:rsid w:val="00242A84"/>
    <w:rsid w:val="00243332"/>
    <w:rsid w:val="00243802"/>
    <w:rsid w:val="00243C5E"/>
    <w:rsid w:val="00244327"/>
    <w:rsid w:val="002461AA"/>
    <w:rsid w:val="00246C01"/>
    <w:rsid w:val="0024701C"/>
    <w:rsid w:val="00247180"/>
    <w:rsid w:val="0024725D"/>
    <w:rsid w:val="00247518"/>
    <w:rsid w:val="002475D1"/>
    <w:rsid w:val="00250031"/>
    <w:rsid w:val="00250690"/>
    <w:rsid w:val="00251427"/>
    <w:rsid w:val="002514B9"/>
    <w:rsid w:val="00251BE3"/>
    <w:rsid w:val="00251C1B"/>
    <w:rsid w:val="00251E74"/>
    <w:rsid w:val="00252554"/>
    <w:rsid w:val="00252605"/>
    <w:rsid w:val="0025359B"/>
    <w:rsid w:val="002543EB"/>
    <w:rsid w:val="0025463B"/>
    <w:rsid w:val="002548B4"/>
    <w:rsid w:val="00254BE4"/>
    <w:rsid w:val="00254FA6"/>
    <w:rsid w:val="00255667"/>
    <w:rsid w:val="00255C09"/>
    <w:rsid w:val="002567C5"/>
    <w:rsid w:val="00256A4B"/>
    <w:rsid w:val="002574F0"/>
    <w:rsid w:val="00257DE1"/>
    <w:rsid w:val="00257EB7"/>
    <w:rsid w:val="002616EE"/>
    <w:rsid w:val="00263E6F"/>
    <w:rsid w:val="002641C6"/>
    <w:rsid w:val="00264325"/>
    <w:rsid w:val="0026489F"/>
    <w:rsid w:val="00264D4E"/>
    <w:rsid w:val="00265095"/>
    <w:rsid w:val="002656F4"/>
    <w:rsid w:val="00267FBA"/>
    <w:rsid w:val="00270E51"/>
    <w:rsid w:val="00270FEE"/>
    <w:rsid w:val="00271753"/>
    <w:rsid w:val="00273117"/>
    <w:rsid w:val="0027394F"/>
    <w:rsid w:val="00274074"/>
    <w:rsid w:val="00274B19"/>
    <w:rsid w:val="00274F2B"/>
    <w:rsid w:val="00276405"/>
    <w:rsid w:val="0027668E"/>
    <w:rsid w:val="002768FF"/>
    <w:rsid w:val="0027705E"/>
    <w:rsid w:val="0027758D"/>
    <w:rsid w:val="00280FBB"/>
    <w:rsid w:val="0028112A"/>
    <w:rsid w:val="00281C2E"/>
    <w:rsid w:val="00282091"/>
    <w:rsid w:val="00282106"/>
    <w:rsid w:val="00282380"/>
    <w:rsid w:val="00283245"/>
    <w:rsid w:val="00283A8B"/>
    <w:rsid w:val="00283AB6"/>
    <w:rsid w:val="00283BE8"/>
    <w:rsid w:val="00283D31"/>
    <w:rsid w:val="00284B76"/>
    <w:rsid w:val="00284BAE"/>
    <w:rsid w:val="00284C18"/>
    <w:rsid w:val="00286088"/>
    <w:rsid w:val="0028689F"/>
    <w:rsid w:val="00287F3D"/>
    <w:rsid w:val="00290320"/>
    <w:rsid w:val="00291C8F"/>
    <w:rsid w:val="002925F1"/>
    <w:rsid w:val="0029410F"/>
    <w:rsid w:val="002947D0"/>
    <w:rsid w:val="0029539E"/>
    <w:rsid w:val="002959CA"/>
    <w:rsid w:val="00295B43"/>
    <w:rsid w:val="002969D0"/>
    <w:rsid w:val="00297384"/>
    <w:rsid w:val="002A1AD7"/>
    <w:rsid w:val="002A1DC0"/>
    <w:rsid w:val="002A1F12"/>
    <w:rsid w:val="002A2032"/>
    <w:rsid w:val="002A3A2C"/>
    <w:rsid w:val="002A3B37"/>
    <w:rsid w:val="002A3BC7"/>
    <w:rsid w:val="002A3CAB"/>
    <w:rsid w:val="002A4CA6"/>
    <w:rsid w:val="002A5C16"/>
    <w:rsid w:val="002A5E7B"/>
    <w:rsid w:val="002A6305"/>
    <w:rsid w:val="002A6A96"/>
    <w:rsid w:val="002A7E3B"/>
    <w:rsid w:val="002B03E1"/>
    <w:rsid w:val="002B0C36"/>
    <w:rsid w:val="002B0C84"/>
    <w:rsid w:val="002B1FCE"/>
    <w:rsid w:val="002B2660"/>
    <w:rsid w:val="002B2971"/>
    <w:rsid w:val="002B3320"/>
    <w:rsid w:val="002B387B"/>
    <w:rsid w:val="002B3A0A"/>
    <w:rsid w:val="002B3FCB"/>
    <w:rsid w:val="002B493F"/>
    <w:rsid w:val="002B4B50"/>
    <w:rsid w:val="002B54E7"/>
    <w:rsid w:val="002B5CDB"/>
    <w:rsid w:val="002B612E"/>
    <w:rsid w:val="002B61C5"/>
    <w:rsid w:val="002B6746"/>
    <w:rsid w:val="002B70E6"/>
    <w:rsid w:val="002B758F"/>
    <w:rsid w:val="002C01FE"/>
    <w:rsid w:val="002C02C5"/>
    <w:rsid w:val="002C0782"/>
    <w:rsid w:val="002C0D21"/>
    <w:rsid w:val="002C12BC"/>
    <w:rsid w:val="002C1EB2"/>
    <w:rsid w:val="002C1FE8"/>
    <w:rsid w:val="002C206D"/>
    <w:rsid w:val="002C207E"/>
    <w:rsid w:val="002C2699"/>
    <w:rsid w:val="002C2C09"/>
    <w:rsid w:val="002C556B"/>
    <w:rsid w:val="002C6E15"/>
    <w:rsid w:val="002C7CD2"/>
    <w:rsid w:val="002D066B"/>
    <w:rsid w:val="002D086F"/>
    <w:rsid w:val="002D0D59"/>
    <w:rsid w:val="002D0EB0"/>
    <w:rsid w:val="002D2D34"/>
    <w:rsid w:val="002D35E6"/>
    <w:rsid w:val="002D36D6"/>
    <w:rsid w:val="002D4C04"/>
    <w:rsid w:val="002D4FC8"/>
    <w:rsid w:val="002D6E65"/>
    <w:rsid w:val="002D76AB"/>
    <w:rsid w:val="002E09F2"/>
    <w:rsid w:val="002E0F86"/>
    <w:rsid w:val="002E0FC9"/>
    <w:rsid w:val="002E1909"/>
    <w:rsid w:val="002E1EE7"/>
    <w:rsid w:val="002E2577"/>
    <w:rsid w:val="002E280B"/>
    <w:rsid w:val="002E30CD"/>
    <w:rsid w:val="002E3BEB"/>
    <w:rsid w:val="002E4807"/>
    <w:rsid w:val="002E6C0B"/>
    <w:rsid w:val="002F0DEF"/>
    <w:rsid w:val="002F102E"/>
    <w:rsid w:val="002F1450"/>
    <w:rsid w:val="002F30DB"/>
    <w:rsid w:val="002F33BD"/>
    <w:rsid w:val="002F48B4"/>
    <w:rsid w:val="002F599B"/>
    <w:rsid w:val="002F5DE3"/>
    <w:rsid w:val="002F67FB"/>
    <w:rsid w:val="002F779B"/>
    <w:rsid w:val="002F7BBC"/>
    <w:rsid w:val="00300A38"/>
    <w:rsid w:val="00301B05"/>
    <w:rsid w:val="003023E4"/>
    <w:rsid w:val="003026A5"/>
    <w:rsid w:val="00302BCB"/>
    <w:rsid w:val="00303C02"/>
    <w:rsid w:val="00303C23"/>
    <w:rsid w:val="00303C74"/>
    <w:rsid w:val="00304342"/>
    <w:rsid w:val="00304549"/>
    <w:rsid w:val="003049A5"/>
    <w:rsid w:val="00304E83"/>
    <w:rsid w:val="00304EC7"/>
    <w:rsid w:val="0030540A"/>
    <w:rsid w:val="00305EE4"/>
    <w:rsid w:val="0030601C"/>
    <w:rsid w:val="003065B9"/>
    <w:rsid w:val="00306677"/>
    <w:rsid w:val="00306B1D"/>
    <w:rsid w:val="00306CA7"/>
    <w:rsid w:val="00307729"/>
    <w:rsid w:val="003077C5"/>
    <w:rsid w:val="00307B40"/>
    <w:rsid w:val="00307B64"/>
    <w:rsid w:val="00307B82"/>
    <w:rsid w:val="00307E2F"/>
    <w:rsid w:val="0031039E"/>
    <w:rsid w:val="00310851"/>
    <w:rsid w:val="00310AFE"/>
    <w:rsid w:val="00310D19"/>
    <w:rsid w:val="00311B54"/>
    <w:rsid w:val="00311C47"/>
    <w:rsid w:val="0031245E"/>
    <w:rsid w:val="003124CE"/>
    <w:rsid w:val="00313A8B"/>
    <w:rsid w:val="00314AE2"/>
    <w:rsid w:val="00315617"/>
    <w:rsid w:val="00316548"/>
    <w:rsid w:val="003168AB"/>
    <w:rsid w:val="0031778D"/>
    <w:rsid w:val="003206AE"/>
    <w:rsid w:val="00320909"/>
    <w:rsid w:val="003218A8"/>
    <w:rsid w:val="003226F1"/>
    <w:rsid w:val="003227DF"/>
    <w:rsid w:val="00322B9D"/>
    <w:rsid w:val="00324F4D"/>
    <w:rsid w:val="00325767"/>
    <w:rsid w:val="003265C2"/>
    <w:rsid w:val="00331990"/>
    <w:rsid w:val="00331BE5"/>
    <w:rsid w:val="00333D92"/>
    <w:rsid w:val="00333E21"/>
    <w:rsid w:val="00334570"/>
    <w:rsid w:val="0033516E"/>
    <w:rsid w:val="00335963"/>
    <w:rsid w:val="00336AB2"/>
    <w:rsid w:val="00337C52"/>
    <w:rsid w:val="003402BC"/>
    <w:rsid w:val="0034086B"/>
    <w:rsid w:val="00341EC2"/>
    <w:rsid w:val="00342CFF"/>
    <w:rsid w:val="00343773"/>
    <w:rsid w:val="00343AB6"/>
    <w:rsid w:val="00343E59"/>
    <w:rsid w:val="00343FB5"/>
    <w:rsid w:val="00345155"/>
    <w:rsid w:val="0034579D"/>
    <w:rsid w:val="00345CCC"/>
    <w:rsid w:val="003466E5"/>
    <w:rsid w:val="00346A7B"/>
    <w:rsid w:val="003470A9"/>
    <w:rsid w:val="0034745C"/>
    <w:rsid w:val="00347E48"/>
    <w:rsid w:val="00347ECE"/>
    <w:rsid w:val="003502D6"/>
    <w:rsid w:val="0035050B"/>
    <w:rsid w:val="00350BD7"/>
    <w:rsid w:val="0035121A"/>
    <w:rsid w:val="00351265"/>
    <w:rsid w:val="00352187"/>
    <w:rsid w:val="0035233D"/>
    <w:rsid w:val="00352D33"/>
    <w:rsid w:val="00353946"/>
    <w:rsid w:val="00353C63"/>
    <w:rsid w:val="00353F4C"/>
    <w:rsid w:val="00354898"/>
    <w:rsid w:val="0035565A"/>
    <w:rsid w:val="00355D6B"/>
    <w:rsid w:val="00356C75"/>
    <w:rsid w:val="00357A54"/>
    <w:rsid w:val="00357C4A"/>
    <w:rsid w:val="00357E87"/>
    <w:rsid w:val="003601C5"/>
    <w:rsid w:val="003614D8"/>
    <w:rsid w:val="0036159E"/>
    <w:rsid w:val="00361901"/>
    <w:rsid w:val="00363186"/>
    <w:rsid w:val="00363464"/>
    <w:rsid w:val="00363AEC"/>
    <w:rsid w:val="00364695"/>
    <w:rsid w:val="00364A6E"/>
    <w:rsid w:val="00364ACC"/>
    <w:rsid w:val="00364EAF"/>
    <w:rsid w:val="003652D5"/>
    <w:rsid w:val="00365AB0"/>
    <w:rsid w:val="003660FC"/>
    <w:rsid w:val="0036614B"/>
    <w:rsid w:val="003668CC"/>
    <w:rsid w:val="00366B53"/>
    <w:rsid w:val="003670EF"/>
    <w:rsid w:val="00367A7A"/>
    <w:rsid w:val="00367E58"/>
    <w:rsid w:val="00370FF4"/>
    <w:rsid w:val="003719B3"/>
    <w:rsid w:val="00371B60"/>
    <w:rsid w:val="0037256C"/>
    <w:rsid w:val="00372CB1"/>
    <w:rsid w:val="00372DA3"/>
    <w:rsid w:val="00373D48"/>
    <w:rsid w:val="00373F6A"/>
    <w:rsid w:val="003743F8"/>
    <w:rsid w:val="00374652"/>
    <w:rsid w:val="00374B7F"/>
    <w:rsid w:val="00374C9F"/>
    <w:rsid w:val="0037546E"/>
    <w:rsid w:val="003757DD"/>
    <w:rsid w:val="0038052E"/>
    <w:rsid w:val="00380B98"/>
    <w:rsid w:val="00380F0D"/>
    <w:rsid w:val="00380FAC"/>
    <w:rsid w:val="003810F9"/>
    <w:rsid w:val="00381BD6"/>
    <w:rsid w:val="00381C93"/>
    <w:rsid w:val="00382885"/>
    <w:rsid w:val="00382925"/>
    <w:rsid w:val="00382B72"/>
    <w:rsid w:val="00383804"/>
    <w:rsid w:val="00384157"/>
    <w:rsid w:val="00384667"/>
    <w:rsid w:val="003855A9"/>
    <w:rsid w:val="00385C67"/>
    <w:rsid w:val="00385E22"/>
    <w:rsid w:val="00386983"/>
    <w:rsid w:val="00386E1C"/>
    <w:rsid w:val="00387414"/>
    <w:rsid w:val="00392594"/>
    <w:rsid w:val="00392C59"/>
    <w:rsid w:val="00392CEC"/>
    <w:rsid w:val="00393269"/>
    <w:rsid w:val="00393525"/>
    <w:rsid w:val="00393B31"/>
    <w:rsid w:val="00394390"/>
    <w:rsid w:val="003949AA"/>
    <w:rsid w:val="00395726"/>
    <w:rsid w:val="003958FF"/>
    <w:rsid w:val="00395BB7"/>
    <w:rsid w:val="003A0364"/>
    <w:rsid w:val="003A0906"/>
    <w:rsid w:val="003A15A8"/>
    <w:rsid w:val="003A1681"/>
    <w:rsid w:val="003A205B"/>
    <w:rsid w:val="003A2166"/>
    <w:rsid w:val="003A330E"/>
    <w:rsid w:val="003A510D"/>
    <w:rsid w:val="003A5162"/>
    <w:rsid w:val="003A5378"/>
    <w:rsid w:val="003A5482"/>
    <w:rsid w:val="003A56BD"/>
    <w:rsid w:val="003A5C03"/>
    <w:rsid w:val="003A6D2B"/>
    <w:rsid w:val="003A7283"/>
    <w:rsid w:val="003A7BA8"/>
    <w:rsid w:val="003B1D13"/>
    <w:rsid w:val="003B2B7E"/>
    <w:rsid w:val="003B34BB"/>
    <w:rsid w:val="003B3810"/>
    <w:rsid w:val="003B46F0"/>
    <w:rsid w:val="003B4DC6"/>
    <w:rsid w:val="003C03F6"/>
    <w:rsid w:val="003C168C"/>
    <w:rsid w:val="003C187E"/>
    <w:rsid w:val="003C18C9"/>
    <w:rsid w:val="003C315E"/>
    <w:rsid w:val="003C346A"/>
    <w:rsid w:val="003C3D4A"/>
    <w:rsid w:val="003C4858"/>
    <w:rsid w:val="003C51BD"/>
    <w:rsid w:val="003C5487"/>
    <w:rsid w:val="003C54D5"/>
    <w:rsid w:val="003C5592"/>
    <w:rsid w:val="003C59C2"/>
    <w:rsid w:val="003C6FAB"/>
    <w:rsid w:val="003C755C"/>
    <w:rsid w:val="003C7E37"/>
    <w:rsid w:val="003D0E32"/>
    <w:rsid w:val="003D0F95"/>
    <w:rsid w:val="003D1C55"/>
    <w:rsid w:val="003D265E"/>
    <w:rsid w:val="003D50AC"/>
    <w:rsid w:val="003D54AE"/>
    <w:rsid w:val="003D5625"/>
    <w:rsid w:val="003D6171"/>
    <w:rsid w:val="003D6299"/>
    <w:rsid w:val="003D6A13"/>
    <w:rsid w:val="003D769F"/>
    <w:rsid w:val="003E051B"/>
    <w:rsid w:val="003E06A2"/>
    <w:rsid w:val="003E0B34"/>
    <w:rsid w:val="003E0F20"/>
    <w:rsid w:val="003E3145"/>
    <w:rsid w:val="003E31D7"/>
    <w:rsid w:val="003E3726"/>
    <w:rsid w:val="003E389F"/>
    <w:rsid w:val="003E3978"/>
    <w:rsid w:val="003E39B1"/>
    <w:rsid w:val="003E4019"/>
    <w:rsid w:val="003E4A74"/>
    <w:rsid w:val="003E5A0E"/>
    <w:rsid w:val="003E5FA4"/>
    <w:rsid w:val="003E6C06"/>
    <w:rsid w:val="003E713F"/>
    <w:rsid w:val="003E73BF"/>
    <w:rsid w:val="003E7859"/>
    <w:rsid w:val="003E7D2D"/>
    <w:rsid w:val="003F0DF4"/>
    <w:rsid w:val="003F1D36"/>
    <w:rsid w:val="003F1E53"/>
    <w:rsid w:val="003F25A6"/>
    <w:rsid w:val="003F2887"/>
    <w:rsid w:val="003F2C9C"/>
    <w:rsid w:val="003F3729"/>
    <w:rsid w:val="003F3827"/>
    <w:rsid w:val="003F4768"/>
    <w:rsid w:val="003F4DFD"/>
    <w:rsid w:val="003F5564"/>
    <w:rsid w:val="003F5816"/>
    <w:rsid w:val="003F605F"/>
    <w:rsid w:val="003F724A"/>
    <w:rsid w:val="003F72C1"/>
    <w:rsid w:val="003F7D64"/>
    <w:rsid w:val="00400653"/>
    <w:rsid w:val="004015FD"/>
    <w:rsid w:val="004025A1"/>
    <w:rsid w:val="004025BF"/>
    <w:rsid w:val="0040284F"/>
    <w:rsid w:val="00402A54"/>
    <w:rsid w:val="00403044"/>
    <w:rsid w:val="0040315F"/>
    <w:rsid w:val="00403384"/>
    <w:rsid w:val="00403518"/>
    <w:rsid w:val="00403932"/>
    <w:rsid w:val="004045A7"/>
    <w:rsid w:val="00404F0D"/>
    <w:rsid w:val="00405084"/>
    <w:rsid w:val="004050DE"/>
    <w:rsid w:val="00405DAB"/>
    <w:rsid w:val="00405E4B"/>
    <w:rsid w:val="00406571"/>
    <w:rsid w:val="0041076B"/>
    <w:rsid w:val="0041085E"/>
    <w:rsid w:val="0041214F"/>
    <w:rsid w:val="00412212"/>
    <w:rsid w:val="00412350"/>
    <w:rsid w:val="004126A4"/>
    <w:rsid w:val="00413EE4"/>
    <w:rsid w:val="00413F17"/>
    <w:rsid w:val="00414674"/>
    <w:rsid w:val="00414B4C"/>
    <w:rsid w:val="004151A6"/>
    <w:rsid w:val="004155BD"/>
    <w:rsid w:val="00415C88"/>
    <w:rsid w:val="00416AF9"/>
    <w:rsid w:val="00417538"/>
    <w:rsid w:val="004179F8"/>
    <w:rsid w:val="00417D22"/>
    <w:rsid w:val="0042010B"/>
    <w:rsid w:val="0042072D"/>
    <w:rsid w:val="0042130D"/>
    <w:rsid w:val="00421DAC"/>
    <w:rsid w:val="00423B86"/>
    <w:rsid w:val="004241FA"/>
    <w:rsid w:val="004265AE"/>
    <w:rsid w:val="00426CF6"/>
    <w:rsid w:val="004301E3"/>
    <w:rsid w:val="004306DB"/>
    <w:rsid w:val="00430F18"/>
    <w:rsid w:val="00430F3D"/>
    <w:rsid w:val="004313D2"/>
    <w:rsid w:val="00431848"/>
    <w:rsid w:val="004318DD"/>
    <w:rsid w:val="00431BB2"/>
    <w:rsid w:val="0043214C"/>
    <w:rsid w:val="004323CA"/>
    <w:rsid w:val="004330F9"/>
    <w:rsid w:val="0043484A"/>
    <w:rsid w:val="004349EC"/>
    <w:rsid w:val="00436440"/>
    <w:rsid w:val="0043730C"/>
    <w:rsid w:val="0043732C"/>
    <w:rsid w:val="00437D99"/>
    <w:rsid w:val="004415B4"/>
    <w:rsid w:val="0044465E"/>
    <w:rsid w:val="00444A65"/>
    <w:rsid w:val="00444A72"/>
    <w:rsid w:val="00444CA6"/>
    <w:rsid w:val="00446055"/>
    <w:rsid w:val="00446934"/>
    <w:rsid w:val="004476F9"/>
    <w:rsid w:val="00450541"/>
    <w:rsid w:val="0045066F"/>
    <w:rsid w:val="004508A6"/>
    <w:rsid w:val="00451715"/>
    <w:rsid w:val="004524E9"/>
    <w:rsid w:val="00453566"/>
    <w:rsid w:val="0045597F"/>
    <w:rsid w:val="004559FC"/>
    <w:rsid w:val="00455BB1"/>
    <w:rsid w:val="00456899"/>
    <w:rsid w:val="00457496"/>
    <w:rsid w:val="00460125"/>
    <w:rsid w:val="004604E7"/>
    <w:rsid w:val="00460D07"/>
    <w:rsid w:val="0046117B"/>
    <w:rsid w:val="00462368"/>
    <w:rsid w:val="00463ABC"/>
    <w:rsid w:val="00464027"/>
    <w:rsid w:val="0046467D"/>
    <w:rsid w:val="004648A1"/>
    <w:rsid w:val="0046568C"/>
    <w:rsid w:val="004659BF"/>
    <w:rsid w:val="00465B06"/>
    <w:rsid w:val="00466459"/>
    <w:rsid w:val="00466CF3"/>
    <w:rsid w:val="00471002"/>
    <w:rsid w:val="004710B3"/>
    <w:rsid w:val="004718FC"/>
    <w:rsid w:val="00471A49"/>
    <w:rsid w:val="00472085"/>
    <w:rsid w:val="004721CA"/>
    <w:rsid w:val="00472ACF"/>
    <w:rsid w:val="00473FE9"/>
    <w:rsid w:val="004748FB"/>
    <w:rsid w:val="004757CA"/>
    <w:rsid w:val="00476FF8"/>
    <w:rsid w:val="0048174C"/>
    <w:rsid w:val="00481DC1"/>
    <w:rsid w:val="00482104"/>
    <w:rsid w:val="0048310C"/>
    <w:rsid w:val="0048371B"/>
    <w:rsid w:val="004838CF"/>
    <w:rsid w:val="004842EC"/>
    <w:rsid w:val="0048430E"/>
    <w:rsid w:val="0048455F"/>
    <w:rsid w:val="00484D5C"/>
    <w:rsid w:val="00485181"/>
    <w:rsid w:val="00485DAF"/>
    <w:rsid w:val="004868FA"/>
    <w:rsid w:val="00486B30"/>
    <w:rsid w:val="0049046E"/>
    <w:rsid w:val="004904A2"/>
    <w:rsid w:val="00491305"/>
    <w:rsid w:val="00491C13"/>
    <w:rsid w:val="0049280D"/>
    <w:rsid w:val="00493FA8"/>
    <w:rsid w:val="00494921"/>
    <w:rsid w:val="00494AC8"/>
    <w:rsid w:val="004950EB"/>
    <w:rsid w:val="0049587C"/>
    <w:rsid w:val="00495C61"/>
    <w:rsid w:val="004976F0"/>
    <w:rsid w:val="00497722"/>
    <w:rsid w:val="00497E6C"/>
    <w:rsid w:val="00497FE8"/>
    <w:rsid w:val="004A10BB"/>
    <w:rsid w:val="004A1275"/>
    <w:rsid w:val="004A13A3"/>
    <w:rsid w:val="004A1BC0"/>
    <w:rsid w:val="004A244B"/>
    <w:rsid w:val="004A33A1"/>
    <w:rsid w:val="004A3DCD"/>
    <w:rsid w:val="004A434F"/>
    <w:rsid w:val="004A47D4"/>
    <w:rsid w:val="004A5CE7"/>
    <w:rsid w:val="004A5F7E"/>
    <w:rsid w:val="004A6247"/>
    <w:rsid w:val="004A6D9F"/>
    <w:rsid w:val="004A77CE"/>
    <w:rsid w:val="004A7A1C"/>
    <w:rsid w:val="004A7B19"/>
    <w:rsid w:val="004A7EEE"/>
    <w:rsid w:val="004B0EFB"/>
    <w:rsid w:val="004B14F0"/>
    <w:rsid w:val="004B17FF"/>
    <w:rsid w:val="004B19F2"/>
    <w:rsid w:val="004B360C"/>
    <w:rsid w:val="004B3927"/>
    <w:rsid w:val="004B3941"/>
    <w:rsid w:val="004B4226"/>
    <w:rsid w:val="004B49C8"/>
    <w:rsid w:val="004B51ED"/>
    <w:rsid w:val="004B57BF"/>
    <w:rsid w:val="004B5BDF"/>
    <w:rsid w:val="004B5EC8"/>
    <w:rsid w:val="004B603D"/>
    <w:rsid w:val="004B697A"/>
    <w:rsid w:val="004B709E"/>
    <w:rsid w:val="004B78F8"/>
    <w:rsid w:val="004B7B59"/>
    <w:rsid w:val="004C000A"/>
    <w:rsid w:val="004C118B"/>
    <w:rsid w:val="004C12E8"/>
    <w:rsid w:val="004C1BFA"/>
    <w:rsid w:val="004C24D3"/>
    <w:rsid w:val="004C2698"/>
    <w:rsid w:val="004C2A3E"/>
    <w:rsid w:val="004C4501"/>
    <w:rsid w:val="004C6762"/>
    <w:rsid w:val="004C6C75"/>
    <w:rsid w:val="004C74A7"/>
    <w:rsid w:val="004C7A5E"/>
    <w:rsid w:val="004C7C2E"/>
    <w:rsid w:val="004D06F2"/>
    <w:rsid w:val="004D0723"/>
    <w:rsid w:val="004D0E03"/>
    <w:rsid w:val="004D2BAE"/>
    <w:rsid w:val="004D3D2F"/>
    <w:rsid w:val="004D40D1"/>
    <w:rsid w:val="004D4887"/>
    <w:rsid w:val="004D48DD"/>
    <w:rsid w:val="004D5C5F"/>
    <w:rsid w:val="004D5EE6"/>
    <w:rsid w:val="004D6DE8"/>
    <w:rsid w:val="004D7583"/>
    <w:rsid w:val="004D7653"/>
    <w:rsid w:val="004D779C"/>
    <w:rsid w:val="004E03D5"/>
    <w:rsid w:val="004E04C9"/>
    <w:rsid w:val="004E0899"/>
    <w:rsid w:val="004E1280"/>
    <w:rsid w:val="004E15A1"/>
    <w:rsid w:val="004E4E19"/>
    <w:rsid w:val="004E5847"/>
    <w:rsid w:val="004E66E7"/>
    <w:rsid w:val="004F01E1"/>
    <w:rsid w:val="004F0403"/>
    <w:rsid w:val="004F0D42"/>
    <w:rsid w:val="004F174C"/>
    <w:rsid w:val="004F1C7C"/>
    <w:rsid w:val="004F287D"/>
    <w:rsid w:val="004F2DA4"/>
    <w:rsid w:val="004F3981"/>
    <w:rsid w:val="004F441E"/>
    <w:rsid w:val="004F5175"/>
    <w:rsid w:val="004F55DB"/>
    <w:rsid w:val="004F56DB"/>
    <w:rsid w:val="004F7CC0"/>
    <w:rsid w:val="00500828"/>
    <w:rsid w:val="0050086A"/>
    <w:rsid w:val="00500E0A"/>
    <w:rsid w:val="00501476"/>
    <w:rsid w:val="005025C3"/>
    <w:rsid w:val="00502CDD"/>
    <w:rsid w:val="00503137"/>
    <w:rsid w:val="00503E53"/>
    <w:rsid w:val="00504292"/>
    <w:rsid w:val="00504A52"/>
    <w:rsid w:val="00505181"/>
    <w:rsid w:val="00506819"/>
    <w:rsid w:val="00507090"/>
    <w:rsid w:val="005072FA"/>
    <w:rsid w:val="00507E98"/>
    <w:rsid w:val="00510569"/>
    <w:rsid w:val="0051238F"/>
    <w:rsid w:val="00512A30"/>
    <w:rsid w:val="00513902"/>
    <w:rsid w:val="0051406F"/>
    <w:rsid w:val="00514161"/>
    <w:rsid w:val="005142D7"/>
    <w:rsid w:val="00514BA6"/>
    <w:rsid w:val="00515B3F"/>
    <w:rsid w:val="00516532"/>
    <w:rsid w:val="005201DB"/>
    <w:rsid w:val="00520A87"/>
    <w:rsid w:val="00520C84"/>
    <w:rsid w:val="0052106A"/>
    <w:rsid w:val="005211BA"/>
    <w:rsid w:val="0052326C"/>
    <w:rsid w:val="00523B92"/>
    <w:rsid w:val="00523FA3"/>
    <w:rsid w:val="005251BF"/>
    <w:rsid w:val="00525A07"/>
    <w:rsid w:val="00525AD8"/>
    <w:rsid w:val="005260A3"/>
    <w:rsid w:val="0052763E"/>
    <w:rsid w:val="0053037B"/>
    <w:rsid w:val="00531155"/>
    <w:rsid w:val="0053202C"/>
    <w:rsid w:val="005324AC"/>
    <w:rsid w:val="00532585"/>
    <w:rsid w:val="00532C2C"/>
    <w:rsid w:val="00532D91"/>
    <w:rsid w:val="005331CE"/>
    <w:rsid w:val="00533BE3"/>
    <w:rsid w:val="00534EAB"/>
    <w:rsid w:val="00536DA7"/>
    <w:rsid w:val="0053754F"/>
    <w:rsid w:val="005379AA"/>
    <w:rsid w:val="00537C20"/>
    <w:rsid w:val="00537CB4"/>
    <w:rsid w:val="00537D0D"/>
    <w:rsid w:val="00540328"/>
    <w:rsid w:val="005406BD"/>
    <w:rsid w:val="00540899"/>
    <w:rsid w:val="005415F3"/>
    <w:rsid w:val="00541990"/>
    <w:rsid w:val="00541D68"/>
    <w:rsid w:val="00542453"/>
    <w:rsid w:val="00542C97"/>
    <w:rsid w:val="00542E2F"/>
    <w:rsid w:val="00544107"/>
    <w:rsid w:val="0054450E"/>
    <w:rsid w:val="00544FE4"/>
    <w:rsid w:val="005450F9"/>
    <w:rsid w:val="005454F6"/>
    <w:rsid w:val="00545C5E"/>
    <w:rsid w:val="00545DDA"/>
    <w:rsid w:val="00546037"/>
    <w:rsid w:val="00546457"/>
    <w:rsid w:val="00550E10"/>
    <w:rsid w:val="005514C5"/>
    <w:rsid w:val="005516EC"/>
    <w:rsid w:val="005518E7"/>
    <w:rsid w:val="00551D4C"/>
    <w:rsid w:val="00552B4E"/>
    <w:rsid w:val="00552BC5"/>
    <w:rsid w:val="00554348"/>
    <w:rsid w:val="00554371"/>
    <w:rsid w:val="00554CFF"/>
    <w:rsid w:val="00554FD9"/>
    <w:rsid w:val="00555196"/>
    <w:rsid w:val="00555416"/>
    <w:rsid w:val="00555B6E"/>
    <w:rsid w:val="00556D7F"/>
    <w:rsid w:val="00557F91"/>
    <w:rsid w:val="00560BDF"/>
    <w:rsid w:val="00561C79"/>
    <w:rsid w:val="0056211A"/>
    <w:rsid w:val="00562C45"/>
    <w:rsid w:val="00562DC5"/>
    <w:rsid w:val="0056369B"/>
    <w:rsid w:val="0056375E"/>
    <w:rsid w:val="005649CB"/>
    <w:rsid w:val="00565AC4"/>
    <w:rsid w:val="00565DB7"/>
    <w:rsid w:val="00565FB7"/>
    <w:rsid w:val="0056625E"/>
    <w:rsid w:val="0056631E"/>
    <w:rsid w:val="00566B4F"/>
    <w:rsid w:val="00566D7A"/>
    <w:rsid w:val="00570345"/>
    <w:rsid w:val="00570D67"/>
    <w:rsid w:val="005715A1"/>
    <w:rsid w:val="005726B7"/>
    <w:rsid w:val="005727A9"/>
    <w:rsid w:val="00572864"/>
    <w:rsid w:val="00572B7B"/>
    <w:rsid w:val="00572EB7"/>
    <w:rsid w:val="0057362D"/>
    <w:rsid w:val="005747A7"/>
    <w:rsid w:val="005747C7"/>
    <w:rsid w:val="00575537"/>
    <w:rsid w:val="00575F1A"/>
    <w:rsid w:val="005760E0"/>
    <w:rsid w:val="00576833"/>
    <w:rsid w:val="00576F50"/>
    <w:rsid w:val="0057716F"/>
    <w:rsid w:val="0057734E"/>
    <w:rsid w:val="005777B8"/>
    <w:rsid w:val="00577C95"/>
    <w:rsid w:val="00577D0B"/>
    <w:rsid w:val="00577D52"/>
    <w:rsid w:val="00580078"/>
    <w:rsid w:val="00580315"/>
    <w:rsid w:val="00581481"/>
    <w:rsid w:val="00581C83"/>
    <w:rsid w:val="00583CD6"/>
    <w:rsid w:val="00583CFA"/>
    <w:rsid w:val="00583E8A"/>
    <w:rsid w:val="00583F95"/>
    <w:rsid w:val="00585584"/>
    <w:rsid w:val="005856B6"/>
    <w:rsid w:val="00585B52"/>
    <w:rsid w:val="00587E1C"/>
    <w:rsid w:val="00587F6B"/>
    <w:rsid w:val="00590002"/>
    <w:rsid w:val="005901CA"/>
    <w:rsid w:val="005903BE"/>
    <w:rsid w:val="005903C0"/>
    <w:rsid w:val="005908CC"/>
    <w:rsid w:val="005909B1"/>
    <w:rsid w:val="00590F5D"/>
    <w:rsid w:val="005916B8"/>
    <w:rsid w:val="00591799"/>
    <w:rsid w:val="005939E7"/>
    <w:rsid w:val="00593CF5"/>
    <w:rsid w:val="005944F2"/>
    <w:rsid w:val="00595A5D"/>
    <w:rsid w:val="00595EE0"/>
    <w:rsid w:val="0059637E"/>
    <w:rsid w:val="00597550"/>
    <w:rsid w:val="005A028C"/>
    <w:rsid w:val="005A17E7"/>
    <w:rsid w:val="005A24B3"/>
    <w:rsid w:val="005A25C7"/>
    <w:rsid w:val="005A284E"/>
    <w:rsid w:val="005A338F"/>
    <w:rsid w:val="005A33C0"/>
    <w:rsid w:val="005A4205"/>
    <w:rsid w:val="005A4285"/>
    <w:rsid w:val="005A4820"/>
    <w:rsid w:val="005A4B22"/>
    <w:rsid w:val="005A58C8"/>
    <w:rsid w:val="005A5A58"/>
    <w:rsid w:val="005A7068"/>
    <w:rsid w:val="005A73D1"/>
    <w:rsid w:val="005A7D18"/>
    <w:rsid w:val="005B0E5E"/>
    <w:rsid w:val="005B1263"/>
    <w:rsid w:val="005B185B"/>
    <w:rsid w:val="005B1D96"/>
    <w:rsid w:val="005B2718"/>
    <w:rsid w:val="005B36BD"/>
    <w:rsid w:val="005B3CDB"/>
    <w:rsid w:val="005B3D6A"/>
    <w:rsid w:val="005B4534"/>
    <w:rsid w:val="005B6FE4"/>
    <w:rsid w:val="005B7389"/>
    <w:rsid w:val="005B7EA6"/>
    <w:rsid w:val="005C00BC"/>
    <w:rsid w:val="005C02FE"/>
    <w:rsid w:val="005C0826"/>
    <w:rsid w:val="005C0A88"/>
    <w:rsid w:val="005C0CBD"/>
    <w:rsid w:val="005C0F57"/>
    <w:rsid w:val="005C1976"/>
    <w:rsid w:val="005C1B65"/>
    <w:rsid w:val="005C1CE0"/>
    <w:rsid w:val="005C238D"/>
    <w:rsid w:val="005C2D00"/>
    <w:rsid w:val="005C2D62"/>
    <w:rsid w:val="005C3F04"/>
    <w:rsid w:val="005C42A1"/>
    <w:rsid w:val="005C53AA"/>
    <w:rsid w:val="005C618A"/>
    <w:rsid w:val="005C64C6"/>
    <w:rsid w:val="005C6F65"/>
    <w:rsid w:val="005C7532"/>
    <w:rsid w:val="005D1385"/>
    <w:rsid w:val="005D1438"/>
    <w:rsid w:val="005D2B68"/>
    <w:rsid w:val="005D2CB0"/>
    <w:rsid w:val="005D315F"/>
    <w:rsid w:val="005D35FF"/>
    <w:rsid w:val="005D361B"/>
    <w:rsid w:val="005D3E05"/>
    <w:rsid w:val="005D4474"/>
    <w:rsid w:val="005D5306"/>
    <w:rsid w:val="005D5593"/>
    <w:rsid w:val="005D69E4"/>
    <w:rsid w:val="005D6F71"/>
    <w:rsid w:val="005D759B"/>
    <w:rsid w:val="005D7864"/>
    <w:rsid w:val="005D78F6"/>
    <w:rsid w:val="005E0331"/>
    <w:rsid w:val="005E0C46"/>
    <w:rsid w:val="005E0CAF"/>
    <w:rsid w:val="005E12C8"/>
    <w:rsid w:val="005E1310"/>
    <w:rsid w:val="005E1CA0"/>
    <w:rsid w:val="005E1EC5"/>
    <w:rsid w:val="005E1FDC"/>
    <w:rsid w:val="005E312F"/>
    <w:rsid w:val="005E32B9"/>
    <w:rsid w:val="005E3BB3"/>
    <w:rsid w:val="005E49CC"/>
    <w:rsid w:val="005E4F4F"/>
    <w:rsid w:val="005E527A"/>
    <w:rsid w:val="005E644F"/>
    <w:rsid w:val="005E64A3"/>
    <w:rsid w:val="005E6969"/>
    <w:rsid w:val="005E6ADE"/>
    <w:rsid w:val="005E7647"/>
    <w:rsid w:val="005F137A"/>
    <w:rsid w:val="005F2CBF"/>
    <w:rsid w:val="005F3286"/>
    <w:rsid w:val="005F347F"/>
    <w:rsid w:val="005F4154"/>
    <w:rsid w:val="005F4961"/>
    <w:rsid w:val="005F4C7D"/>
    <w:rsid w:val="005F53F0"/>
    <w:rsid w:val="005F66F8"/>
    <w:rsid w:val="005F67D8"/>
    <w:rsid w:val="005F6D70"/>
    <w:rsid w:val="005F7B31"/>
    <w:rsid w:val="00600F1E"/>
    <w:rsid w:val="0060197B"/>
    <w:rsid w:val="00603A13"/>
    <w:rsid w:val="00603CC3"/>
    <w:rsid w:val="00603DEA"/>
    <w:rsid w:val="0060457B"/>
    <w:rsid w:val="00604B8A"/>
    <w:rsid w:val="006078A6"/>
    <w:rsid w:val="00607A32"/>
    <w:rsid w:val="0061045B"/>
    <w:rsid w:val="00610C2F"/>
    <w:rsid w:val="0061118C"/>
    <w:rsid w:val="00611761"/>
    <w:rsid w:val="006117FC"/>
    <w:rsid w:val="006123D7"/>
    <w:rsid w:val="00612E00"/>
    <w:rsid w:val="00613491"/>
    <w:rsid w:val="006142EC"/>
    <w:rsid w:val="0061503D"/>
    <w:rsid w:val="00615830"/>
    <w:rsid w:val="00615DF5"/>
    <w:rsid w:val="0061666C"/>
    <w:rsid w:val="006178B9"/>
    <w:rsid w:val="00621681"/>
    <w:rsid w:val="006220CE"/>
    <w:rsid w:val="0062212B"/>
    <w:rsid w:val="006240CC"/>
    <w:rsid w:val="006241AB"/>
    <w:rsid w:val="00624C98"/>
    <w:rsid w:val="006255E4"/>
    <w:rsid w:val="00625D43"/>
    <w:rsid w:val="00625DBC"/>
    <w:rsid w:val="00627D01"/>
    <w:rsid w:val="00630CA0"/>
    <w:rsid w:val="00630EA8"/>
    <w:rsid w:val="00630FA7"/>
    <w:rsid w:val="00631E0F"/>
    <w:rsid w:val="00632081"/>
    <w:rsid w:val="006324B0"/>
    <w:rsid w:val="00634A69"/>
    <w:rsid w:val="00634DA7"/>
    <w:rsid w:val="00634E27"/>
    <w:rsid w:val="00636B87"/>
    <w:rsid w:val="0063729C"/>
    <w:rsid w:val="00637B41"/>
    <w:rsid w:val="00640745"/>
    <w:rsid w:val="00641221"/>
    <w:rsid w:val="0064139E"/>
    <w:rsid w:val="00641FC5"/>
    <w:rsid w:val="00642126"/>
    <w:rsid w:val="00642B9D"/>
    <w:rsid w:val="00642BFA"/>
    <w:rsid w:val="006432A6"/>
    <w:rsid w:val="00643407"/>
    <w:rsid w:val="006439AD"/>
    <w:rsid w:val="0064434F"/>
    <w:rsid w:val="00645C0E"/>
    <w:rsid w:val="00645F88"/>
    <w:rsid w:val="00646483"/>
    <w:rsid w:val="006471F2"/>
    <w:rsid w:val="0064728D"/>
    <w:rsid w:val="00647955"/>
    <w:rsid w:val="00647D60"/>
    <w:rsid w:val="00650441"/>
    <w:rsid w:val="00650793"/>
    <w:rsid w:val="00650D66"/>
    <w:rsid w:val="0065146A"/>
    <w:rsid w:val="00651797"/>
    <w:rsid w:val="00651DCB"/>
    <w:rsid w:val="0065252E"/>
    <w:rsid w:val="00652F60"/>
    <w:rsid w:val="006536A9"/>
    <w:rsid w:val="0065383F"/>
    <w:rsid w:val="00653B6C"/>
    <w:rsid w:val="00653BE4"/>
    <w:rsid w:val="00653C06"/>
    <w:rsid w:val="00653C24"/>
    <w:rsid w:val="00653E7F"/>
    <w:rsid w:val="00654E0F"/>
    <w:rsid w:val="00655425"/>
    <w:rsid w:val="00656B44"/>
    <w:rsid w:val="00656EBD"/>
    <w:rsid w:val="00656F33"/>
    <w:rsid w:val="00660D0A"/>
    <w:rsid w:val="006610CF"/>
    <w:rsid w:val="00661739"/>
    <w:rsid w:val="00661C77"/>
    <w:rsid w:val="00661CA9"/>
    <w:rsid w:val="00662586"/>
    <w:rsid w:val="0066278F"/>
    <w:rsid w:val="006633AB"/>
    <w:rsid w:val="00663798"/>
    <w:rsid w:val="006647EF"/>
    <w:rsid w:val="00664828"/>
    <w:rsid w:val="0066657A"/>
    <w:rsid w:val="00666D74"/>
    <w:rsid w:val="006672B2"/>
    <w:rsid w:val="00667555"/>
    <w:rsid w:val="006676F4"/>
    <w:rsid w:val="00667AC8"/>
    <w:rsid w:val="006702FD"/>
    <w:rsid w:val="00670357"/>
    <w:rsid w:val="00670662"/>
    <w:rsid w:val="006707CD"/>
    <w:rsid w:val="00670A10"/>
    <w:rsid w:val="00671675"/>
    <w:rsid w:val="006716FA"/>
    <w:rsid w:val="0067194E"/>
    <w:rsid w:val="00671CA3"/>
    <w:rsid w:val="006720D2"/>
    <w:rsid w:val="00672286"/>
    <w:rsid w:val="00672ABC"/>
    <w:rsid w:val="006733EE"/>
    <w:rsid w:val="00673ABD"/>
    <w:rsid w:val="0067491C"/>
    <w:rsid w:val="00674A6D"/>
    <w:rsid w:val="00674E4B"/>
    <w:rsid w:val="00675510"/>
    <w:rsid w:val="00675CCA"/>
    <w:rsid w:val="006767BE"/>
    <w:rsid w:val="00676B7B"/>
    <w:rsid w:val="00676C26"/>
    <w:rsid w:val="00676DCA"/>
    <w:rsid w:val="0068090A"/>
    <w:rsid w:val="00680C50"/>
    <w:rsid w:val="00680DFA"/>
    <w:rsid w:val="006813BE"/>
    <w:rsid w:val="0068157A"/>
    <w:rsid w:val="0068274B"/>
    <w:rsid w:val="00682A6D"/>
    <w:rsid w:val="00682E4A"/>
    <w:rsid w:val="00682FD7"/>
    <w:rsid w:val="006832DC"/>
    <w:rsid w:val="00683F68"/>
    <w:rsid w:val="006850B8"/>
    <w:rsid w:val="0068555D"/>
    <w:rsid w:val="00685A42"/>
    <w:rsid w:val="00685A7E"/>
    <w:rsid w:val="00685B4C"/>
    <w:rsid w:val="00686073"/>
    <w:rsid w:val="0068658F"/>
    <w:rsid w:val="006866BD"/>
    <w:rsid w:val="006866D8"/>
    <w:rsid w:val="00687200"/>
    <w:rsid w:val="00690A20"/>
    <w:rsid w:val="00690CD6"/>
    <w:rsid w:val="00691053"/>
    <w:rsid w:val="006915E0"/>
    <w:rsid w:val="0069245F"/>
    <w:rsid w:val="006931E7"/>
    <w:rsid w:val="006935F7"/>
    <w:rsid w:val="00693CAA"/>
    <w:rsid w:val="00694952"/>
    <w:rsid w:val="006963AF"/>
    <w:rsid w:val="006969C5"/>
    <w:rsid w:val="006969E4"/>
    <w:rsid w:val="00696ED5"/>
    <w:rsid w:val="006974FE"/>
    <w:rsid w:val="006A1673"/>
    <w:rsid w:val="006A1AC2"/>
    <w:rsid w:val="006A2F81"/>
    <w:rsid w:val="006A3DDE"/>
    <w:rsid w:val="006A418B"/>
    <w:rsid w:val="006A4C41"/>
    <w:rsid w:val="006A5637"/>
    <w:rsid w:val="006A5AE5"/>
    <w:rsid w:val="006A6528"/>
    <w:rsid w:val="006A77B7"/>
    <w:rsid w:val="006A7AB2"/>
    <w:rsid w:val="006A7C74"/>
    <w:rsid w:val="006B06D9"/>
    <w:rsid w:val="006B13BF"/>
    <w:rsid w:val="006B1854"/>
    <w:rsid w:val="006B1AFC"/>
    <w:rsid w:val="006B2A63"/>
    <w:rsid w:val="006B4660"/>
    <w:rsid w:val="006B4C1D"/>
    <w:rsid w:val="006B54DD"/>
    <w:rsid w:val="006B5A29"/>
    <w:rsid w:val="006B769C"/>
    <w:rsid w:val="006B7908"/>
    <w:rsid w:val="006C0237"/>
    <w:rsid w:val="006C0994"/>
    <w:rsid w:val="006C1529"/>
    <w:rsid w:val="006C2017"/>
    <w:rsid w:val="006C28F9"/>
    <w:rsid w:val="006C2FAB"/>
    <w:rsid w:val="006C3E2F"/>
    <w:rsid w:val="006C4101"/>
    <w:rsid w:val="006C41D4"/>
    <w:rsid w:val="006C4435"/>
    <w:rsid w:val="006C4EF9"/>
    <w:rsid w:val="006C4F40"/>
    <w:rsid w:val="006C5455"/>
    <w:rsid w:val="006C55D8"/>
    <w:rsid w:val="006C64D0"/>
    <w:rsid w:val="006C6BB2"/>
    <w:rsid w:val="006C71C9"/>
    <w:rsid w:val="006C78F0"/>
    <w:rsid w:val="006C7CEC"/>
    <w:rsid w:val="006C7D72"/>
    <w:rsid w:val="006D016A"/>
    <w:rsid w:val="006D0815"/>
    <w:rsid w:val="006D1161"/>
    <w:rsid w:val="006D1EE9"/>
    <w:rsid w:val="006D2A8A"/>
    <w:rsid w:val="006D2C68"/>
    <w:rsid w:val="006D2F31"/>
    <w:rsid w:val="006D3288"/>
    <w:rsid w:val="006D361B"/>
    <w:rsid w:val="006D36BD"/>
    <w:rsid w:val="006D37EB"/>
    <w:rsid w:val="006D380D"/>
    <w:rsid w:val="006D4122"/>
    <w:rsid w:val="006D42E1"/>
    <w:rsid w:val="006D4537"/>
    <w:rsid w:val="006D478F"/>
    <w:rsid w:val="006D4DF5"/>
    <w:rsid w:val="006D5C20"/>
    <w:rsid w:val="006D5D94"/>
    <w:rsid w:val="006D6373"/>
    <w:rsid w:val="006D719F"/>
    <w:rsid w:val="006D74A4"/>
    <w:rsid w:val="006D7E8D"/>
    <w:rsid w:val="006E0B95"/>
    <w:rsid w:val="006E0C77"/>
    <w:rsid w:val="006E2D4B"/>
    <w:rsid w:val="006E332A"/>
    <w:rsid w:val="006E3EFB"/>
    <w:rsid w:val="006E4476"/>
    <w:rsid w:val="006E45AF"/>
    <w:rsid w:val="006E468D"/>
    <w:rsid w:val="006E499B"/>
    <w:rsid w:val="006E4EBE"/>
    <w:rsid w:val="006E642F"/>
    <w:rsid w:val="006E74EE"/>
    <w:rsid w:val="006E7AB7"/>
    <w:rsid w:val="006E7D6D"/>
    <w:rsid w:val="006F0398"/>
    <w:rsid w:val="006F12DD"/>
    <w:rsid w:val="006F17A8"/>
    <w:rsid w:val="006F1ADD"/>
    <w:rsid w:val="006F2070"/>
    <w:rsid w:val="006F29BD"/>
    <w:rsid w:val="006F2D09"/>
    <w:rsid w:val="006F3192"/>
    <w:rsid w:val="006F3BF6"/>
    <w:rsid w:val="006F5054"/>
    <w:rsid w:val="006F554A"/>
    <w:rsid w:val="006F5A42"/>
    <w:rsid w:val="006F6B38"/>
    <w:rsid w:val="006F6D56"/>
    <w:rsid w:val="006F745C"/>
    <w:rsid w:val="007005B6"/>
    <w:rsid w:val="00700C24"/>
    <w:rsid w:val="00700FF7"/>
    <w:rsid w:val="00702E22"/>
    <w:rsid w:val="00703FFD"/>
    <w:rsid w:val="0070418D"/>
    <w:rsid w:val="00704229"/>
    <w:rsid w:val="00704596"/>
    <w:rsid w:val="007107AD"/>
    <w:rsid w:val="00710D9F"/>
    <w:rsid w:val="00710E2F"/>
    <w:rsid w:val="0071134C"/>
    <w:rsid w:val="00712072"/>
    <w:rsid w:val="007122E5"/>
    <w:rsid w:val="007127E6"/>
    <w:rsid w:val="007128F4"/>
    <w:rsid w:val="0071311D"/>
    <w:rsid w:val="0071357E"/>
    <w:rsid w:val="007139EA"/>
    <w:rsid w:val="00714047"/>
    <w:rsid w:val="007145A2"/>
    <w:rsid w:val="0071508A"/>
    <w:rsid w:val="00715CDA"/>
    <w:rsid w:val="00716873"/>
    <w:rsid w:val="007178D7"/>
    <w:rsid w:val="00720A1A"/>
    <w:rsid w:val="00720D2A"/>
    <w:rsid w:val="00720D9C"/>
    <w:rsid w:val="007214D5"/>
    <w:rsid w:val="00722154"/>
    <w:rsid w:val="00722362"/>
    <w:rsid w:val="00722F91"/>
    <w:rsid w:val="00723225"/>
    <w:rsid w:val="007234D9"/>
    <w:rsid w:val="00723EE9"/>
    <w:rsid w:val="00724E9A"/>
    <w:rsid w:val="00725DA3"/>
    <w:rsid w:val="00726653"/>
    <w:rsid w:val="00726F97"/>
    <w:rsid w:val="00730157"/>
    <w:rsid w:val="00730DE3"/>
    <w:rsid w:val="00730EE6"/>
    <w:rsid w:val="00731CC3"/>
    <w:rsid w:val="0073285A"/>
    <w:rsid w:val="00732A0E"/>
    <w:rsid w:val="00733099"/>
    <w:rsid w:val="007336B0"/>
    <w:rsid w:val="00733F0C"/>
    <w:rsid w:val="00734238"/>
    <w:rsid w:val="00734D3E"/>
    <w:rsid w:val="00735838"/>
    <w:rsid w:val="0073613D"/>
    <w:rsid w:val="00736DBD"/>
    <w:rsid w:val="00737F49"/>
    <w:rsid w:val="00740426"/>
    <w:rsid w:val="0074074F"/>
    <w:rsid w:val="00741114"/>
    <w:rsid w:val="0074126A"/>
    <w:rsid w:val="007428F6"/>
    <w:rsid w:val="007437EA"/>
    <w:rsid w:val="007453DA"/>
    <w:rsid w:val="007479B8"/>
    <w:rsid w:val="0075149B"/>
    <w:rsid w:val="00751A88"/>
    <w:rsid w:val="0075203A"/>
    <w:rsid w:val="007520CC"/>
    <w:rsid w:val="00752483"/>
    <w:rsid w:val="00752AE9"/>
    <w:rsid w:val="007548F2"/>
    <w:rsid w:val="00754E15"/>
    <w:rsid w:val="007554EA"/>
    <w:rsid w:val="007555E0"/>
    <w:rsid w:val="00755E53"/>
    <w:rsid w:val="007563B8"/>
    <w:rsid w:val="0075641D"/>
    <w:rsid w:val="00756F19"/>
    <w:rsid w:val="0075788F"/>
    <w:rsid w:val="00760104"/>
    <w:rsid w:val="0076086D"/>
    <w:rsid w:val="007608BF"/>
    <w:rsid w:val="00760BEB"/>
    <w:rsid w:val="00760D64"/>
    <w:rsid w:val="00760E9E"/>
    <w:rsid w:val="00761CB9"/>
    <w:rsid w:val="00761FD1"/>
    <w:rsid w:val="00762DAB"/>
    <w:rsid w:val="00763F21"/>
    <w:rsid w:val="00763FBA"/>
    <w:rsid w:val="007643D8"/>
    <w:rsid w:val="007649A2"/>
    <w:rsid w:val="007650A0"/>
    <w:rsid w:val="007668C8"/>
    <w:rsid w:val="00766D4C"/>
    <w:rsid w:val="00766DDF"/>
    <w:rsid w:val="0076703D"/>
    <w:rsid w:val="007670B7"/>
    <w:rsid w:val="00767552"/>
    <w:rsid w:val="0076784F"/>
    <w:rsid w:val="00767B94"/>
    <w:rsid w:val="007700C0"/>
    <w:rsid w:val="00771919"/>
    <w:rsid w:val="00771DA4"/>
    <w:rsid w:val="00772C16"/>
    <w:rsid w:val="00772CF1"/>
    <w:rsid w:val="00772FF3"/>
    <w:rsid w:val="00773C6E"/>
    <w:rsid w:val="00773EEE"/>
    <w:rsid w:val="00774937"/>
    <w:rsid w:val="00774A00"/>
    <w:rsid w:val="00775067"/>
    <w:rsid w:val="007769B4"/>
    <w:rsid w:val="00776A10"/>
    <w:rsid w:val="00776DD9"/>
    <w:rsid w:val="00777BF8"/>
    <w:rsid w:val="00780BA7"/>
    <w:rsid w:val="0078118A"/>
    <w:rsid w:val="00781644"/>
    <w:rsid w:val="007819EE"/>
    <w:rsid w:val="00781F47"/>
    <w:rsid w:val="00781FAA"/>
    <w:rsid w:val="00781FF0"/>
    <w:rsid w:val="00782329"/>
    <w:rsid w:val="0078242E"/>
    <w:rsid w:val="0078296B"/>
    <w:rsid w:val="00782C8C"/>
    <w:rsid w:val="007833DC"/>
    <w:rsid w:val="007836BC"/>
    <w:rsid w:val="007838F4"/>
    <w:rsid w:val="00783F7D"/>
    <w:rsid w:val="00784591"/>
    <w:rsid w:val="007847FA"/>
    <w:rsid w:val="00784A6F"/>
    <w:rsid w:val="007851A5"/>
    <w:rsid w:val="00786141"/>
    <w:rsid w:val="007862BD"/>
    <w:rsid w:val="0078656B"/>
    <w:rsid w:val="00786A5E"/>
    <w:rsid w:val="00786DD4"/>
    <w:rsid w:val="00787D7C"/>
    <w:rsid w:val="00790560"/>
    <w:rsid w:val="00791771"/>
    <w:rsid w:val="0079258B"/>
    <w:rsid w:val="00792703"/>
    <w:rsid w:val="00793568"/>
    <w:rsid w:val="00793752"/>
    <w:rsid w:val="00793983"/>
    <w:rsid w:val="00794B10"/>
    <w:rsid w:val="00794E19"/>
    <w:rsid w:val="007956FA"/>
    <w:rsid w:val="007957B5"/>
    <w:rsid w:val="00796AC7"/>
    <w:rsid w:val="00796C8F"/>
    <w:rsid w:val="00796FCB"/>
    <w:rsid w:val="00797562"/>
    <w:rsid w:val="007A0E88"/>
    <w:rsid w:val="007A2135"/>
    <w:rsid w:val="007A2191"/>
    <w:rsid w:val="007A2A63"/>
    <w:rsid w:val="007A2BDC"/>
    <w:rsid w:val="007A302D"/>
    <w:rsid w:val="007A390C"/>
    <w:rsid w:val="007A4460"/>
    <w:rsid w:val="007A5B71"/>
    <w:rsid w:val="007A6A6A"/>
    <w:rsid w:val="007A6C5B"/>
    <w:rsid w:val="007A7818"/>
    <w:rsid w:val="007A7A4F"/>
    <w:rsid w:val="007A7BDC"/>
    <w:rsid w:val="007B1BFB"/>
    <w:rsid w:val="007B1D3C"/>
    <w:rsid w:val="007B2556"/>
    <w:rsid w:val="007B4363"/>
    <w:rsid w:val="007B4940"/>
    <w:rsid w:val="007B4DAC"/>
    <w:rsid w:val="007B7203"/>
    <w:rsid w:val="007B788F"/>
    <w:rsid w:val="007B7930"/>
    <w:rsid w:val="007B7956"/>
    <w:rsid w:val="007B7F63"/>
    <w:rsid w:val="007C050B"/>
    <w:rsid w:val="007C0D63"/>
    <w:rsid w:val="007C1E04"/>
    <w:rsid w:val="007C2113"/>
    <w:rsid w:val="007C2990"/>
    <w:rsid w:val="007C2B6A"/>
    <w:rsid w:val="007C3491"/>
    <w:rsid w:val="007C36F3"/>
    <w:rsid w:val="007C4180"/>
    <w:rsid w:val="007C4EA2"/>
    <w:rsid w:val="007C5282"/>
    <w:rsid w:val="007C5B3B"/>
    <w:rsid w:val="007C6129"/>
    <w:rsid w:val="007C72F8"/>
    <w:rsid w:val="007C7502"/>
    <w:rsid w:val="007C7859"/>
    <w:rsid w:val="007C79C4"/>
    <w:rsid w:val="007D0D19"/>
    <w:rsid w:val="007D1F55"/>
    <w:rsid w:val="007D2592"/>
    <w:rsid w:val="007D27DD"/>
    <w:rsid w:val="007D2F04"/>
    <w:rsid w:val="007D3B80"/>
    <w:rsid w:val="007D4294"/>
    <w:rsid w:val="007D48F4"/>
    <w:rsid w:val="007D519A"/>
    <w:rsid w:val="007D5BB8"/>
    <w:rsid w:val="007D5F32"/>
    <w:rsid w:val="007D626A"/>
    <w:rsid w:val="007D6287"/>
    <w:rsid w:val="007D65C5"/>
    <w:rsid w:val="007D711F"/>
    <w:rsid w:val="007D72E6"/>
    <w:rsid w:val="007E03FE"/>
    <w:rsid w:val="007E0C53"/>
    <w:rsid w:val="007E0EE3"/>
    <w:rsid w:val="007E1031"/>
    <w:rsid w:val="007E11D5"/>
    <w:rsid w:val="007E2714"/>
    <w:rsid w:val="007E3D76"/>
    <w:rsid w:val="007E3DD3"/>
    <w:rsid w:val="007E3F07"/>
    <w:rsid w:val="007E4337"/>
    <w:rsid w:val="007E4383"/>
    <w:rsid w:val="007E55D2"/>
    <w:rsid w:val="007E5833"/>
    <w:rsid w:val="007E5A2B"/>
    <w:rsid w:val="007E5F8A"/>
    <w:rsid w:val="007E61FF"/>
    <w:rsid w:val="007E6F23"/>
    <w:rsid w:val="007E7741"/>
    <w:rsid w:val="007E7CA1"/>
    <w:rsid w:val="007F0294"/>
    <w:rsid w:val="007F0332"/>
    <w:rsid w:val="007F0846"/>
    <w:rsid w:val="007F15CF"/>
    <w:rsid w:val="007F18D3"/>
    <w:rsid w:val="007F1E52"/>
    <w:rsid w:val="007F1F02"/>
    <w:rsid w:val="007F2769"/>
    <w:rsid w:val="007F2A26"/>
    <w:rsid w:val="007F3F9E"/>
    <w:rsid w:val="007F4091"/>
    <w:rsid w:val="007F44C7"/>
    <w:rsid w:val="007F49E1"/>
    <w:rsid w:val="007F504E"/>
    <w:rsid w:val="007F5E88"/>
    <w:rsid w:val="007F627E"/>
    <w:rsid w:val="007F6448"/>
    <w:rsid w:val="007F6B1E"/>
    <w:rsid w:val="007F6C79"/>
    <w:rsid w:val="007F76AB"/>
    <w:rsid w:val="007F794B"/>
    <w:rsid w:val="007F7E06"/>
    <w:rsid w:val="0080266C"/>
    <w:rsid w:val="008032A9"/>
    <w:rsid w:val="008041C5"/>
    <w:rsid w:val="00804A15"/>
    <w:rsid w:val="00805302"/>
    <w:rsid w:val="008053F5"/>
    <w:rsid w:val="00806B8D"/>
    <w:rsid w:val="0081022B"/>
    <w:rsid w:val="008103A3"/>
    <w:rsid w:val="00810EC1"/>
    <w:rsid w:val="0081111E"/>
    <w:rsid w:val="008111EF"/>
    <w:rsid w:val="008112EB"/>
    <w:rsid w:val="00811505"/>
    <w:rsid w:val="008116D5"/>
    <w:rsid w:val="00812879"/>
    <w:rsid w:val="00812C3D"/>
    <w:rsid w:val="00813315"/>
    <w:rsid w:val="00813D8F"/>
    <w:rsid w:val="00814655"/>
    <w:rsid w:val="008146DC"/>
    <w:rsid w:val="00815606"/>
    <w:rsid w:val="008173F8"/>
    <w:rsid w:val="00817945"/>
    <w:rsid w:val="00820E81"/>
    <w:rsid w:val="0082118A"/>
    <w:rsid w:val="00821A15"/>
    <w:rsid w:val="00821B8E"/>
    <w:rsid w:val="00821CD7"/>
    <w:rsid w:val="0082261D"/>
    <w:rsid w:val="0082338B"/>
    <w:rsid w:val="008236BD"/>
    <w:rsid w:val="00823DD7"/>
    <w:rsid w:val="008244CD"/>
    <w:rsid w:val="008256A7"/>
    <w:rsid w:val="008265DC"/>
    <w:rsid w:val="00826D3B"/>
    <w:rsid w:val="008301BB"/>
    <w:rsid w:val="00831158"/>
    <w:rsid w:val="008317FB"/>
    <w:rsid w:val="00831AE8"/>
    <w:rsid w:val="00832C8C"/>
    <w:rsid w:val="00832D6D"/>
    <w:rsid w:val="00832F91"/>
    <w:rsid w:val="00833974"/>
    <w:rsid w:val="00833ED7"/>
    <w:rsid w:val="00834356"/>
    <w:rsid w:val="00835027"/>
    <w:rsid w:val="008366F3"/>
    <w:rsid w:val="00837F2E"/>
    <w:rsid w:val="008400E1"/>
    <w:rsid w:val="008408C2"/>
    <w:rsid w:val="00840BEF"/>
    <w:rsid w:val="00841DB3"/>
    <w:rsid w:val="00843001"/>
    <w:rsid w:val="00843430"/>
    <w:rsid w:val="00843B6D"/>
    <w:rsid w:val="00844366"/>
    <w:rsid w:val="008443B1"/>
    <w:rsid w:val="008448C8"/>
    <w:rsid w:val="00845327"/>
    <w:rsid w:val="008465FE"/>
    <w:rsid w:val="008474CA"/>
    <w:rsid w:val="00847759"/>
    <w:rsid w:val="008505C0"/>
    <w:rsid w:val="00850683"/>
    <w:rsid w:val="00851025"/>
    <w:rsid w:val="00851770"/>
    <w:rsid w:val="008518BC"/>
    <w:rsid w:val="00851D2A"/>
    <w:rsid w:val="00851E1D"/>
    <w:rsid w:val="0085278E"/>
    <w:rsid w:val="00852BCF"/>
    <w:rsid w:val="008534B9"/>
    <w:rsid w:val="0085415D"/>
    <w:rsid w:val="0085554B"/>
    <w:rsid w:val="00855ED3"/>
    <w:rsid w:val="00856C98"/>
    <w:rsid w:val="00856FAA"/>
    <w:rsid w:val="0085701A"/>
    <w:rsid w:val="008620DF"/>
    <w:rsid w:val="008626D6"/>
    <w:rsid w:val="00862D03"/>
    <w:rsid w:val="0086346C"/>
    <w:rsid w:val="008635A1"/>
    <w:rsid w:val="00864739"/>
    <w:rsid w:val="00865351"/>
    <w:rsid w:val="008660BE"/>
    <w:rsid w:val="00866576"/>
    <w:rsid w:val="0087018E"/>
    <w:rsid w:val="00870254"/>
    <w:rsid w:val="0087035F"/>
    <w:rsid w:val="008704D9"/>
    <w:rsid w:val="00870665"/>
    <w:rsid w:val="0087127B"/>
    <w:rsid w:val="00871848"/>
    <w:rsid w:val="00872761"/>
    <w:rsid w:val="008728BD"/>
    <w:rsid w:val="008728F0"/>
    <w:rsid w:val="00872DE2"/>
    <w:rsid w:val="008737D1"/>
    <w:rsid w:val="00873BB3"/>
    <w:rsid w:val="00873C48"/>
    <w:rsid w:val="00873FB4"/>
    <w:rsid w:val="00874296"/>
    <w:rsid w:val="008748EC"/>
    <w:rsid w:val="00874ECC"/>
    <w:rsid w:val="00875512"/>
    <w:rsid w:val="008757F4"/>
    <w:rsid w:val="00875B3E"/>
    <w:rsid w:val="00875F08"/>
    <w:rsid w:val="008760D1"/>
    <w:rsid w:val="008763CA"/>
    <w:rsid w:val="008764B1"/>
    <w:rsid w:val="00876568"/>
    <w:rsid w:val="008768CE"/>
    <w:rsid w:val="00876AF0"/>
    <w:rsid w:val="00877FBA"/>
    <w:rsid w:val="00881168"/>
    <w:rsid w:val="00881707"/>
    <w:rsid w:val="008818A5"/>
    <w:rsid w:val="00881994"/>
    <w:rsid w:val="00881A61"/>
    <w:rsid w:val="00881D7E"/>
    <w:rsid w:val="00881EA4"/>
    <w:rsid w:val="00882B40"/>
    <w:rsid w:val="00882E1A"/>
    <w:rsid w:val="00883793"/>
    <w:rsid w:val="008837BF"/>
    <w:rsid w:val="008838C5"/>
    <w:rsid w:val="00884011"/>
    <w:rsid w:val="00884013"/>
    <w:rsid w:val="00884720"/>
    <w:rsid w:val="00884D85"/>
    <w:rsid w:val="00885525"/>
    <w:rsid w:val="00885CD7"/>
    <w:rsid w:val="00886040"/>
    <w:rsid w:val="0088617A"/>
    <w:rsid w:val="008869DE"/>
    <w:rsid w:val="00887EDB"/>
    <w:rsid w:val="0089040F"/>
    <w:rsid w:val="008907AA"/>
    <w:rsid w:val="00890FD5"/>
    <w:rsid w:val="00891729"/>
    <w:rsid w:val="00891930"/>
    <w:rsid w:val="00891942"/>
    <w:rsid w:val="00892413"/>
    <w:rsid w:val="00893D72"/>
    <w:rsid w:val="0089405E"/>
    <w:rsid w:val="008945C7"/>
    <w:rsid w:val="008953C6"/>
    <w:rsid w:val="008954A0"/>
    <w:rsid w:val="00897D06"/>
    <w:rsid w:val="008A0AE3"/>
    <w:rsid w:val="008A0E3B"/>
    <w:rsid w:val="008A1029"/>
    <w:rsid w:val="008A1327"/>
    <w:rsid w:val="008A25E0"/>
    <w:rsid w:val="008A363B"/>
    <w:rsid w:val="008A3A9D"/>
    <w:rsid w:val="008A3B36"/>
    <w:rsid w:val="008A4584"/>
    <w:rsid w:val="008A49C5"/>
    <w:rsid w:val="008A4F34"/>
    <w:rsid w:val="008A5158"/>
    <w:rsid w:val="008A552A"/>
    <w:rsid w:val="008A5F04"/>
    <w:rsid w:val="008A5F80"/>
    <w:rsid w:val="008A66A0"/>
    <w:rsid w:val="008A6775"/>
    <w:rsid w:val="008A6B11"/>
    <w:rsid w:val="008A6F5C"/>
    <w:rsid w:val="008A724B"/>
    <w:rsid w:val="008A77FF"/>
    <w:rsid w:val="008B0A29"/>
    <w:rsid w:val="008B238D"/>
    <w:rsid w:val="008B2EB6"/>
    <w:rsid w:val="008B35AD"/>
    <w:rsid w:val="008B45CF"/>
    <w:rsid w:val="008B468A"/>
    <w:rsid w:val="008B47B5"/>
    <w:rsid w:val="008B496A"/>
    <w:rsid w:val="008B4AFA"/>
    <w:rsid w:val="008B4CAB"/>
    <w:rsid w:val="008B504B"/>
    <w:rsid w:val="008B5053"/>
    <w:rsid w:val="008B5415"/>
    <w:rsid w:val="008B5EBF"/>
    <w:rsid w:val="008B658B"/>
    <w:rsid w:val="008B6677"/>
    <w:rsid w:val="008B739E"/>
    <w:rsid w:val="008B788C"/>
    <w:rsid w:val="008B7910"/>
    <w:rsid w:val="008B7ABD"/>
    <w:rsid w:val="008C0732"/>
    <w:rsid w:val="008C0EE4"/>
    <w:rsid w:val="008C1D91"/>
    <w:rsid w:val="008C24F0"/>
    <w:rsid w:val="008C2B35"/>
    <w:rsid w:val="008C2C09"/>
    <w:rsid w:val="008C2FDC"/>
    <w:rsid w:val="008C406B"/>
    <w:rsid w:val="008C44F0"/>
    <w:rsid w:val="008C453C"/>
    <w:rsid w:val="008C64E6"/>
    <w:rsid w:val="008D0A7B"/>
    <w:rsid w:val="008D0B42"/>
    <w:rsid w:val="008D0DA1"/>
    <w:rsid w:val="008D1C42"/>
    <w:rsid w:val="008D3238"/>
    <w:rsid w:val="008D375F"/>
    <w:rsid w:val="008D37F9"/>
    <w:rsid w:val="008D498C"/>
    <w:rsid w:val="008D513D"/>
    <w:rsid w:val="008D5938"/>
    <w:rsid w:val="008D5966"/>
    <w:rsid w:val="008D5C87"/>
    <w:rsid w:val="008D5D4E"/>
    <w:rsid w:val="008D5D9D"/>
    <w:rsid w:val="008D5DDC"/>
    <w:rsid w:val="008D60DD"/>
    <w:rsid w:val="008D6306"/>
    <w:rsid w:val="008D67A0"/>
    <w:rsid w:val="008D6B1C"/>
    <w:rsid w:val="008D7619"/>
    <w:rsid w:val="008D7770"/>
    <w:rsid w:val="008D7C45"/>
    <w:rsid w:val="008E1283"/>
    <w:rsid w:val="008E3911"/>
    <w:rsid w:val="008E3BEF"/>
    <w:rsid w:val="008E3DE0"/>
    <w:rsid w:val="008E4271"/>
    <w:rsid w:val="008E50AF"/>
    <w:rsid w:val="008E53D2"/>
    <w:rsid w:val="008E56D9"/>
    <w:rsid w:val="008E5DB6"/>
    <w:rsid w:val="008E62F9"/>
    <w:rsid w:val="008E66BB"/>
    <w:rsid w:val="008E6C96"/>
    <w:rsid w:val="008E6F80"/>
    <w:rsid w:val="008E72AA"/>
    <w:rsid w:val="008F0634"/>
    <w:rsid w:val="008F13FD"/>
    <w:rsid w:val="008F2468"/>
    <w:rsid w:val="008F2B2B"/>
    <w:rsid w:val="008F47F0"/>
    <w:rsid w:val="008F4A49"/>
    <w:rsid w:val="008F6DDC"/>
    <w:rsid w:val="008F7496"/>
    <w:rsid w:val="008F7EE3"/>
    <w:rsid w:val="0090213E"/>
    <w:rsid w:val="00902560"/>
    <w:rsid w:val="00902E36"/>
    <w:rsid w:val="0090473E"/>
    <w:rsid w:val="00904A50"/>
    <w:rsid w:val="0090509D"/>
    <w:rsid w:val="0090590D"/>
    <w:rsid w:val="00906052"/>
    <w:rsid w:val="00906084"/>
    <w:rsid w:val="0090644F"/>
    <w:rsid w:val="00906560"/>
    <w:rsid w:val="0090754F"/>
    <w:rsid w:val="00907E7A"/>
    <w:rsid w:val="00911122"/>
    <w:rsid w:val="00911CD5"/>
    <w:rsid w:val="00912249"/>
    <w:rsid w:val="00912663"/>
    <w:rsid w:val="00912748"/>
    <w:rsid w:val="0091351D"/>
    <w:rsid w:val="0091364C"/>
    <w:rsid w:val="009147DC"/>
    <w:rsid w:val="00915323"/>
    <w:rsid w:val="009155F1"/>
    <w:rsid w:val="00916527"/>
    <w:rsid w:val="00916F22"/>
    <w:rsid w:val="009179D6"/>
    <w:rsid w:val="00917FEA"/>
    <w:rsid w:val="00920A97"/>
    <w:rsid w:val="00920F7B"/>
    <w:rsid w:val="00921251"/>
    <w:rsid w:val="00921367"/>
    <w:rsid w:val="00921391"/>
    <w:rsid w:val="00922610"/>
    <w:rsid w:val="00922A58"/>
    <w:rsid w:val="00924BD8"/>
    <w:rsid w:val="00924CA3"/>
    <w:rsid w:val="00926D09"/>
    <w:rsid w:val="0092777A"/>
    <w:rsid w:val="009305C1"/>
    <w:rsid w:val="009305CC"/>
    <w:rsid w:val="0093061B"/>
    <w:rsid w:val="00931446"/>
    <w:rsid w:val="00931636"/>
    <w:rsid w:val="00932226"/>
    <w:rsid w:val="009327E8"/>
    <w:rsid w:val="00932A15"/>
    <w:rsid w:val="00932C0D"/>
    <w:rsid w:val="009337AC"/>
    <w:rsid w:val="009352F9"/>
    <w:rsid w:val="00935875"/>
    <w:rsid w:val="00935BC9"/>
    <w:rsid w:val="00936644"/>
    <w:rsid w:val="00937989"/>
    <w:rsid w:val="00937D2D"/>
    <w:rsid w:val="00937ED6"/>
    <w:rsid w:val="009408B0"/>
    <w:rsid w:val="00941408"/>
    <w:rsid w:val="00942776"/>
    <w:rsid w:val="00942FAA"/>
    <w:rsid w:val="00943009"/>
    <w:rsid w:val="00943160"/>
    <w:rsid w:val="00943B1C"/>
    <w:rsid w:val="00943F76"/>
    <w:rsid w:val="00944E00"/>
    <w:rsid w:val="0094535E"/>
    <w:rsid w:val="009457DC"/>
    <w:rsid w:val="009461F6"/>
    <w:rsid w:val="009469A6"/>
    <w:rsid w:val="009469D3"/>
    <w:rsid w:val="00946C89"/>
    <w:rsid w:val="00946CF1"/>
    <w:rsid w:val="009476BE"/>
    <w:rsid w:val="00950075"/>
    <w:rsid w:val="009506F3"/>
    <w:rsid w:val="00950E0A"/>
    <w:rsid w:val="0095147A"/>
    <w:rsid w:val="00951B3D"/>
    <w:rsid w:val="00952D20"/>
    <w:rsid w:val="00953816"/>
    <w:rsid w:val="00953C30"/>
    <w:rsid w:val="009546A8"/>
    <w:rsid w:val="00954959"/>
    <w:rsid w:val="00954CC8"/>
    <w:rsid w:val="0095540F"/>
    <w:rsid w:val="00955C46"/>
    <w:rsid w:val="00955CCE"/>
    <w:rsid w:val="00955D43"/>
    <w:rsid w:val="00955DFA"/>
    <w:rsid w:val="00955F66"/>
    <w:rsid w:val="00956A07"/>
    <w:rsid w:val="00956FDB"/>
    <w:rsid w:val="00960037"/>
    <w:rsid w:val="009600C2"/>
    <w:rsid w:val="00961280"/>
    <w:rsid w:val="00961F49"/>
    <w:rsid w:val="00962B56"/>
    <w:rsid w:val="00962D00"/>
    <w:rsid w:val="00963038"/>
    <w:rsid w:val="0096330E"/>
    <w:rsid w:val="00964308"/>
    <w:rsid w:val="00964EA6"/>
    <w:rsid w:val="00964EEC"/>
    <w:rsid w:val="00965A2C"/>
    <w:rsid w:val="00965A42"/>
    <w:rsid w:val="00966B0C"/>
    <w:rsid w:val="00966F6B"/>
    <w:rsid w:val="00967771"/>
    <w:rsid w:val="00970CDE"/>
    <w:rsid w:val="0097180C"/>
    <w:rsid w:val="00971AA8"/>
    <w:rsid w:val="00971B36"/>
    <w:rsid w:val="00971F1A"/>
    <w:rsid w:val="00972EED"/>
    <w:rsid w:val="00972F07"/>
    <w:rsid w:val="00973445"/>
    <w:rsid w:val="00973711"/>
    <w:rsid w:val="00974623"/>
    <w:rsid w:val="0097551D"/>
    <w:rsid w:val="009772E0"/>
    <w:rsid w:val="009779C3"/>
    <w:rsid w:val="0098089D"/>
    <w:rsid w:val="009812CC"/>
    <w:rsid w:val="00982E99"/>
    <w:rsid w:val="00983315"/>
    <w:rsid w:val="00983B48"/>
    <w:rsid w:val="00984278"/>
    <w:rsid w:val="00985500"/>
    <w:rsid w:val="0098566B"/>
    <w:rsid w:val="009857F7"/>
    <w:rsid w:val="009858CA"/>
    <w:rsid w:val="009867ED"/>
    <w:rsid w:val="00987715"/>
    <w:rsid w:val="009901C0"/>
    <w:rsid w:val="00991A75"/>
    <w:rsid w:val="00992290"/>
    <w:rsid w:val="0099257C"/>
    <w:rsid w:val="00992CC9"/>
    <w:rsid w:val="00993657"/>
    <w:rsid w:val="009937CF"/>
    <w:rsid w:val="00993C83"/>
    <w:rsid w:val="009954D3"/>
    <w:rsid w:val="00995EFD"/>
    <w:rsid w:val="009962DD"/>
    <w:rsid w:val="00997AA6"/>
    <w:rsid w:val="009A01EC"/>
    <w:rsid w:val="009A032F"/>
    <w:rsid w:val="009A0AF3"/>
    <w:rsid w:val="009A21A3"/>
    <w:rsid w:val="009A2635"/>
    <w:rsid w:val="009A389C"/>
    <w:rsid w:val="009A3ACE"/>
    <w:rsid w:val="009A3E4C"/>
    <w:rsid w:val="009A43DF"/>
    <w:rsid w:val="009A6AE0"/>
    <w:rsid w:val="009A6B34"/>
    <w:rsid w:val="009A759F"/>
    <w:rsid w:val="009A7DE3"/>
    <w:rsid w:val="009B0F8D"/>
    <w:rsid w:val="009B1FB2"/>
    <w:rsid w:val="009B27FC"/>
    <w:rsid w:val="009B29E9"/>
    <w:rsid w:val="009B2EDC"/>
    <w:rsid w:val="009B5778"/>
    <w:rsid w:val="009B5882"/>
    <w:rsid w:val="009B5AE0"/>
    <w:rsid w:val="009B65CF"/>
    <w:rsid w:val="009B6A83"/>
    <w:rsid w:val="009B6C0E"/>
    <w:rsid w:val="009B73AC"/>
    <w:rsid w:val="009B7696"/>
    <w:rsid w:val="009B79A2"/>
    <w:rsid w:val="009B7BB6"/>
    <w:rsid w:val="009B7E31"/>
    <w:rsid w:val="009B7EB1"/>
    <w:rsid w:val="009C0579"/>
    <w:rsid w:val="009C067F"/>
    <w:rsid w:val="009C0965"/>
    <w:rsid w:val="009C09AE"/>
    <w:rsid w:val="009C0A5E"/>
    <w:rsid w:val="009C127B"/>
    <w:rsid w:val="009C2204"/>
    <w:rsid w:val="009C22AA"/>
    <w:rsid w:val="009C253B"/>
    <w:rsid w:val="009C2947"/>
    <w:rsid w:val="009C2BD8"/>
    <w:rsid w:val="009C4368"/>
    <w:rsid w:val="009C5BAC"/>
    <w:rsid w:val="009C5BEB"/>
    <w:rsid w:val="009C7790"/>
    <w:rsid w:val="009D007A"/>
    <w:rsid w:val="009D06A0"/>
    <w:rsid w:val="009D082A"/>
    <w:rsid w:val="009D2816"/>
    <w:rsid w:val="009D2D42"/>
    <w:rsid w:val="009D37C0"/>
    <w:rsid w:val="009D3CDE"/>
    <w:rsid w:val="009D3EEE"/>
    <w:rsid w:val="009D4F24"/>
    <w:rsid w:val="009D4FBF"/>
    <w:rsid w:val="009D5354"/>
    <w:rsid w:val="009D6498"/>
    <w:rsid w:val="009D6ED1"/>
    <w:rsid w:val="009E0EF1"/>
    <w:rsid w:val="009E0F7D"/>
    <w:rsid w:val="009E15B9"/>
    <w:rsid w:val="009E2294"/>
    <w:rsid w:val="009E2D1F"/>
    <w:rsid w:val="009E4073"/>
    <w:rsid w:val="009E47F7"/>
    <w:rsid w:val="009E5528"/>
    <w:rsid w:val="009E5556"/>
    <w:rsid w:val="009E5B46"/>
    <w:rsid w:val="009E5EAA"/>
    <w:rsid w:val="009E67FD"/>
    <w:rsid w:val="009E7998"/>
    <w:rsid w:val="009E7C28"/>
    <w:rsid w:val="009E7EA4"/>
    <w:rsid w:val="009F01FF"/>
    <w:rsid w:val="009F0E5A"/>
    <w:rsid w:val="009F1552"/>
    <w:rsid w:val="009F19AB"/>
    <w:rsid w:val="009F19B1"/>
    <w:rsid w:val="009F1F71"/>
    <w:rsid w:val="009F2B39"/>
    <w:rsid w:val="009F308E"/>
    <w:rsid w:val="009F55E2"/>
    <w:rsid w:val="009F55F9"/>
    <w:rsid w:val="009F5779"/>
    <w:rsid w:val="009F5EE5"/>
    <w:rsid w:val="009F5F67"/>
    <w:rsid w:val="009F6AF9"/>
    <w:rsid w:val="009F71D6"/>
    <w:rsid w:val="009F72AB"/>
    <w:rsid w:val="009F7524"/>
    <w:rsid w:val="009F768D"/>
    <w:rsid w:val="009F7F29"/>
    <w:rsid w:val="00A002F7"/>
    <w:rsid w:val="00A00565"/>
    <w:rsid w:val="00A005E6"/>
    <w:rsid w:val="00A00BEE"/>
    <w:rsid w:val="00A0157E"/>
    <w:rsid w:val="00A02491"/>
    <w:rsid w:val="00A03192"/>
    <w:rsid w:val="00A03E75"/>
    <w:rsid w:val="00A0407A"/>
    <w:rsid w:val="00A048ED"/>
    <w:rsid w:val="00A04A80"/>
    <w:rsid w:val="00A04BB7"/>
    <w:rsid w:val="00A054D3"/>
    <w:rsid w:val="00A056AD"/>
    <w:rsid w:val="00A05FC0"/>
    <w:rsid w:val="00A06064"/>
    <w:rsid w:val="00A061F3"/>
    <w:rsid w:val="00A069C4"/>
    <w:rsid w:val="00A10559"/>
    <w:rsid w:val="00A1073C"/>
    <w:rsid w:val="00A115FE"/>
    <w:rsid w:val="00A11D51"/>
    <w:rsid w:val="00A12ED5"/>
    <w:rsid w:val="00A13595"/>
    <w:rsid w:val="00A16845"/>
    <w:rsid w:val="00A16BBA"/>
    <w:rsid w:val="00A16BF8"/>
    <w:rsid w:val="00A16D2A"/>
    <w:rsid w:val="00A1704B"/>
    <w:rsid w:val="00A1709C"/>
    <w:rsid w:val="00A1714C"/>
    <w:rsid w:val="00A17423"/>
    <w:rsid w:val="00A17C54"/>
    <w:rsid w:val="00A20198"/>
    <w:rsid w:val="00A2043C"/>
    <w:rsid w:val="00A207C6"/>
    <w:rsid w:val="00A2085E"/>
    <w:rsid w:val="00A21239"/>
    <w:rsid w:val="00A21D40"/>
    <w:rsid w:val="00A21D45"/>
    <w:rsid w:val="00A2232A"/>
    <w:rsid w:val="00A2252B"/>
    <w:rsid w:val="00A23D43"/>
    <w:rsid w:val="00A23D71"/>
    <w:rsid w:val="00A23FE8"/>
    <w:rsid w:val="00A2406A"/>
    <w:rsid w:val="00A24189"/>
    <w:rsid w:val="00A241AE"/>
    <w:rsid w:val="00A2465E"/>
    <w:rsid w:val="00A24C8D"/>
    <w:rsid w:val="00A24EF7"/>
    <w:rsid w:val="00A25CE7"/>
    <w:rsid w:val="00A25F14"/>
    <w:rsid w:val="00A3019C"/>
    <w:rsid w:val="00A310C1"/>
    <w:rsid w:val="00A31213"/>
    <w:rsid w:val="00A31DE5"/>
    <w:rsid w:val="00A3288E"/>
    <w:rsid w:val="00A32D00"/>
    <w:rsid w:val="00A33C6D"/>
    <w:rsid w:val="00A35155"/>
    <w:rsid w:val="00A355DD"/>
    <w:rsid w:val="00A35A49"/>
    <w:rsid w:val="00A35A64"/>
    <w:rsid w:val="00A35F74"/>
    <w:rsid w:val="00A3655F"/>
    <w:rsid w:val="00A36F1B"/>
    <w:rsid w:val="00A36FAF"/>
    <w:rsid w:val="00A378F3"/>
    <w:rsid w:val="00A4030E"/>
    <w:rsid w:val="00A40731"/>
    <w:rsid w:val="00A40C2D"/>
    <w:rsid w:val="00A41746"/>
    <w:rsid w:val="00A41A46"/>
    <w:rsid w:val="00A425FC"/>
    <w:rsid w:val="00A42617"/>
    <w:rsid w:val="00A428F5"/>
    <w:rsid w:val="00A44A52"/>
    <w:rsid w:val="00A44C6C"/>
    <w:rsid w:val="00A44F54"/>
    <w:rsid w:val="00A450E8"/>
    <w:rsid w:val="00A45D97"/>
    <w:rsid w:val="00A45F91"/>
    <w:rsid w:val="00A46714"/>
    <w:rsid w:val="00A46840"/>
    <w:rsid w:val="00A46889"/>
    <w:rsid w:val="00A469E1"/>
    <w:rsid w:val="00A47227"/>
    <w:rsid w:val="00A47DCA"/>
    <w:rsid w:val="00A51728"/>
    <w:rsid w:val="00A519B6"/>
    <w:rsid w:val="00A51C43"/>
    <w:rsid w:val="00A51F07"/>
    <w:rsid w:val="00A51F3B"/>
    <w:rsid w:val="00A52797"/>
    <w:rsid w:val="00A53B54"/>
    <w:rsid w:val="00A54197"/>
    <w:rsid w:val="00A5488E"/>
    <w:rsid w:val="00A555C2"/>
    <w:rsid w:val="00A55648"/>
    <w:rsid w:val="00A5594D"/>
    <w:rsid w:val="00A561DB"/>
    <w:rsid w:val="00A57552"/>
    <w:rsid w:val="00A605A5"/>
    <w:rsid w:val="00A61242"/>
    <w:rsid w:val="00A61974"/>
    <w:rsid w:val="00A61B88"/>
    <w:rsid w:val="00A626DF"/>
    <w:rsid w:val="00A62DAE"/>
    <w:rsid w:val="00A63316"/>
    <w:rsid w:val="00A63722"/>
    <w:rsid w:val="00A6541E"/>
    <w:rsid w:val="00A7016B"/>
    <w:rsid w:val="00A7034E"/>
    <w:rsid w:val="00A71020"/>
    <w:rsid w:val="00A7149D"/>
    <w:rsid w:val="00A71CBC"/>
    <w:rsid w:val="00A7269D"/>
    <w:rsid w:val="00A72891"/>
    <w:rsid w:val="00A72A10"/>
    <w:rsid w:val="00A73170"/>
    <w:rsid w:val="00A73184"/>
    <w:rsid w:val="00A732F1"/>
    <w:rsid w:val="00A76108"/>
    <w:rsid w:val="00A7666F"/>
    <w:rsid w:val="00A76AE5"/>
    <w:rsid w:val="00A76E48"/>
    <w:rsid w:val="00A7712A"/>
    <w:rsid w:val="00A771E8"/>
    <w:rsid w:val="00A776EA"/>
    <w:rsid w:val="00A77C7E"/>
    <w:rsid w:val="00A80536"/>
    <w:rsid w:val="00A81EB4"/>
    <w:rsid w:val="00A81F3D"/>
    <w:rsid w:val="00A835F8"/>
    <w:rsid w:val="00A83B8E"/>
    <w:rsid w:val="00A84578"/>
    <w:rsid w:val="00A8485D"/>
    <w:rsid w:val="00A84932"/>
    <w:rsid w:val="00A84B7E"/>
    <w:rsid w:val="00A84F92"/>
    <w:rsid w:val="00A85782"/>
    <w:rsid w:val="00A864F6"/>
    <w:rsid w:val="00A86A4D"/>
    <w:rsid w:val="00A870E5"/>
    <w:rsid w:val="00A87947"/>
    <w:rsid w:val="00A87FF3"/>
    <w:rsid w:val="00A903BD"/>
    <w:rsid w:val="00A90A88"/>
    <w:rsid w:val="00A90C85"/>
    <w:rsid w:val="00A916DF"/>
    <w:rsid w:val="00A921EC"/>
    <w:rsid w:val="00A92236"/>
    <w:rsid w:val="00A92237"/>
    <w:rsid w:val="00A93F92"/>
    <w:rsid w:val="00A951B1"/>
    <w:rsid w:val="00A953B4"/>
    <w:rsid w:val="00A95824"/>
    <w:rsid w:val="00A95C9F"/>
    <w:rsid w:val="00A96173"/>
    <w:rsid w:val="00A968E1"/>
    <w:rsid w:val="00A972AF"/>
    <w:rsid w:val="00A97E86"/>
    <w:rsid w:val="00AA07B1"/>
    <w:rsid w:val="00AA0D5F"/>
    <w:rsid w:val="00AA12C6"/>
    <w:rsid w:val="00AA131B"/>
    <w:rsid w:val="00AA15E8"/>
    <w:rsid w:val="00AA1729"/>
    <w:rsid w:val="00AA2309"/>
    <w:rsid w:val="00AA35BD"/>
    <w:rsid w:val="00AA430E"/>
    <w:rsid w:val="00AA43A6"/>
    <w:rsid w:val="00AA4419"/>
    <w:rsid w:val="00AA4CCB"/>
    <w:rsid w:val="00AA5047"/>
    <w:rsid w:val="00AA50C8"/>
    <w:rsid w:val="00AA58D5"/>
    <w:rsid w:val="00AA60A0"/>
    <w:rsid w:val="00AA61FB"/>
    <w:rsid w:val="00AA675C"/>
    <w:rsid w:val="00AA7038"/>
    <w:rsid w:val="00AA7339"/>
    <w:rsid w:val="00AA76E7"/>
    <w:rsid w:val="00AA78C5"/>
    <w:rsid w:val="00AA7EF1"/>
    <w:rsid w:val="00AA7F8D"/>
    <w:rsid w:val="00AA7FD4"/>
    <w:rsid w:val="00AB10E9"/>
    <w:rsid w:val="00AB155C"/>
    <w:rsid w:val="00AB3109"/>
    <w:rsid w:val="00AB424E"/>
    <w:rsid w:val="00AB478E"/>
    <w:rsid w:val="00AB604D"/>
    <w:rsid w:val="00AB6994"/>
    <w:rsid w:val="00AB6DEB"/>
    <w:rsid w:val="00AC00E3"/>
    <w:rsid w:val="00AC066F"/>
    <w:rsid w:val="00AC067B"/>
    <w:rsid w:val="00AC088F"/>
    <w:rsid w:val="00AC222F"/>
    <w:rsid w:val="00AC32C9"/>
    <w:rsid w:val="00AC37FB"/>
    <w:rsid w:val="00AC4AA7"/>
    <w:rsid w:val="00AC5BAF"/>
    <w:rsid w:val="00AC6A98"/>
    <w:rsid w:val="00AC70E4"/>
    <w:rsid w:val="00AC747D"/>
    <w:rsid w:val="00AC7943"/>
    <w:rsid w:val="00AC79CF"/>
    <w:rsid w:val="00AD01DB"/>
    <w:rsid w:val="00AD0B59"/>
    <w:rsid w:val="00AD0FA3"/>
    <w:rsid w:val="00AD160E"/>
    <w:rsid w:val="00AD1D91"/>
    <w:rsid w:val="00AD21E6"/>
    <w:rsid w:val="00AD224E"/>
    <w:rsid w:val="00AD22A9"/>
    <w:rsid w:val="00AD32AC"/>
    <w:rsid w:val="00AD32C5"/>
    <w:rsid w:val="00AD3DD9"/>
    <w:rsid w:val="00AD49C1"/>
    <w:rsid w:val="00AD4CAC"/>
    <w:rsid w:val="00AD54FD"/>
    <w:rsid w:val="00AD65C2"/>
    <w:rsid w:val="00AD69F2"/>
    <w:rsid w:val="00AD6BED"/>
    <w:rsid w:val="00AD78C1"/>
    <w:rsid w:val="00AE00CB"/>
    <w:rsid w:val="00AE00D9"/>
    <w:rsid w:val="00AE027B"/>
    <w:rsid w:val="00AE12FC"/>
    <w:rsid w:val="00AE15B9"/>
    <w:rsid w:val="00AE1695"/>
    <w:rsid w:val="00AE1967"/>
    <w:rsid w:val="00AE1CEF"/>
    <w:rsid w:val="00AE23C9"/>
    <w:rsid w:val="00AE33BC"/>
    <w:rsid w:val="00AE4E70"/>
    <w:rsid w:val="00AE5110"/>
    <w:rsid w:val="00AE5BE8"/>
    <w:rsid w:val="00AE5E9D"/>
    <w:rsid w:val="00AE607B"/>
    <w:rsid w:val="00AE66FD"/>
    <w:rsid w:val="00AE7049"/>
    <w:rsid w:val="00AE7573"/>
    <w:rsid w:val="00AE78A3"/>
    <w:rsid w:val="00AE7C89"/>
    <w:rsid w:val="00AF0361"/>
    <w:rsid w:val="00AF04AF"/>
    <w:rsid w:val="00AF04BC"/>
    <w:rsid w:val="00AF1907"/>
    <w:rsid w:val="00AF2213"/>
    <w:rsid w:val="00AF22A8"/>
    <w:rsid w:val="00AF2375"/>
    <w:rsid w:val="00AF25AE"/>
    <w:rsid w:val="00AF2932"/>
    <w:rsid w:val="00AF2A67"/>
    <w:rsid w:val="00AF34CA"/>
    <w:rsid w:val="00AF367D"/>
    <w:rsid w:val="00AF5276"/>
    <w:rsid w:val="00AF57CE"/>
    <w:rsid w:val="00AF5F6D"/>
    <w:rsid w:val="00AF6D58"/>
    <w:rsid w:val="00AF75A7"/>
    <w:rsid w:val="00B001A5"/>
    <w:rsid w:val="00B015F2"/>
    <w:rsid w:val="00B01A3B"/>
    <w:rsid w:val="00B01F8E"/>
    <w:rsid w:val="00B026DC"/>
    <w:rsid w:val="00B02FCA"/>
    <w:rsid w:val="00B03BD2"/>
    <w:rsid w:val="00B03E26"/>
    <w:rsid w:val="00B067B7"/>
    <w:rsid w:val="00B07B73"/>
    <w:rsid w:val="00B10D2D"/>
    <w:rsid w:val="00B10DE5"/>
    <w:rsid w:val="00B110C7"/>
    <w:rsid w:val="00B11320"/>
    <w:rsid w:val="00B11D75"/>
    <w:rsid w:val="00B1209A"/>
    <w:rsid w:val="00B12112"/>
    <w:rsid w:val="00B12CD2"/>
    <w:rsid w:val="00B13C4B"/>
    <w:rsid w:val="00B13FF9"/>
    <w:rsid w:val="00B144C3"/>
    <w:rsid w:val="00B1464D"/>
    <w:rsid w:val="00B15B9B"/>
    <w:rsid w:val="00B1601D"/>
    <w:rsid w:val="00B161B5"/>
    <w:rsid w:val="00B16A00"/>
    <w:rsid w:val="00B16DF8"/>
    <w:rsid w:val="00B20582"/>
    <w:rsid w:val="00B20B21"/>
    <w:rsid w:val="00B20BAB"/>
    <w:rsid w:val="00B21415"/>
    <w:rsid w:val="00B2144E"/>
    <w:rsid w:val="00B217F3"/>
    <w:rsid w:val="00B231B1"/>
    <w:rsid w:val="00B238A7"/>
    <w:rsid w:val="00B23A76"/>
    <w:rsid w:val="00B243F6"/>
    <w:rsid w:val="00B2532A"/>
    <w:rsid w:val="00B2623F"/>
    <w:rsid w:val="00B26BC2"/>
    <w:rsid w:val="00B30F80"/>
    <w:rsid w:val="00B31767"/>
    <w:rsid w:val="00B3299A"/>
    <w:rsid w:val="00B33DD1"/>
    <w:rsid w:val="00B34376"/>
    <w:rsid w:val="00B3438E"/>
    <w:rsid w:val="00B3439F"/>
    <w:rsid w:val="00B34793"/>
    <w:rsid w:val="00B34B9A"/>
    <w:rsid w:val="00B351A4"/>
    <w:rsid w:val="00B359AB"/>
    <w:rsid w:val="00B35BE4"/>
    <w:rsid w:val="00B35E53"/>
    <w:rsid w:val="00B36081"/>
    <w:rsid w:val="00B36996"/>
    <w:rsid w:val="00B373BB"/>
    <w:rsid w:val="00B37D79"/>
    <w:rsid w:val="00B4197D"/>
    <w:rsid w:val="00B41CAD"/>
    <w:rsid w:val="00B42934"/>
    <w:rsid w:val="00B43026"/>
    <w:rsid w:val="00B43235"/>
    <w:rsid w:val="00B43B8F"/>
    <w:rsid w:val="00B43C9A"/>
    <w:rsid w:val="00B43CC4"/>
    <w:rsid w:val="00B43E80"/>
    <w:rsid w:val="00B4406A"/>
    <w:rsid w:val="00B44E52"/>
    <w:rsid w:val="00B454A9"/>
    <w:rsid w:val="00B45EC6"/>
    <w:rsid w:val="00B46008"/>
    <w:rsid w:val="00B46727"/>
    <w:rsid w:val="00B46807"/>
    <w:rsid w:val="00B46968"/>
    <w:rsid w:val="00B47A90"/>
    <w:rsid w:val="00B47BDF"/>
    <w:rsid w:val="00B5053A"/>
    <w:rsid w:val="00B51852"/>
    <w:rsid w:val="00B51A5D"/>
    <w:rsid w:val="00B521A6"/>
    <w:rsid w:val="00B521AD"/>
    <w:rsid w:val="00B52AC4"/>
    <w:rsid w:val="00B52F89"/>
    <w:rsid w:val="00B535ED"/>
    <w:rsid w:val="00B53F03"/>
    <w:rsid w:val="00B55EF2"/>
    <w:rsid w:val="00B5604E"/>
    <w:rsid w:val="00B56289"/>
    <w:rsid w:val="00B56CF7"/>
    <w:rsid w:val="00B5714E"/>
    <w:rsid w:val="00B578AA"/>
    <w:rsid w:val="00B60086"/>
    <w:rsid w:val="00B6187C"/>
    <w:rsid w:val="00B63A76"/>
    <w:rsid w:val="00B64B33"/>
    <w:rsid w:val="00B64BD9"/>
    <w:rsid w:val="00B6505A"/>
    <w:rsid w:val="00B65D59"/>
    <w:rsid w:val="00B6668B"/>
    <w:rsid w:val="00B718FE"/>
    <w:rsid w:val="00B72348"/>
    <w:rsid w:val="00B724A6"/>
    <w:rsid w:val="00B728FE"/>
    <w:rsid w:val="00B7311F"/>
    <w:rsid w:val="00B75651"/>
    <w:rsid w:val="00B75724"/>
    <w:rsid w:val="00B77C9E"/>
    <w:rsid w:val="00B80DAE"/>
    <w:rsid w:val="00B811E5"/>
    <w:rsid w:val="00B815BC"/>
    <w:rsid w:val="00B832BF"/>
    <w:rsid w:val="00B84799"/>
    <w:rsid w:val="00B853D0"/>
    <w:rsid w:val="00B85B23"/>
    <w:rsid w:val="00B862DA"/>
    <w:rsid w:val="00B868D8"/>
    <w:rsid w:val="00B872B8"/>
    <w:rsid w:val="00B87371"/>
    <w:rsid w:val="00B87379"/>
    <w:rsid w:val="00B87BDB"/>
    <w:rsid w:val="00B90FCC"/>
    <w:rsid w:val="00B9213E"/>
    <w:rsid w:val="00B9283D"/>
    <w:rsid w:val="00B92C99"/>
    <w:rsid w:val="00B93966"/>
    <w:rsid w:val="00B93FCE"/>
    <w:rsid w:val="00B9420B"/>
    <w:rsid w:val="00B95F09"/>
    <w:rsid w:val="00B960F0"/>
    <w:rsid w:val="00B96E04"/>
    <w:rsid w:val="00B971B1"/>
    <w:rsid w:val="00B972D5"/>
    <w:rsid w:val="00B97695"/>
    <w:rsid w:val="00BA120C"/>
    <w:rsid w:val="00BA1D73"/>
    <w:rsid w:val="00BA23B2"/>
    <w:rsid w:val="00BA252E"/>
    <w:rsid w:val="00BA272D"/>
    <w:rsid w:val="00BA2E29"/>
    <w:rsid w:val="00BA361A"/>
    <w:rsid w:val="00BA3781"/>
    <w:rsid w:val="00BA51D4"/>
    <w:rsid w:val="00BA54AA"/>
    <w:rsid w:val="00BA59BE"/>
    <w:rsid w:val="00BA5B5B"/>
    <w:rsid w:val="00BA5E0E"/>
    <w:rsid w:val="00BA684F"/>
    <w:rsid w:val="00BA7528"/>
    <w:rsid w:val="00BA7E27"/>
    <w:rsid w:val="00BB0216"/>
    <w:rsid w:val="00BB0A7F"/>
    <w:rsid w:val="00BB0C95"/>
    <w:rsid w:val="00BB1FEC"/>
    <w:rsid w:val="00BB2086"/>
    <w:rsid w:val="00BB2281"/>
    <w:rsid w:val="00BB2E83"/>
    <w:rsid w:val="00BB2FC9"/>
    <w:rsid w:val="00BB3258"/>
    <w:rsid w:val="00BB33F4"/>
    <w:rsid w:val="00BB3AC6"/>
    <w:rsid w:val="00BB3ACC"/>
    <w:rsid w:val="00BB4B94"/>
    <w:rsid w:val="00BB5992"/>
    <w:rsid w:val="00BB60F2"/>
    <w:rsid w:val="00BB6323"/>
    <w:rsid w:val="00BB734E"/>
    <w:rsid w:val="00BB7571"/>
    <w:rsid w:val="00BB7B23"/>
    <w:rsid w:val="00BB7F08"/>
    <w:rsid w:val="00BB7FA5"/>
    <w:rsid w:val="00BC011C"/>
    <w:rsid w:val="00BC023A"/>
    <w:rsid w:val="00BC05B1"/>
    <w:rsid w:val="00BC0D75"/>
    <w:rsid w:val="00BC10B7"/>
    <w:rsid w:val="00BC282F"/>
    <w:rsid w:val="00BC2D88"/>
    <w:rsid w:val="00BC3102"/>
    <w:rsid w:val="00BC42FD"/>
    <w:rsid w:val="00BC4CEA"/>
    <w:rsid w:val="00BC53A0"/>
    <w:rsid w:val="00BC5892"/>
    <w:rsid w:val="00BC6425"/>
    <w:rsid w:val="00BC69DB"/>
    <w:rsid w:val="00BC7616"/>
    <w:rsid w:val="00BC7DBC"/>
    <w:rsid w:val="00BD0917"/>
    <w:rsid w:val="00BD11E6"/>
    <w:rsid w:val="00BD129E"/>
    <w:rsid w:val="00BD3E92"/>
    <w:rsid w:val="00BD4B09"/>
    <w:rsid w:val="00BD5149"/>
    <w:rsid w:val="00BD523A"/>
    <w:rsid w:val="00BD56CD"/>
    <w:rsid w:val="00BD5D23"/>
    <w:rsid w:val="00BD6DCC"/>
    <w:rsid w:val="00BD7293"/>
    <w:rsid w:val="00BD7F69"/>
    <w:rsid w:val="00BE027D"/>
    <w:rsid w:val="00BE0A3D"/>
    <w:rsid w:val="00BE0BBA"/>
    <w:rsid w:val="00BE1117"/>
    <w:rsid w:val="00BE1411"/>
    <w:rsid w:val="00BE1733"/>
    <w:rsid w:val="00BE2612"/>
    <w:rsid w:val="00BE26AA"/>
    <w:rsid w:val="00BE28F4"/>
    <w:rsid w:val="00BE2909"/>
    <w:rsid w:val="00BE2AD4"/>
    <w:rsid w:val="00BE3B26"/>
    <w:rsid w:val="00BE3E7F"/>
    <w:rsid w:val="00BE4150"/>
    <w:rsid w:val="00BE42FF"/>
    <w:rsid w:val="00BE4A15"/>
    <w:rsid w:val="00BE5E87"/>
    <w:rsid w:val="00BE631B"/>
    <w:rsid w:val="00BE6AAE"/>
    <w:rsid w:val="00BE6BFC"/>
    <w:rsid w:val="00BE6EA2"/>
    <w:rsid w:val="00BE73E5"/>
    <w:rsid w:val="00BE7A2A"/>
    <w:rsid w:val="00BF023D"/>
    <w:rsid w:val="00BF0692"/>
    <w:rsid w:val="00BF0C21"/>
    <w:rsid w:val="00BF188B"/>
    <w:rsid w:val="00BF1D3E"/>
    <w:rsid w:val="00BF1EDC"/>
    <w:rsid w:val="00BF206F"/>
    <w:rsid w:val="00BF3D67"/>
    <w:rsid w:val="00BF474C"/>
    <w:rsid w:val="00BF4978"/>
    <w:rsid w:val="00BF5F5E"/>
    <w:rsid w:val="00BF6481"/>
    <w:rsid w:val="00BF6C99"/>
    <w:rsid w:val="00BF74B8"/>
    <w:rsid w:val="00BF795F"/>
    <w:rsid w:val="00BF7F6C"/>
    <w:rsid w:val="00C01022"/>
    <w:rsid w:val="00C01081"/>
    <w:rsid w:val="00C0157E"/>
    <w:rsid w:val="00C0253E"/>
    <w:rsid w:val="00C03085"/>
    <w:rsid w:val="00C03630"/>
    <w:rsid w:val="00C0385C"/>
    <w:rsid w:val="00C03B06"/>
    <w:rsid w:val="00C04447"/>
    <w:rsid w:val="00C046C9"/>
    <w:rsid w:val="00C04890"/>
    <w:rsid w:val="00C05364"/>
    <w:rsid w:val="00C05CDA"/>
    <w:rsid w:val="00C05D96"/>
    <w:rsid w:val="00C107C7"/>
    <w:rsid w:val="00C108C0"/>
    <w:rsid w:val="00C10AE8"/>
    <w:rsid w:val="00C110BF"/>
    <w:rsid w:val="00C11168"/>
    <w:rsid w:val="00C125E1"/>
    <w:rsid w:val="00C12B52"/>
    <w:rsid w:val="00C12BCC"/>
    <w:rsid w:val="00C141D8"/>
    <w:rsid w:val="00C14985"/>
    <w:rsid w:val="00C15F4E"/>
    <w:rsid w:val="00C16149"/>
    <w:rsid w:val="00C16640"/>
    <w:rsid w:val="00C16B9C"/>
    <w:rsid w:val="00C174AD"/>
    <w:rsid w:val="00C177B8"/>
    <w:rsid w:val="00C17E3A"/>
    <w:rsid w:val="00C20126"/>
    <w:rsid w:val="00C20CEC"/>
    <w:rsid w:val="00C20E13"/>
    <w:rsid w:val="00C2116B"/>
    <w:rsid w:val="00C21FB6"/>
    <w:rsid w:val="00C22A4F"/>
    <w:rsid w:val="00C233DD"/>
    <w:rsid w:val="00C24B8A"/>
    <w:rsid w:val="00C24D89"/>
    <w:rsid w:val="00C25A96"/>
    <w:rsid w:val="00C26272"/>
    <w:rsid w:val="00C27245"/>
    <w:rsid w:val="00C27261"/>
    <w:rsid w:val="00C2774F"/>
    <w:rsid w:val="00C27BBB"/>
    <w:rsid w:val="00C27D90"/>
    <w:rsid w:val="00C27E58"/>
    <w:rsid w:val="00C30317"/>
    <w:rsid w:val="00C30686"/>
    <w:rsid w:val="00C312FC"/>
    <w:rsid w:val="00C31690"/>
    <w:rsid w:val="00C3215F"/>
    <w:rsid w:val="00C3396C"/>
    <w:rsid w:val="00C35A72"/>
    <w:rsid w:val="00C36A28"/>
    <w:rsid w:val="00C37205"/>
    <w:rsid w:val="00C401A0"/>
    <w:rsid w:val="00C40687"/>
    <w:rsid w:val="00C40C58"/>
    <w:rsid w:val="00C4168B"/>
    <w:rsid w:val="00C427B0"/>
    <w:rsid w:val="00C42DB5"/>
    <w:rsid w:val="00C42E85"/>
    <w:rsid w:val="00C43A61"/>
    <w:rsid w:val="00C43FD0"/>
    <w:rsid w:val="00C44B7E"/>
    <w:rsid w:val="00C44E8E"/>
    <w:rsid w:val="00C458CA"/>
    <w:rsid w:val="00C458EB"/>
    <w:rsid w:val="00C4620B"/>
    <w:rsid w:val="00C46D11"/>
    <w:rsid w:val="00C47DA4"/>
    <w:rsid w:val="00C47E1A"/>
    <w:rsid w:val="00C5101E"/>
    <w:rsid w:val="00C51716"/>
    <w:rsid w:val="00C51F4A"/>
    <w:rsid w:val="00C531D9"/>
    <w:rsid w:val="00C537A1"/>
    <w:rsid w:val="00C53EE7"/>
    <w:rsid w:val="00C53F9E"/>
    <w:rsid w:val="00C541CF"/>
    <w:rsid w:val="00C54C39"/>
    <w:rsid w:val="00C54C55"/>
    <w:rsid w:val="00C552C2"/>
    <w:rsid w:val="00C557CE"/>
    <w:rsid w:val="00C5617F"/>
    <w:rsid w:val="00C56304"/>
    <w:rsid w:val="00C5699F"/>
    <w:rsid w:val="00C57021"/>
    <w:rsid w:val="00C57436"/>
    <w:rsid w:val="00C57809"/>
    <w:rsid w:val="00C603C7"/>
    <w:rsid w:val="00C603FC"/>
    <w:rsid w:val="00C6049A"/>
    <w:rsid w:val="00C60F80"/>
    <w:rsid w:val="00C61328"/>
    <w:rsid w:val="00C61D31"/>
    <w:rsid w:val="00C61D72"/>
    <w:rsid w:val="00C6200C"/>
    <w:rsid w:val="00C62D63"/>
    <w:rsid w:val="00C636A3"/>
    <w:rsid w:val="00C63D5E"/>
    <w:rsid w:val="00C6406A"/>
    <w:rsid w:val="00C64CB6"/>
    <w:rsid w:val="00C65202"/>
    <w:rsid w:val="00C66FF9"/>
    <w:rsid w:val="00C70321"/>
    <w:rsid w:val="00C70B3B"/>
    <w:rsid w:val="00C71A0F"/>
    <w:rsid w:val="00C71B34"/>
    <w:rsid w:val="00C726F2"/>
    <w:rsid w:val="00C72C80"/>
    <w:rsid w:val="00C72E18"/>
    <w:rsid w:val="00C73261"/>
    <w:rsid w:val="00C7386F"/>
    <w:rsid w:val="00C73C04"/>
    <w:rsid w:val="00C7477E"/>
    <w:rsid w:val="00C75439"/>
    <w:rsid w:val="00C754B9"/>
    <w:rsid w:val="00C7590A"/>
    <w:rsid w:val="00C764E4"/>
    <w:rsid w:val="00C802CF"/>
    <w:rsid w:val="00C80E35"/>
    <w:rsid w:val="00C81065"/>
    <w:rsid w:val="00C817DC"/>
    <w:rsid w:val="00C832CA"/>
    <w:rsid w:val="00C8366F"/>
    <w:rsid w:val="00C840E7"/>
    <w:rsid w:val="00C84282"/>
    <w:rsid w:val="00C84DDB"/>
    <w:rsid w:val="00C852EE"/>
    <w:rsid w:val="00C85424"/>
    <w:rsid w:val="00C855C9"/>
    <w:rsid w:val="00C857D5"/>
    <w:rsid w:val="00C85A29"/>
    <w:rsid w:val="00C86733"/>
    <w:rsid w:val="00C870D8"/>
    <w:rsid w:val="00C87531"/>
    <w:rsid w:val="00C87730"/>
    <w:rsid w:val="00C90E9F"/>
    <w:rsid w:val="00C91189"/>
    <w:rsid w:val="00C915F1"/>
    <w:rsid w:val="00C92397"/>
    <w:rsid w:val="00C92EFC"/>
    <w:rsid w:val="00C933C3"/>
    <w:rsid w:val="00C93491"/>
    <w:rsid w:val="00C937AF"/>
    <w:rsid w:val="00C93BB8"/>
    <w:rsid w:val="00C93D0F"/>
    <w:rsid w:val="00C93EB1"/>
    <w:rsid w:val="00C947A6"/>
    <w:rsid w:val="00C9589C"/>
    <w:rsid w:val="00C969DA"/>
    <w:rsid w:val="00C96FCE"/>
    <w:rsid w:val="00C96FDF"/>
    <w:rsid w:val="00C97999"/>
    <w:rsid w:val="00C979FF"/>
    <w:rsid w:val="00CA0E09"/>
    <w:rsid w:val="00CA122D"/>
    <w:rsid w:val="00CA28F2"/>
    <w:rsid w:val="00CA2EB4"/>
    <w:rsid w:val="00CA2F85"/>
    <w:rsid w:val="00CA3736"/>
    <w:rsid w:val="00CA4B8B"/>
    <w:rsid w:val="00CA57A2"/>
    <w:rsid w:val="00CA63C0"/>
    <w:rsid w:val="00CA731B"/>
    <w:rsid w:val="00CA78D7"/>
    <w:rsid w:val="00CB0125"/>
    <w:rsid w:val="00CB0DF9"/>
    <w:rsid w:val="00CB0FA2"/>
    <w:rsid w:val="00CB12D5"/>
    <w:rsid w:val="00CB13D3"/>
    <w:rsid w:val="00CB1E1B"/>
    <w:rsid w:val="00CB2600"/>
    <w:rsid w:val="00CB27FC"/>
    <w:rsid w:val="00CB419F"/>
    <w:rsid w:val="00CB43BC"/>
    <w:rsid w:val="00CB44E6"/>
    <w:rsid w:val="00CB4909"/>
    <w:rsid w:val="00CB4D3A"/>
    <w:rsid w:val="00CB5157"/>
    <w:rsid w:val="00CB5A72"/>
    <w:rsid w:val="00CB5BE8"/>
    <w:rsid w:val="00CB5EED"/>
    <w:rsid w:val="00CB66BD"/>
    <w:rsid w:val="00CB67E2"/>
    <w:rsid w:val="00CB6BF2"/>
    <w:rsid w:val="00CB7415"/>
    <w:rsid w:val="00CB7671"/>
    <w:rsid w:val="00CB7DDB"/>
    <w:rsid w:val="00CC0415"/>
    <w:rsid w:val="00CC0569"/>
    <w:rsid w:val="00CC115C"/>
    <w:rsid w:val="00CC19CE"/>
    <w:rsid w:val="00CC262C"/>
    <w:rsid w:val="00CC32C4"/>
    <w:rsid w:val="00CC57AC"/>
    <w:rsid w:val="00CC64DC"/>
    <w:rsid w:val="00CC70A3"/>
    <w:rsid w:val="00CC79F9"/>
    <w:rsid w:val="00CD1430"/>
    <w:rsid w:val="00CD2712"/>
    <w:rsid w:val="00CD2C8A"/>
    <w:rsid w:val="00CD417E"/>
    <w:rsid w:val="00CD454D"/>
    <w:rsid w:val="00CD4724"/>
    <w:rsid w:val="00CD4EB1"/>
    <w:rsid w:val="00CD5DF2"/>
    <w:rsid w:val="00CD60F3"/>
    <w:rsid w:val="00CD675A"/>
    <w:rsid w:val="00CD71E8"/>
    <w:rsid w:val="00CE03C1"/>
    <w:rsid w:val="00CE0897"/>
    <w:rsid w:val="00CE0B17"/>
    <w:rsid w:val="00CE0C6E"/>
    <w:rsid w:val="00CE22AB"/>
    <w:rsid w:val="00CE3AD1"/>
    <w:rsid w:val="00CE4391"/>
    <w:rsid w:val="00CE46AD"/>
    <w:rsid w:val="00CE4C03"/>
    <w:rsid w:val="00CE4FE4"/>
    <w:rsid w:val="00CE52A0"/>
    <w:rsid w:val="00CE6714"/>
    <w:rsid w:val="00CE676F"/>
    <w:rsid w:val="00CE7D7C"/>
    <w:rsid w:val="00CF0832"/>
    <w:rsid w:val="00CF0C92"/>
    <w:rsid w:val="00CF13A6"/>
    <w:rsid w:val="00CF1891"/>
    <w:rsid w:val="00CF189C"/>
    <w:rsid w:val="00CF1AEC"/>
    <w:rsid w:val="00CF1C7A"/>
    <w:rsid w:val="00CF1C8A"/>
    <w:rsid w:val="00CF2430"/>
    <w:rsid w:val="00CF314C"/>
    <w:rsid w:val="00CF3637"/>
    <w:rsid w:val="00CF3D88"/>
    <w:rsid w:val="00CF3E90"/>
    <w:rsid w:val="00CF3ED2"/>
    <w:rsid w:val="00CF41DC"/>
    <w:rsid w:val="00CF4587"/>
    <w:rsid w:val="00CF4826"/>
    <w:rsid w:val="00CF5093"/>
    <w:rsid w:val="00CF594D"/>
    <w:rsid w:val="00CF5B53"/>
    <w:rsid w:val="00CF61C1"/>
    <w:rsid w:val="00CF6696"/>
    <w:rsid w:val="00D00010"/>
    <w:rsid w:val="00D01BA1"/>
    <w:rsid w:val="00D01C08"/>
    <w:rsid w:val="00D028A4"/>
    <w:rsid w:val="00D047A2"/>
    <w:rsid w:val="00D05AE8"/>
    <w:rsid w:val="00D06460"/>
    <w:rsid w:val="00D06975"/>
    <w:rsid w:val="00D06F7E"/>
    <w:rsid w:val="00D10B19"/>
    <w:rsid w:val="00D111A2"/>
    <w:rsid w:val="00D12752"/>
    <w:rsid w:val="00D12CBC"/>
    <w:rsid w:val="00D1324A"/>
    <w:rsid w:val="00D13530"/>
    <w:rsid w:val="00D138D1"/>
    <w:rsid w:val="00D14956"/>
    <w:rsid w:val="00D14EE1"/>
    <w:rsid w:val="00D154D5"/>
    <w:rsid w:val="00D164F1"/>
    <w:rsid w:val="00D168F9"/>
    <w:rsid w:val="00D16ED3"/>
    <w:rsid w:val="00D16F1E"/>
    <w:rsid w:val="00D17C09"/>
    <w:rsid w:val="00D17C67"/>
    <w:rsid w:val="00D17E73"/>
    <w:rsid w:val="00D17EFA"/>
    <w:rsid w:val="00D20B14"/>
    <w:rsid w:val="00D20BB3"/>
    <w:rsid w:val="00D216F5"/>
    <w:rsid w:val="00D217BE"/>
    <w:rsid w:val="00D23DBD"/>
    <w:rsid w:val="00D23F03"/>
    <w:rsid w:val="00D24C50"/>
    <w:rsid w:val="00D25430"/>
    <w:rsid w:val="00D25F1A"/>
    <w:rsid w:val="00D26199"/>
    <w:rsid w:val="00D27166"/>
    <w:rsid w:val="00D27FD4"/>
    <w:rsid w:val="00D302AB"/>
    <w:rsid w:val="00D30777"/>
    <w:rsid w:val="00D3142A"/>
    <w:rsid w:val="00D31605"/>
    <w:rsid w:val="00D31631"/>
    <w:rsid w:val="00D31ECC"/>
    <w:rsid w:val="00D32170"/>
    <w:rsid w:val="00D321EA"/>
    <w:rsid w:val="00D3249C"/>
    <w:rsid w:val="00D32897"/>
    <w:rsid w:val="00D32ECB"/>
    <w:rsid w:val="00D330AE"/>
    <w:rsid w:val="00D3386D"/>
    <w:rsid w:val="00D36ED1"/>
    <w:rsid w:val="00D36F01"/>
    <w:rsid w:val="00D37599"/>
    <w:rsid w:val="00D375E5"/>
    <w:rsid w:val="00D37A66"/>
    <w:rsid w:val="00D37BDE"/>
    <w:rsid w:val="00D37F67"/>
    <w:rsid w:val="00D4058B"/>
    <w:rsid w:val="00D415D1"/>
    <w:rsid w:val="00D41D9F"/>
    <w:rsid w:val="00D42CDC"/>
    <w:rsid w:val="00D438FD"/>
    <w:rsid w:val="00D50365"/>
    <w:rsid w:val="00D505CE"/>
    <w:rsid w:val="00D5124E"/>
    <w:rsid w:val="00D518E1"/>
    <w:rsid w:val="00D51EA5"/>
    <w:rsid w:val="00D51F65"/>
    <w:rsid w:val="00D52794"/>
    <w:rsid w:val="00D528C1"/>
    <w:rsid w:val="00D529E4"/>
    <w:rsid w:val="00D52E05"/>
    <w:rsid w:val="00D53070"/>
    <w:rsid w:val="00D5364B"/>
    <w:rsid w:val="00D54234"/>
    <w:rsid w:val="00D54911"/>
    <w:rsid w:val="00D54B14"/>
    <w:rsid w:val="00D553E7"/>
    <w:rsid w:val="00D56FF7"/>
    <w:rsid w:val="00D57164"/>
    <w:rsid w:val="00D5767F"/>
    <w:rsid w:val="00D5791C"/>
    <w:rsid w:val="00D57E84"/>
    <w:rsid w:val="00D60201"/>
    <w:rsid w:val="00D608EF"/>
    <w:rsid w:val="00D6174F"/>
    <w:rsid w:val="00D62323"/>
    <w:rsid w:val="00D62892"/>
    <w:rsid w:val="00D6414C"/>
    <w:rsid w:val="00D642FF"/>
    <w:rsid w:val="00D65195"/>
    <w:rsid w:val="00D66782"/>
    <w:rsid w:val="00D66BF2"/>
    <w:rsid w:val="00D67353"/>
    <w:rsid w:val="00D701AD"/>
    <w:rsid w:val="00D70974"/>
    <w:rsid w:val="00D718F7"/>
    <w:rsid w:val="00D71A34"/>
    <w:rsid w:val="00D71D0F"/>
    <w:rsid w:val="00D71D5D"/>
    <w:rsid w:val="00D720EC"/>
    <w:rsid w:val="00D72C38"/>
    <w:rsid w:val="00D72F11"/>
    <w:rsid w:val="00D73E9C"/>
    <w:rsid w:val="00D73F1C"/>
    <w:rsid w:val="00D74137"/>
    <w:rsid w:val="00D743DB"/>
    <w:rsid w:val="00D767FF"/>
    <w:rsid w:val="00D775DD"/>
    <w:rsid w:val="00D77A18"/>
    <w:rsid w:val="00D77DB0"/>
    <w:rsid w:val="00D803E2"/>
    <w:rsid w:val="00D8069C"/>
    <w:rsid w:val="00D807CD"/>
    <w:rsid w:val="00D808C5"/>
    <w:rsid w:val="00D810E8"/>
    <w:rsid w:val="00D82152"/>
    <w:rsid w:val="00D82205"/>
    <w:rsid w:val="00D82F41"/>
    <w:rsid w:val="00D8347B"/>
    <w:rsid w:val="00D83488"/>
    <w:rsid w:val="00D84AD8"/>
    <w:rsid w:val="00D85E15"/>
    <w:rsid w:val="00D86288"/>
    <w:rsid w:val="00D86F99"/>
    <w:rsid w:val="00D876C6"/>
    <w:rsid w:val="00D90D59"/>
    <w:rsid w:val="00D9194B"/>
    <w:rsid w:val="00D92352"/>
    <w:rsid w:val="00D9287E"/>
    <w:rsid w:val="00D934E9"/>
    <w:rsid w:val="00D938D9"/>
    <w:rsid w:val="00D960ED"/>
    <w:rsid w:val="00DA0A6D"/>
    <w:rsid w:val="00DA0CF2"/>
    <w:rsid w:val="00DA1024"/>
    <w:rsid w:val="00DA1176"/>
    <w:rsid w:val="00DA2262"/>
    <w:rsid w:val="00DA3804"/>
    <w:rsid w:val="00DA3DD8"/>
    <w:rsid w:val="00DA49B3"/>
    <w:rsid w:val="00DA50E7"/>
    <w:rsid w:val="00DA5DAE"/>
    <w:rsid w:val="00DA6AF4"/>
    <w:rsid w:val="00DA6B79"/>
    <w:rsid w:val="00DA71E7"/>
    <w:rsid w:val="00DA77D0"/>
    <w:rsid w:val="00DA78FD"/>
    <w:rsid w:val="00DB0463"/>
    <w:rsid w:val="00DB0E25"/>
    <w:rsid w:val="00DB1EC5"/>
    <w:rsid w:val="00DB25E6"/>
    <w:rsid w:val="00DB3572"/>
    <w:rsid w:val="00DB35E8"/>
    <w:rsid w:val="00DB398B"/>
    <w:rsid w:val="00DB42B7"/>
    <w:rsid w:val="00DB59AF"/>
    <w:rsid w:val="00DB63D9"/>
    <w:rsid w:val="00DB6609"/>
    <w:rsid w:val="00DB67F3"/>
    <w:rsid w:val="00DB6EDE"/>
    <w:rsid w:val="00DB7FD3"/>
    <w:rsid w:val="00DC0E7F"/>
    <w:rsid w:val="00DC1CC4"/>
    <w:rsid w:val="00DC20EB"/>
    <w:rsid w:val="00DC45D2"/>
    <w:rsid w:val="00DC4C2E"/>
    <w:rsid w:val="00DC533C"/>
    <w:rsid w:val="00DC53BE"/>
    <w:rsid w:val="00DC5E15"/>
    <w:rsid w:val="00DC64F3"/>
    <w:rsid w:val="00DC6592"/>
    <w:rsid w:val="00DC6AD8"/>
    <w:rsid w:val="00DC6CAE"/>
    <w:rsid w:val="00DC6F07"/>
    <w:rsid w:val="00DC7098"/>
    <w:rsid w:val="00DC72F7"/>
    <w:rsid w:val="00DD01E7"/>
    <w:rsid w:val="00DD0F09"/>
    <w:rsid w:val="00DD211B"/>
    <w:rsid w:val="00DD3530"/>
    <w:rsid w:val="00DD5235"/>
    <w:rsid w:val="00DD57E1"/>
    <w:rsid w:val="00DD57E8"/>
    <w:rsid w:val="00DD66F6"/>
    <w:rsid w:val="00DD6904"/>
    <w:rsid w:val="00DD6EDE"/>
    <w:rsid w:val="00DD772F"/>
    <w:rsid w:val="00DE1864"/>
    <w:rsid w:val="00DE2071"/>
    <w:rsid w:val="00DE247D"/>
    <w:rsid w:val="00DE291E"/>
    <w:rsid w:val="00DE2F8C"/>
    <w:rsid w:val="00DE3252"/>
    <w:rsid w:val="00DE32D9"/>
    <w:rsid w:val="00DE38CC"/>
    <w:rsid w:val="00DE46AF"/>
    <w:rsid w:val="00DE4908"/>
    <w:rsid w:val="00DE4B22"/>
    <w:rsid w:val="00DE4B41"/>
    <w:rsid w:val="00DE4DEE"/>
    <w:rsid w:val="00DE512D"/>
    <w:rsid w:val="00DE51E7"/>
    <w:rsid w:val="00DE66A9"/>
    <w:rsid w:val="00DE6762"/>
    <w:rsid w:val="00DE702C"/>
    <w:rsid w:val="00DE70BC"/>
    <w:rsid w:val="00DE7614"/>
    <w:rsid w:val="00DE7A19"/>
    <w:rsid w:val="00DE7BEA"/>
    <w:rsid w:val="00DF1289"/>
    <w:rsid w:val="00DF1404"/>
    <w:rsid w:val="00DF16BD"/>
    <w:rsid w:val="00DF1740"/>
    <w:rsid w:val="00DF216E"/>
    <w:rsid w:val="00DF27C0"/>
    <w:rsid w:val="00DF2CC6"/>
    <w:rsid w:val="00DF3F91"/>
    <w:rsid w:val="00DF553F"/>
    <w:rsid w:val="00DF5B80"/>
    <w:rsid w:val="00DF6B0A"/>
    <w:rsid w:val="00DF6B6D"/>
    <w:rsid w:val="00DF75A4"/>
    <w:rsid w:val="00E01357"/>
    <w:rsid w:val="00E019E3"/>
    <w:rsid w:val="00E01A3A"/>
    <w:rsid w:val="00E01DAF"/>
    <w:rsid w:val="00E032E7"/>
    <w:rsid w:val="00E03CA1"/>
    <w:rsid w:val="00E0406A"/>
    <w:rsid w:val="00E04E84"/>
    <w:rsid w:val="00E050D4"/>
    <w:rsid w:val="00E05621"/>
    <w:rsid w:val="00E058A3"/>
    <w:rsid w:val="00E05F89"/>
    <w:rsid w:val="00E108A6"/>
    <w:rsid w:val="00E1162A"/>
    <w:rsid w:val="00E119F6"/>
    <w:rsid w:val="00E11CFC"/>
    <w:rsid w:val="00E11EFA"/>
    <w:rsid w:val="00E12199"/>
    <w:rsid w:val="00E1232B"/>
    <w:rsid w:val="00E12C25"/>
    <w:rsid w:val="00E12DD8"/>
    <w:rsid w:val="00E12EFB"/>
    <w:rsid w:val="00E1301F"/>
    <w:rsid w:val="00E13192"/>
    <w:rsid w:val="00E14123"/>
    <w:rsid w:val="00E14AEA"/>
    <w:rsid w:val="00E14FAC"/>
    <w:rsid w:val="00E1603F"/>
    <w:rsid w:val="00E16258"/>
    <w:rsid w:val="00E16B0A"/>
    <w:rsid w:val="00E17084"/>
    <w:rsid w:val="00E17833"/>
    <w:rsid w:val="00E20B39"/>
    <w:rsid w:val="00E218B1"/>
    <w:rsid w:val="00E220F0"/>
    <w:rsid w:val="00E223C7"/>
    <w:rsid w:val="00E228F2"/>
    <w:rsid w:val="00E22D79"/>
    <w:rsid w:val="00E22D94"/>
    <w:rsid w:val="00E23545"/>
    <w:rsid w:val="00E23747"/>
    <w:rsid w:val="00E238FC"/>
    <w:rsid w:val="00E25293"/>
    <w:rsid w:val="00E25A93"/>
    <w:rsid w:val="00E25FCB"/>
    <w:rsid w:val="00E26F22"/>
    <w:rsid w:val="00E3035F"/>
    <w:rsid w:val="00E30A1C"/>
    <w:rsid w:val="00E30F31"/>
    <w:rsid w:val="00E31A0C"/>
    <w:rsid w:val="00E334A2"/>
    <w:rsid w:val="00E337E8"/>
    <w:rsid w:val="00E33872"/>
    <w:rsid w:val="00E33E3F"/>
    <w:rsid w:val="00E3405B"/>
    <w:rsid w:val="00E35BE2"/>
    <w:rsid w:val="00E35C35"/>
    <w:rsid w:val="00E37268"/>
    <w:rsid w:val="00E377B0"/>
    <w:rsid w:val="00E37B12"/>
    <w:rsid w:val="00E401BF"/>
    <w:rsid w:val="00E4033F"/>
    <w:rsid w:val="00E4137B"/>
    <w:rsid w:val="00E4163E"/>
    <w:rsid w:val="00E430CD"/>
    <w:rsid w:val="00E44244"/>
    <w:rsid w:val="00E50020"/>
    <w:rsid w:val="00E508D2"/>
    <w:rsid w:val="00E511C5"/>
    <w:rsid w:val="00E511D1"/>
    <w:rsid w:val="00E512DB"/>
    <w:rsid w:val="00E51E0D"/>
    <w:rsid w:val="00E526D0"/>
    <w:rsid w:val="00E539C8"/>
    <w:rsid w:val="00E53C16"/>
    <w:rsid w:val="00E53EBC"/>
    <w:rsid w:val="00E55206"/>
    <w:rsid w:val="00E5530D"/>
    <w:rsid w:val="00E563DC"/>
    <w:rsid w:val="00E56DCF"/>
    <w:rsid w:val="00E57447"/>
    <w:rsid w:val="00E6085F"/>
    <w:rsid w:val="00E6110D"/>
    <w:rsid w:val="00E6269D"/>
    <w:rsid w:val="00E632C9"/>
    <w:rsid w:val="00E6345F"/>
    <w:rsid w:val="00E639BE"/>
    <w:rsid w:val="00E63B49"/>
    <w:rsid w:val="00E63BA6"/>
    <w:rsid w:val="00E63E76"/>
    <w:rsid w:val="00E64D61"/>
    <w:rsid w:val="00E658DD"/>
    <w:rsid w:val="00E658E5"/>
    <w:rsid w:val="00E659CA"/>
    <w:rsid w:val="00E66099"/>
    <w:rsid w:val="00E668DA"/>
    <w:rsid w:val="00E67925"/>
    <w:rsid w:val="00E67EDD"/>
    <w:rsid w:val="00E7002A"/>
    <w:rsid w:val="00E70175"/>
    <w:rsid w:val="00E7055F"/>
    <w:rsid w:val="00E71A37"/>
    <w:rsid w:val="00E7221A"/>
    <w:rsid w:val="00E738E1"/>
    <w:rsid w:val="00E75762"/>
    <w:rsid w:val="00E7602D"/>
    <w:rsid w:val="00E7658E"/>
    <w:rsid w:val="00E775F6"/>
    <w:rsid w:val="00E81F10"/>
    <w:rsid w:val="00E835E3"/>
    <w:rsid w:val="00E83C15"/>
    <w:rsid w:val="00E84027"/>
    <w:rsid w:val="00E843DA"/>
    <w:rsid w:val="00E8459E"/>
    <w:rsid w:val="00E8476C"/>
    <w:rsid w:val="00E847C7"/>
    <w:rsid w:val="00E8610F"/>
    <w:rsid w:val="00E866BC"/>
    <w:rsid w:val="00E868EF"/>
    <w:rsid w:val="00E869E5"/>
    <w:rsid w:val="00E86CCA"/>
    <w:rsid w:val="00E86E55"/>
    <w:rsid w:val="00E87422"/>
    <w:rsid w:val="00E90CFD"/>
    <w:rsid w:val="00E91696"/>
    <w:rsid w:val="00E92345"/>
    <w:rsid w:val="00E928AE"/>
    <w:rsid w:val="00E928BD"/>
    <w:rsid w:val="00E92997"/>
    <w:rsid w:val="00E92A3E"/>
    <w:rsid w:val="00E92BDB"/>
    <w:rsid w:val="00E9415D"/>
    <w:rsid w:val="00E94FF3"/>
    <w:rsid w:val="00E952E8"/>
    <w:rsid w:val="00E957A0"/>
    <w:rsid w:val="00E96646"/>
    <w:rsid w:val="00E97444"/>
    <w:rsid w:val="00E97DD1"/>
    <w:rsid w:val="00EA01BE"/>
    <w:rsid w:val="00EA02A5"/>
    <w:rsid w:val="00EA05B9"/>
    <w:rsid w:val="00EA0E29"/>
    <w:rsid w:val="00EA104D"/>
    <w:rsid w:val="00EA15DE"/>
    <w:rsid w:val="00EA1781"/>
    <w:rsid w:val="00EA2709"/>
    <w:rsid w:val="00EA2D03"/>
    <w:rsid w:val="00EA319B"/>
    <w:rsid w:val="00EA37C1"/>
    <w:rsid w:val="00EA3874"/>
    <w:rsid w:val="00EA39C6"/>
    <w:rsid w:val="00EA43B9"/>
    <w:rsid w:val="00EA466A"/>
    <w:rsid w:val="00EA47A9"/>
    <w:rsid w:val="00EA4E0B"/>
    <w:rsid w:val="00EA68CE"/>
    <w:rsid w:val="00EA6EAE"/>
    <w:rsid w:val="00EA720E"/>
    <w:rsid w:val="00EA7D01"/>
    <w:rsid w:val="00EB00F7"/>
    <w:rsid w:val="00EB019B"/>
    <w:rsid w:val="00EB09CC"/>
    <w:rsid w:val="00EB0BC5"/>
    <w:rsid w:val="00EB0DB8"/>
    <w:rsid w:val="00EB113C"/>
    <w:rsid w:val="00EB1434"/>
    <w:rsid w:val="00EB1D35"/>
    <w:rsid w:val="00EB2573"/>
    <w:rsid w:val="00EB25EA"/>
    <w:rsid w:val="00EB3EF9"/>
    <w:rsid w:val="00EB463B"/>
    <w:rsid w:val="00EB5C80"/>
    <w:rsid w:val="00EC1894"/>
    <w:rsid w:val="00EC1965"/>
    <w:rsid w:val="00EC2821"/>
    <w:rsid w:val="00EC32FC"/>
    <w:rsid w:val="00EC378E"/>
    <w:rsid w:val="00EC39F7"/>
    <w:rsid w:val="00EC3B82"/>
    <w:rsid w:val="00EC5AF1"/>
    <w:rsid w:val="00EC734D"/>
    <w:rsid w:val="00ED0D87"/>
    <w:rsid w:val="00ED1518"/>
    <w:rsid w:val="00ED2437"/>
    <w:rsid w:val="00ED3365"/>
    <w:rsid w:val="00ED38F3"/>
    <w:rsid w:val="00ED3963"/>
    <w:rsid w:val="00ED3E6C"/>
    <w:rsid w:val="00ED43F4"/>
    <w:rsid w:val="00ED525C"/>
    <w:rsid w:val="00ED6AC2"/>
    <w:rsid w:val="00ED6DC9"/>
    <w:rsid w:val="00ED7154"/>
    <w:rsid w:val="00ED777F"/>
    <w:rsid w:val="00ED7BEE"/>
    <w:rsid w:val="00EE04C8"/>
    <w:rsid w:val="00EE06B1"/>
    <w:rsid w:val="00EE08E9"/>
    <w:rsid w:val="00EE099B"/>
    <w:rsid w:val="00EE10A0"/>
    <w:rsid w:val="00EE112D"/>
    <w:rsid w:val="00EE116B"/>
    <w:rsid w:val="00EE1217"/>
    <w:rsid w:val="00EE2048"/>
    <w:rsid w:val="00EE2586"/>
    <w:rsid w:val="00EE25EE"/>
    <w:rsid w:val="00EE25FC"/>
    <w:rsid w:val="00EE34A0"/>
    <w:rsid w:val="00EE3756"/>
    <w:rsid w:val="00EE45AD"/>
    <w:rsid w:val="00EE59CB"/>
    <w:rsid w:val="00EE6799"/>
    <w:rsid w:val="00EE6A84"/>
    <w:rsid w:val="00EE7058"/>
    <w:rsid w:val="00EE72BA"/>
    <w:rsid w:val="00EE7A1E"/>
    <w:rsid w:val="00EF24F3"/>
    <w:rsid w:val="00EF36AA"/>
    <w:rsid w:val="00EF3812"/>
    <w:rsid w:val="00EF3B81"/>
    <w:rsid w:val="00EF3E59"/>
    <w:rsid w:val="00EF4509"/>
    <w:rsid w:val="00EF45CB"/>
    <w:rsid w:val="00EF46D1"/>
    <w:rsid w:val="00EF4816"/>
    <w:rsid w:val="00EF4E2E"/>
    <w:rsid w:val="00EF5238"/>
    <w:rsid w:val="00EF53FB"/>
    <w:rsid w:val="00EF5425"/>
    <w:rsid w:val="00EF6410"/>
    <w:rsid w:val="00EF661D"/>
    <w:rsid w:val="00EF6E8C"/>
    <w:rsid w:val="00EF6FF1"/>
    <w:rsid w:val="00EF7E1F"/>
    <w:rsid w:val="00F006E7"/>
    <w:rsid w:val="00F00C25"/>
    <w:rsid w:val="00F00DC2"/>
    <w:rsid w:val="00F01023"/>
    <w:rsid w:val="00F01DAE"/>
    <w:rsid w:val="00F03B14"/>
    <w:rsid w:val="00F04173"/>
    <w:rsid w:val="00F050DC"/>
    <w:rsid w:val="00F051AE"/>
    <w:rsid w:val="00F054A3"/>
    <w:rsid w:val="00F074AB"/>
    <w:rsid w:val="00F076D9"/>
    <w:rsid w:val="00F077F0"/>
    <w:rsid w:val="00F07AD8"/>
    <w:rsid w:val="00F07FEA"/>
    <w:rsid w:val="00F114F9"/>
    <w:rsid w:val="00F11F68"/>
    <w:rsid w:val="00F12928"/>
    <w:rsid w:val="00F13D15"/>
    <w:rsid w:val="00F14292"/>
    <w:rsid w:val="00F14FF1"/>
    <w:rsid w:val="00F150E1"/>
    <w:rsid w:val="00F16877"/>
    <w:rsid w:val="00F16A6D"/>
    <w:rsid w:val="00F17992"/>
    <w:rsid w:val="00F205D6"/>
    <w:rsid w:val="00F20653"/>
    <w:rsid w:val="00F21558"/>
    <w:rsid w:val="00F221A6"/>
    <w:rsid w:val="00F223C7"/>
    <w:rsid w:val="00F228B4"/>
    <w:rsid w:val="00F23AE1"/>
    <w:rsid w:val="00F23F19"/>
    <w:rsid w:val="00F24012"/>
    <w:rsid w:val="00F247A4"/>
    <w:rsid w:val="00F249C9"/>
    <w:rsid w:val="00F24FFB"/>
    <w:rsid w:val="00F25FF3"/>
    <w:rsid w:val="00F2660E"/>
    <w:rsid w:val="00F26CE9"/>
    <w:rsid w:val="00F30C13"/>
    <w:rsid w:val="00F30D23"/>
    <w:rsid w:val="00F30F88"/>
    <w:rsid w:val="00F312EB"/>
    <w:rsid w:val="00F316E9"/>
    <w:rsid w:val="00F3212D"/>
    <w:rsid w:val="00F32B67"/>
    <w:rsid w:val="00F32C69"/>
    <w:rsid w:val="00F33E94"/>
    <w:rsid w:val="00F3440F"/>
    <w:rsid w:val="00F34DF9"/>
    <w:rsid w:val="00F3564D"/>
    <w:rsid w:val="00F37741"/>
    <w:rsid w:val="00F37DFD"/>
    <w:rsid w:val="00F37E3E"/>
    <w:rsid w:val="00F404CB"/>
    <w:rsid w:val="00F41415"/>
    <w:rsid w:val="00F42BE5"/>
    <w:rsid w:val="00F434BD"/>
    <w:rsid w:val="00F443E5"/>
    <w:rsid w:val="00F44DD0"/>
    <w:rsid w:val="00F453BF"/>
    <w:rsid w:val="00F45497"/>
    <w:rsid w:val="00F465D6"/>
    <w:rsid w:val="00F472EA"/>
    <w:rsid w:val="00F51656"/>
    <w:rsid w:val="00F521DB"/>
    <w:rsid w:val="00F542C9"/>
    <w:rsid w:val="00F543F4"/>
    <w:rsid w:val="00F54420"/>
    <w:rsid w:val="00F54D02"/>
    <w:rsid w:val="00F55CDF"/>
    <w:rsid w:val="00F560AA"/>
    <w:rsid w:val="00F56106"/>
    <w:rsid w:val="00F5634A"/>
    <w:rsid w:val="00F56A20"/>
    <w:rsid w:val="00F56C52"/>
    <w:rsid w:val="00F56E6F"/>
    <w:rsid w:val="00F56EEB"/>
    <w:rsid w:val="00F57175"/>
    <w:rsid w:val="00F57302"/>
    <w:rsid w:val="00F6184E"/>
    <w:rsid w:val="00F61B6D"/>
    <w:rsid w:val="00F62317"/>
    <w:rsid w:val="00F62AF8"/>
    <w:rsid w:val="00F62DE9"/>
    <w:rsid w:val="00F63C52"/>
    <w:rsid w:val="00F63EEA"/>
    <w:rsid w:val="00F63FA8"/>
    <w:rsid w:val="00F652B0"/>
    <w:rsid w:val="00F66995"/>
    <w:rsid w:val="00F66C58"/>
    <w:rsid w:val="00F67D40"/>
    <w:rsid w:val="00F67D97"/>
    <w:rsid w:val="00F70203"/>
    <w:rsid w:val="00F7028F"/>
    <w:rsid w:val="00F70AD3"/>
    <w:rsid w:val="00F7114B"/>
    <w:rsid w:val="00F717E3"/>
    <w:rsid w:val="00F71815"/>
    <w:rsid w:val="00F731B0"/>
    <w:rsid w:val="00F734CD"/>
    <w:rsid w:val="00F738C8"/>
    <w:rsid w:val="00F74357"/>
    <w:rsid w:val="00F744BF"/>
    <w:rsid w:val="00F74F53"/>
    <w:rsid w:val="00F7511A"/>
    <w:rsid w:val="00F75510"/>
    <w:rsid w:val="00F76210"/>
    <w:rsid w:val="00F762E0"/>
    <w:rsid w:val="00F77E20"/>
    <w:rsid w:val="00F80332"/>
    <w:rsid w:val="00F80333"/>
    <w:rsid w:val="00F80EE2"/>
    <w:rsid w:val="00F8199F"/>
    <w:rsid w:val="00F81CFD"/>
    <w:rsid w:val="00F8293A"/>
    <w:rsid w:val="00F82E1C"/>
    <w:rsid w:val="00F8316B"/>
    <w:rsid w:val="00F83343"/>
    <w:rsid w:val="00F83805"/>
    <w:rsid w:val="00F83940"/>
    <w:rsid w:val="00F83A34"/>
    <w:rsid w:val="00F83ACB"/>
    <w:rsid w:val="00F83D93"/>
    <w:rsid w:val="00F847BB"/>
    <w:rsid w:val="00F847F7"/>
    <w:rsid w:val="00F849AE"/>
    <w:rsid w:val="00F84EE3"/>
    <w:rsid w:val="00F85F62"/>
    <w:rsid w:val="00F864B0"/>
    <w:rsid w:val="00F86EBB"/>
    <w:rsid w:val="00F87133"/>
    <w:rsid w:val="00F87CF8"/>
    <w:rsid w:val="00F87DE3"/>
    <w:rsid w:val="00F90154"/>
    <w:rsid w:val="00F91D03"/>
    <w:rsid w:val="00F9203F"/>
    <w:rsid w:val="00F9215C"/>
    <w:rsid w:val="00F922C7"/>
    <w:rsid w:val="00F92D42"/>
    <w:rsid w:val="00F940FB"/>
    <w:rsid w:val="00F94171"/>
    <w:rsid w:val="00F94F8B"/>
    <w:rsid w:val="00F958DF"/>
    <w:rsid w:val="00F969C9"/>
    <w:rsid w:val="00F973AD"/>
    <w:rsid w:val="00F97BC6"/>
    <w:rsid w:val="00F97F1D"/>
    <w:rsid w:val="00FA0293"/>
    <w:rsid w:val="00FA06D1"/>
    <w:rsid w:val="00FA10E0"/>
    <w:rsid w:val="00FA1993"/>
    <w:rsid w:val="00FA1D0A"/>
    <w:rsid w:val="00FA1D77"/>
    <w:rsid w:val="00FA2476"/>
    <w:rsid w:val="00FA2CFE"/>
    <w:rsid w:val="00FA3596"/>
    <w:rsid w:val="00FA49C6"/>
    <w:rsid w:val="00FA5CED"/>
    <w:rsid w:val="00FA63B6"/>
    <w:rsid w:val="00FA6707"/>
    <w:rsid w:val="00FA74C8"/>
    <w:rsid w:val="00FA7525"/>
    <w:rsid w:val="00FA762A"/>
    <w:rsid w:val="00FA7DF7"/>
    <w:rsid w:val="00FB0425"/>
    <w:rsid w:val="00FB04EB"/>
    <w:rsid w:val="00FB0A3B"/>
    <w:rsid w:val="00FB0DCC"/>
    <w:rsid w:val="00FB1673"/>
    <w:rsid w:val="00FB175F"/>
    <w:rsid w:val="00FB24C6"/>
    <w:rsid w:val="00FB3FD9"/>
    <w:rsid w:val="00FB4976"/>
    <w:rsid w:val="00FB4F8D"/>
    <w:rsid w:val="00FB6277"/>
    <w:rsid w:val="00FB6866"/>
    <w:rsid w:val="00FB6FE5"/>
    <w:rsid w:val="00FB76D6"/>
    <w:rsid w:val="00FC01C7"/>
    <w:rsid w:val="00FC048A"/>
    <w:rsid w:val="00FC0668"/>
    <w:rsid w:val="00FC0719"/>
    <w:rsid w:val="00FC092F"/>
    <w:rsid w:val="00FC0FE5"/>
    <w:rsid w:val="00FC2052"/>
    <w:rsid w:val="00FC2946"/>
    <w:rsid w:val="00FC2D08"/>
    <w:rsid w:val="00FC399C"/>
    <w:rsid w:val="00FC4F0B"/>
    <w:rsid w:val="00FC5CEE"/>
    <w:rsid w:val="00FC5DC1"/>
    <w:rsid w:val="00FC60F6"/>
    <w:rsid w:val="00FC6B06"/>
    <w:rsid w:val="00FD027C"/>
    <w:rsid w:val="00FD1C3B"/>
    <w:rsid w:val="00FD22CD"/>
    <w:rsid w:val="00FD247C"/>
    <w:rsid w:val="00FD26F8"/>
    <w:rsid w:val="00FD29E5"/>
    <w:rsid w:val="00FD2A3F"/>
    <w:rsid w:val="00FD3DA6"/>
    <w:rsid w:val="00FD42C8"/>
    <w:rsid w:val="00FD4DA2"/>
    <w:rsid w:val="00FD52C8"/>
    <w:rsid w:val="00FD5B4A"/>
    <w:rsid w:val="00FD5DB5"/>
    <w:rsid w:val="00FD6CBC"/>
    <w:rsid w:val="00FD72C0"/>
    <w:rsid w:val="00FD7443"/>
    <w:rsid w:val="00FD7446"/>
    <w:rsid w:val="00FD7943"/>
    <w:rsid w:val="00FD7FA8"/>
    <w:rsid w:val="00FE0237"/>
    <w:rsid w:val="00FE118E"/>
    <w:rsid w:val="00FE2505"/>
    <w:rsid w:val="00FE2A91"/>
    <w:rsid w:val="00FE531F"/>
    <w:rsid w:val="00FE6940"/>
    <w:rsid w:val="00FE6A2D"/>
    <w:rsid w:val="00FE6E29"/>
    <w:rsid w:val="00FE6F48"/>
    <w:rsid w:val="00FE725C"/>
    <w:rsid w:val="00FE753B"/>
    <w:rsid w:val="00FE7606"/>
    <w:rsid w:val="00FE7966"/>
    <w:rsid w:val="00FE7C78"/>
    <w:rsid w:val="00FE7F3E"/>
    <w:rsid w:val="00FF16E9"/>
    <w:rsid w:val="00FF19C6"/>
    <w:rsid w:val="00FF1B71"/>
    <w:rsid w:val="00FF1B8D"/>
    <w:rsid w:val="00FF1C8D"/>
    <w:rsid w:val="00FF2F6B"/>
    <w:rsid w:val="00FF3555"/>
    <w:rsid w:val="00FF3DE7"/>
    <w:rsid w:val="00FF4B05"/>
    <w:rsid w:val="00FF5134"/>
    <w:rsid w:val="00FF52C0"/>
    <w:rsid w:val="00FF5552"/>
    <w:rsid w:val="00FF5E01"/>
    <w:rsid w:val="00FF5F88"/>
    <w:rsid w:val="00FF6474"/>
    <w:rsid w:val="00FF6761"/>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7F54"/>
  <w15:chartTrackingRefBased/>
  <w15:docId w15:val="{555A2CB1-734E-42B9-A485-E99E4824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A6"/>
    <w:rPr>
      <w:lang w:val="ro-MD"/>
    </w:rPr>
  </w:style>
  <w:style w:type="paragraph" w:styleId="Heading1">
    <w:name w:val="heading 1"/>
    <w:basedOn w:val="Normal"/>
    <w:next w:val="Normal"/>
    <w:link w:val="Heading1Char"/>
    <w:uiPriority w:val="9"/>
    <w:qFormat/>
    <w:rsid w:val="00DC70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7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65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7A6"/>
    <w:rPr>
      <w:color w:val="0563C1" w:themeColor="hyperlink"/>
      <w:u w:val="single"/>
    </w:rPr>
  </w:style>
  <w:style w:type="paragraph" w:styleId="Header">
    <w:name w:val="header"/>
    <w:basedOn w:val="Normal"/>
    <w:link w:val="HeaderChar"/>
    <w:uiPriority w:val="99"/>
    <w:unhideWhenUsed/>
    <w:rsid w:val="00E11E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E11EFA"/>
    <w:rPr>
      <w:lang w:val="ro-MD"/>
    </w:rPr>
  </w:style>
  <w:style w:type="paragraph" w:styleId="Footer">
    <w:name w:val="footer"/>
    <w:basedOn w:val="Normal"/>
    <w:link w:val="FooterChar"/>
    <w:uiPriority w:val="99"/>
    <w:unhideWhenUsed/>
    <w:rsid w:val="00E11EFA"/>
    <w:pPr>
      <w:tabs>
        <w:tab w:val="center" w:pos="4844"/>
        <w:tab w:val="right" w:pos="9689"/>
      </w:tabs>
      <w:spacing w:after="0" w:line="240" w:lineRule="auto"/>
    </w:pPr>
  </w:style>
  <w:style w:type="character" w:customStyle="1" w:styleId="FooterChar">
    <w:name w:val="Footer Char"/>
    <w:basedOn w:val="DefaultParagraphFont"/>
    <w:link w:val="Footer"/>
    <w:uiPriority w:val="99"/>
    <w:rsid w:val="00E11EFA"/>
    <w:rPr>
      <w:lang w:val="ro-MD"/>
    </w:rPr>
  </w:style>
  <w:style w:type="table" w:styleId="GridTable1Light">
    <w:name w:val="Grid Table 1 Light"/>
    <w:basedOn w:val="TableNormal"/>
    <w:uiPriority w:val="46"/>
    <w:rsid w:val="003F55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Normal"/>
    <w:link w:val="ListParagraphChar"/>
    <w:uiPriority w:val="34"/>
    <w:qFormat/>
    <w:rsid w:val="007E6F23"/>
    <w:pPr>
      <w:ind w:left="720"/>
      <w:contextualSpacing/>
    </w:pPr>
  </w:style>
  <w:style w:type="paragraph" w:styleId="NormalWeb">
    <w:name w:val="Normal (Web)"/>
    <w:basedOn w:val="Normal"/>
    <w:uiPriority w:val="99"/>
    <w:unhideWhenUsed/>
    <w:rsid w:val="008D1C42"/>
    <w:pPr>
      <w:spacing w:after="0" w:line="240" w:lineRule="auto"/>
      <w:ind w:firstLine="567"/>
      <w:jc w:val="both"/>
    </w:pPr>
    <w:rPr>
      <w:rFonts w:ascii="Times New Roman" w:eastAsia="Times New Roman" w:hAnsi="Times New Roman" w:cs="Times New Roman"/>
      <w:sz w:val="24"/>
      <w:szCs w:val="24"/>
      <w:lang w:val="en-US"/>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D047A2"/>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D047A2"/>
    <w:rPr>
      <w:sz w:val="20"/>
      <w:szCs w:val="20"/>
      <w:lang w:val="ro-MD"/>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Знак1 Char1,FR"/>
    <w:basedOn w:val="DefaultParagraphFont"/>
    <w:link w:val="FNRefeCharChar"/>
    <w:uiPriority w:val="99"/>
    <w:unhideWhenUsed/>
    <w:qFormat/>
    <w:rsid w:val="00D047A2"/>
    <w:rPr>
      <w:vertAlign w:val="superscript"/>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3 Char"/>
    <w:link w:val="ListParagraph"/>
    <w:uiPriority w:val="34"/>
    <w:qFormat/>
    <w:locked/>
    <w:rsid w:val="00BE42FF"/>
    <w:rPr>
      <w:lang w:val="ro-MD"/>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AE7049"/>
    <w:pPr>
      <w:spacing w:line="240" w:lineRule="exact"/>
    </w:pPr>
    <w:rPr>
      <w:vertAlign w:val="superscript"/>
      <w:lang w:val="en-US"/>
    </w:rPr>
  </w:style>
  <w:style w:type="paragraph" w:customStyle="1" w:styleId="cn">
    <w:name w:val="cn"/>
    <w:basedOn w:val="Normal"/>
    <w:rsid w:val="00BB3ACC"/>
    <w:pPr>
      <w:spacing w:after="0" w:line="240" w:lineRule="auto"/>
      <w:jc w:val="center"/>
    </w:pPr>
    <w:rPr>
      <w:rFonts w:ascii="Times New Roman" w:eastAsia="Times New Roman" w:hAnsi="Times New Roman" w:cs="Times New Roman"/>
      <w:sz w:val="24"/>
      <w:szCs w:val="24"/>
      <w:lang w:val="en-US"/>
    </w:rPr>
  </w:style>
  <w:style w:type="paragraph" w:customStyle="1" w:styleId="2">
    <w:name w:val="Стиль2"/>
    <w:basedOn w:val="Normal"/>
    <w:link w:val="20"/>
    <w:qFormat/>
    <w:rsid w:val="00BB3ACC"/>
    <w:pPr>
      <w:spacing w:after="0"/>
    </w:pPr>
    <w:rPr>
      <w:rFonts w:asciiTheme="majorHAnsi" w:hAnsiTheme="majorHAnsi" w:cstheme="majorHAnsi"/>
      <w:b/>
      <w:sz w:val="28"/>
      <w:szCs w:val="28"/>
    </w:rPr>
  </w:style>
  <w:style w:type="character" w:customStyle="1" w:styleId="20">
    <w:name w:val="Стиль2 Знак"/>
    <w:basedOn w:val="DefaultParagraphFont"/>
    <w:link w:val="2"/>
    <w:rsid w:val="00BB3ACC"/>
    <w:rPr>
      <w:rFonts w:asciiTheme="majorHAnsi" w:hAnsiTheme="majorHAnsi" w:cstheme="majorHAnsi"/>
      <w:b/>
      <w:sz w:val="28"/>
      <w:szCs w:val="28"/>
      <w:lang w:val="ro-MD"/>
    </w:rPr>
  </w:style>
  <w:style w:type="paragraph" w:customStyle="1" w:styleId="1">
    <w:name w:val="Стиль1"/>
    <w:basedOn w:val="NormalWeb"/>
    <w:link w:val="10"/>
    <w:autoRedefine/>
    <w:qFormat/>
    <w:rsid w:val="00796C8F"/>
    <w:pPr>
      <w:ind w:firstLine="0"/>
    </w:pPr>
    <w:rPr>
      <w:rFonts w:asciiTheme="majorHAnsi" w:hAnsiTheme="majorHAnsi" w:cstheme="majorHAnsi"/>
      <w:sz w:val="16"/>
      <w:szCs w:val="16"/>
      <w:lang w:val="ro-MD"/>
    </w:rPr>
  </w:style>
  <w:style w:type="character" w:customStyle="1" w:styleId="10">
    <w:name w:val="Стиль1 Знак"/>
    <w:basedOn w:val="DefaultParagraphFont"/>
    <w:link w:val="1"/>
    <w:rsid w:val="00796C8F"/>
    <w:rPr>
      <w:rFonts w:asciiTheme="majorHAnsi" w:eastAsia="Times New Roman" w:hAnsiTheme="majorHAnsi" w:cstheme="majorHAnsi"/>
      <w:sz w:val="16"/>
      <w:szCs w:val="16"/>
      <w:lang w:val="ro-MD"/>
    </w:rPr>
  </w:style>
  <w:style w:type="character" w:customStyle="1" w:styleId="Heading1Char">
    <w:name w:val="Heading 1 Char"/>
    <w:basedOn w:val="DefaultParagraphFont"/>
    <w:link w:val="Heading1"/>
    <w:uiPriority w:val="9"/>
    <w:rsid w:val="00DC7098"/>
    <w:rPr>
      <w:rFonts w:asciiTheme="majorHAnsi" w:eastAsiaTheme="majorEastAsia" w:hAnsiTheme="majorHAnsi" w:cstheme="majorBidi"/>
      <w:color w:val="2E74B5" w:themeColor="accent1" w:themeShade="BF"/>
      <w:sz w:val="32"/>
      <w:szCs w:val="32"/>
      <w:lang w:val="ro-MD"/>
    </w:rPr>
  </w:style>
  <w:style w:type="character" w:customStyle="1" w:styleId="Heading2Char">
    <w:name w:val="Heading 2 Char"/>
    <w:basedOn w:val="DefaultParagraphFont"/>
    <w:link w:val="Heading2"/>
    <w:uiPriority w:val="9"/>
    <w:rsid w:val="00DC7098"/>
    <w:rPr>
      <w:rFonts w:asciiTheme="majorHAnsi" w:eastAsiaTheme="majorEastAsia" w:hAnsiTheme="majorHAnsi" w:cstheme="majorBidi"/>
      <w:color w:val="2E74B5" w:themeColor="accent1" w:themeShade="BF"/>
      <w:sz w:val="26"/>
      <w:szCs w:val="26"/>
      <w:lang w:val="ro-MD"/>
    </w:rPr>
  </w:style>
  <w:style w:type="paragraph" w:styleId="TOCHeading">
    <w:name w:val="TOC Heading"/>
    <w:basedOn w:val="Heading1"/>
    <w:next w:val="Normal"/>
    <w:uiPriority w:val="39"/>
    <w:unhideWhenUsed/>
    <w:qFormat/>
    <w:rsid w:val="0046568C"/>
    <w:pPr>
      <w:outlineLvl w:val="9"/>
    </w:pPr>
    <w:rPr>
      <w:lang w:val="en-US"/>
    </w:rPr>
  </w:style>
  <w:style w:type="paragraph" w:styleId="TOC1">
    <w:name w:val="toc 1"/>
    <w:basedOn w:val="Normal"/>
    <w:next w:val="Normal"/>
    <w:autoRedefine/>
    <w:uiPriority w:val="39"/>
    <w:unhideWhenUsed/>
    <w:rsid w:val="006A2F81"/>
    <w:pPr>
      <w:tabs>
        <w:tab w:val="left" w:pos="426"/>
        <w:tab w:val="right" w:leader="dot" w:pos="9346"/>
      </w:tabs>
      <w:spacing w:after="100"/>
      <w:jc w:val="both"/>
    </w:pPr>
  </w:style>
  <w:style w:type="paragraph" w:styleId="TOC2">
    <w:name w:val="toc 2"/>
    <w:basedOn w:val="Normal"/>
    <w:next w:val="Normal"/>
    <w:autoRedefine/>
    <w:uiPriority w:val="39"/>
    <w:unhideWhenUsed/>
    <w:rsid w:val="00566B4F"/>
    <w:pPr>
      <w:tabs>
        <w:tab w:val="left" w:pos="567"/>
        <w:tab w:val="right" w:leader="dot" w:pos="9346"/>
      </w:tabs>
      <w:spacing w:after="100"/>
      <w:ind w:left="220"/>
      <w:jc w:val="both"/>
    </w:pPr>
  </w:style>
  <w:style w:type="paragraph" w:styleId="NoSpacing">
    <w:name w:val="No Spacing"/>
    <w:uiPriority w:val="1"/>
    <w:qFormat/>
    <w:rsid w:val="00EA104D"/>
    <w:pPr>
      <w:spacing w:after="0" w:line="240" w:lineRule="auto"/>
    </w:pPr>
    <w:rPr>
      <w:lang w:val="ro-MD"/>
    </w:rPr>
  </w:style>
  <w:style w:type="character" w:styleId="FollowedHyperlink">
    <w:name w:val="FollowedHyperlink"/>
    <w:basedOn w:val="DefaultParagraphFont"/>
    <w:uiPriority w:val="99"/>
    <w:semiHidden/>
    <w:unhideWhenUsed/>
    <w:rsid w:val="00C27261"/>
    <w:rPr>
      <w:color w:val="954F72"/>
      <w:u w:val="single"/>
    </w:rPr>
  </w:style>
  <w:style w:type="paragraph" w:customStyle="1" w:styleId="msonormal0">
    <w:name w:val="msonormal"/>
    <w:basedOn w:val="Normal"/>
    <w:rsid w:val="00C272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C27261"/>
    <w:pPr>
      <w:spacing w:before="100" w:beforeAutospacing="1" w:after="100" w:afterAutospacing="1" w:line="240" w:lineRule="auto"/>
    </w:pPr>
    <w:rPr>
      <w:rFonts w:ascii="Calibri Light" w:eastAsia="Times New Roman" w:hAnsi="Calibri Light" w:cs="Calibri Light"/>
      <w:sz w:val="24"/>
      <w:szCs w:val="24"/>
      <w:lang w:val="en-US"/>
    </w:rPr>
  </w:style>
  <w:style w:type="paragraph" w:customStyle="1" w:styleId="xl69">
    <w:name w:val="xl69"/>
    <w:basedOn w:val="Normal"/>
    <w:rsid w:val="00C27261"/>
    <w:pPr>
      <w:spacing w:before="100" w:beforeAutospacing="1" w:after="100" w:afterAutospacing="1" w:line="240" w:lineRule="auto"/>
    </w:pPr>
    <w:rPr>
      <w:rFonts w:ascii="Calibri Light" w:eastAsia="Times New Roman" w:hAnsi="Calibri Light" w:cs="Calibri Light"/>
      <w:b/>
      <w:bCs/>
      <w:sz w:val="24"/>
      <w:szCs w:val="24"/>
      <w:lang w:val="en-US"/>
    </w:rPr>
  </w:style>
  <w:style w:type="paragraph" w:customStyle="1" w:styleId="xl70">
    <w:name w:val="xl70"/>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rPr>
  </w:style>
  <w:style w:type="paragraph" w:customStyle="1" w:styleId="xl71">
    <w:name w:val="xl71"/>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rPr>
  </w:style>
  <w:style w:type="paragraph" w:customStyle="1" w:styleId="xl72">
    <w:name w:val="xl72"/>
    <w:basedOn w:val="Normal"/>
    <w:rsid w:val="00C27261"/>
    <w:pPr>
      <w:spacing w:before="100" w:beforeAutospacing="1" w:after="100" w:afterAutospacing="1" w:line="240" w:lineRule="auto"/>
    </w:pPr>
    <w:rPr>
      <w:rFonts w:ascii="Calibri Light" w:eastAsia="Times New Roman" w:hAnsi="Calibri Light" w:cs="Calibri Light"/>
      <w:sz w:val="24"/>
      <w:szCs w:val="24"/>
      <w:lang w:val="en-US"/>
    </w:rPr>
  </w:style>
  <w:style w:type="paragraph" w:customStyle="1" w:styleId="xl73">
    <w:name w:val="xl73"/>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4"/>
      <w:szCs w:val="24"/>
      <w:lang w:val="en-US"/>
    </w:rPr>
  </w:style>
  <w:style w:type="paragraph" w:customStyle="1" w:styleId="xl74">
    <w:name w:val="xl74"/>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rPr>
  </w:style>
  <w:style w:type="paragraph" w:customStyle="1" w:styleId="xl75">
    <w:name w:val="xl75"/>
    <w:basedOn w:val="Normal"/>
    <w:rsid w:val="00C27261"/>
    <w:pPr>
      <w:spacing w:before="100" w:beforeAutospacing="1" w:after="100" w:afterAutospacing="1" w:line="240" w:lineRule="auto"/>
    </w:pPr>
    <w:rPr>
      <w:rFonts w:ascii="Calibri Light" w:eastAsia="Times New Roman" w:hAnsi="Calibri Light" w:cs="Calibri Light"/>
      <w:sz w:val="24"/>
      <w:szCs w:val="24"/>
      <w:lang w:val="en-US"/>
    </w:rPr>
  </w:style>
  <w:style w:type="paragraph" w:customStyle="1" w:styleId="xl76">
    <w:name w:val="xl76"/>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4"/>
      <w:szCs w:val="24"/>
      <w:lang w:val="en-US"/>
    </w:rPr>
  </w:style>
  <w:style w:type="paragraph" w:customStyle="1" w:styleId="xl77">
    <w:name w:val="xl77"/>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4"/>
      <w:szCs w:val="24"/>
      <w:lang w:val="en-US"/>
    </w:rPr>
  </w:style>
  <w:style w:type="paragraph" w:customStyle="1" w:styleId="xl78">
    <w:name w:val="xl78"/>
    <w:basedOn w:val="Normal"/>
    <w:rsid w:val="00C27261"/>
    <w:pPr>
      <w:spacing w:before="100" w:beforeAutospacing="1" w:after="100" w:afterAutospacing="1" w:line="240" w:lineRule="auto"/>
    </w:pPr>
    <w:rPr>
      <w:rFonts w:ascii="Calibri Light" w:eastAsia="Times New Roman" w:hAnsi="Calibri Light" w:cs="Calibri Light"/>
      <w:sz w:val="24"/>
      <w:szCs w:val="24"/>
      <w:lang w:val="en-US"/>
    </w:rPr>
  </w:style>
  <w:style w:type="paragraph" w:customStyle="1" w:styleId="xl79">
    <w:name w:val="xl79"/>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4"/>
      <w:szCs w:val="24"/>
      <w:lang w:val="en-US"/>
    </w:rPr>
  </w:style>
  <w:style w:type="paragraph" w:customStyle="1" w:styleId="xl80">
    <w:name w:val="xl80"/>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i/>
      <w:iCs/>
      <w:sz w:val="24"/>
      <w:szCs w:val="24"/>
      <w:lang w:val="en-US"/>
    </w:rPr>
  </w:style>
  <w:style w:type="paragraph" w:customStyle="1" w:styleId="xl81">
    <w:name w:val="xl81"/>
    <w:basedOn w:val="Normal"/>
    <w:rsid w:val="00C27261"/>
    <w:pPr>
      <w:spacing w:before="100" w:beforeAutospacing="1" w:after="100" w:afterAutospacing="1" w:line="240" w:lineRule="auto"/>
    </w:pPr>
    <w:rPr>
      <w:rFonts w:ascii="Calibri Light" w:eastAsia="Times New Roman" w:hAnsi="Calibri Light" w:cs="Calibri Light"/>
      <w:color w:val="FF0000"/>
      <w:sz w:val="24"/>
      <w:szCs w:val="24"/>
      <w:lang w:val="en-US"/>
    </w:rPr>
  </w:style>
  <w:style w:type="paragraph" w:customStyle="1" w:styleId="xl82">
    <w:name w:val="xl82"/>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color w:val="FF0000"/>
      <w:sz w:val="24"/>
      <w:szCs w:val="24"/>
      <w:lang w:val="en-US"/>
    </w:rPr>
  </w:style>
  <w:style w:type="paragraph" w:customStyle="1" w:styleId="xl83">
    <w:name w:val="xl83"/>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lang w:val="en-US"/>
    </w:rPr>
  </w:style>
  <w:style w:type="paragraph" w:customStyle="1" w:styleId="xl84">
    <w:name w:val="xl84"/>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lang w:val="en-US"/>
    </w:rPr>
  </w:style>
  <w:style w:type="paragraph" w:customStyle="1" w:styleId="xl85">
    <w:name w:val="xl85"/>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lang w:val="en-US"/>
    </w:rPr>
  </w:style>
  <w:style w:type="paragraph" w:customStyle="1" w:styleId="xl86">
    <w:name w:val="xl86"/>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lang w:val="en-US"/>
    </w:rPr>
  </w:style>
  <w:style w:type="paragraph" w:customStyle="1" w:styleId="xl87">
    <w:name w:val="xl87"/>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sz w:val="24"/>
      <w:szCs w:val="24"/>
      <w:lang w:val="en-US"/>
    </w:rPr>
  </w:style>
  <w:style w:type="paragraph" w:customStyle="1" w:styleId="xl88">
    <w:name w:val="xl88"/>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alibri Light" w:eastAsia="Times New Roman" w:hAnsi="Calibri Light" w:cs="Calibri Light"/>
      <w:b/>
      <w:bCs/>
      <w:color w:val="FF0000"/>
      <w:sz w:val="24"/>
      <w:szCs w:val="24"/>
      <w:lang w:val="en-US"/>
    </w:rPr>
  </w:style>
  <w:style w:type="paragraph" w:customStyle="1" w:styleId="xl89">
    <w:name w:val="xl89"/>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Light" w:eastAsia="Times New Roman" w:hAnsi="Calibri Light" w:cs="Calibri Light"/>
      <w:b/>
      <w:bCs/>
      <w:sz w:val="24"/>
      <w:szCs w:val="24"/>
      <w:lang w:val="en-US"/>
    </w:rPr>
  </w:style>
  <w:style w:type="paragraph" w:customStyle="1" w:styleId="xl90">
    <w:name w:val="xl90"/>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Light" w:eastAsia="Times New Roman" w:hAnsi="Calibri Light" w:cs="Calibri Light"/>
      <w:b/>
      <w:bCs/>
      <w:sz w:val="24"/>
      <w:szCs w:val="24"/>
      <w:lang w:val="en-US"/>
    </w:rPr>
  </w:style>
  <w:style w:type="paragraph" w:customStyle="1" w:styleId="xl91">
    <w:name w:val="xl91"/>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Light" w:eastAsia="Times New Roman" w:hAnsi="Calibri Light" w:cs="Calibri Light"/>
      <w:b/>
      <w:bCs/>
      <w:sz w:val="24"/>
      <w:szCs w:val="24"/>
      <w:lang w:val="en-US"/>
    </w:rPr>
  </w:style>
  <w:style w:type="paragraph" w:customStyle="1" w:styleId="xl92">
    <w:name w:val="xl92"/>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color w:val="FF0000"/>
      <w:sz w:val="24"/>
      <w:szCs w:val="24"/>
      <w:lang w:val="en-US"/>
    </w:rPr>
  </w:style>
  <w:style w:type="paragraph" w:customStyle="1" w:styleId="xl93">
    <w:name w:val="xl93"/>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alibri Light" w:eastAsia="Times New Roman" w:hAnsi="Calibri Light" w:cs="Calibri Light"/>
      <w:b/>
      <w:bCs/>
      <w:i/>
      <w:iCs/>
      <w:sz w:val="24"/>
      <w:szCs w:val="24"/>
      <w:lang w:val="en-US"/>
    </w:rPr>
  </w:style>
  <w:style w:type="paragraph" w:customStyle="1" w:styleId="xl94">
    <w:name w:val="xl94"/>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Light" w:eastAsia="Times New Roman" w:hAnsi="Calibri Light" w:cs="Calibri Light"/>
      <w:b/>
      <w:bCs/>
      <w:color w:val="FF0000"/>
      <w:sz w:val="24"/>
      <w:szCs w:val="24"/>
      <w:lang w:val="en-US"/>
    </w:rPr>
  </w:style>
  <w:style w:type="paragraph" w:customStyle="1" w:styleId="xl95">
    <w:name w:val="xl95"/>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sz w:val="24"/>
      <w:szCs w:val="24"/>
      <w:lang w:val="en-US"/>
    </w:rPr>
  </w:style>
  <w:style w:type="paragraph" w:customStyle="1" w:styleId="xl96">
    <w:name w:val="xl96"/>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sz w:val="24"/>
      <w:szCs w:val="24"/>
      <w:lang w:val="en-US"/>
    </w:rPr>
  </w:style>
  <w:style w:type="paragraph" w:customStyle="1" w:styleId="xl97">
    <w:name w:val="xl97"/>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sz w:val="24"/>
      <w:szCs w:val="24"/>
      <w:lang w:val="en-US"/>
    </w:rPr>
  </w:style>
  <w:style w:type="paragraph" w:customStyle="1" w:styleId="xl98">
    <w:name w:val="xl98"/>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Light" w:eastAsia="Times New Roman" w:hAnsi="Calibri Light" w:cs="Calibri Light"/>
      <w:b/>
      <w:bCs/>
      <w:color w:val="FF0000"/>
      <w:sz w:val="24"/>
      <w:szCs w:val="24"/>
      <w:lang w:val="en-US"/>
    </w:rPr>
  </w:style>
  <w:style w:type="paragraph" w:customStyle="1" w:styleId="xl99">
    <w:name w:val="xl99"/>
    <w:basedOn w:val="Normal"/>
    <w:rsid w:val="00C272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Light" w:eastAsia="Times New Roman" w:hAnsi="Calibri Light" w:cs="Calibri Light"/>
      <w:b/>
      <w:bCs/>
      <w:sz w:val="24"/>
      <w:szCs w:val="24"/>
      <w:lang w:val="en-US"/>
    </w:rPr>
  </w:style>
  <w:style w:type="paragraph" w:customStyle="1" w:styleId="xl100">
    <w:name w:val="xl100"/>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4"/>
      <w:szCs w:val="24"/>
      <w:lang w:val="en-US"/>
    </w:rPr>
  </w:style>
  <w:style w:type="paragraph" w:customStyle="1" w:styleId="xl101">
    <w:name w:val="xl101"/>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en-US"/>
    </w:rPr>
  </w:style>
  <w:style w:type="paragraph" w:customStyle="1" w:styleId="xl102">
    <w:name w:val="xl102"/>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color w:val="FF0000"/>
      <w:sz w:val="24"/>
      <w:szCs w:val="24"/>
      <w:lang w:val="en-US"/>
    </w:rPr>
  </w:style>
  <w:style w:type="paragraph" w:customStyle="1" w:styleId="xl103">
    <w:name w:val="xl103"/>
    <w:basedOn w:val="Normal"/>
    <w:rsid w:val="00C27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lang w:val="en-US"/>
    </w:rPr>
  </w:style>
  <w:style w:type="character" w:customStyle="1" w:styleId="Heading3Char">
    <w:name w:val="Heading 3 Char"/>
    <w:basedOn w:val="DefaultParagraphFont"/>
    <w:link w:val="Heading3"/>
    <w:uiPriority w:val="9"/>
    <w:rsid w:val="001F650C"/>
    <w:rPr>
      <w:rFonts w:asciiTheme="majorHAnsi" w:eastAsiaTheme="majorEastAsia" w:hAnsiTheme="majorHAnsi" w:cstheme="majorBidi"/>
      <w:color w:val="1F4D78" w:themeColor="accent1" w:themeShade="7F"/>
      <w:sz w:val="24"/>
      <w:szCs w:val="24"/>
      <w:lang w:val="ro-MD"/>
    </w:rPr>
  </w:style>
  <w:style w:type="paragraph" w:styleId="TOC3">
    <w:name w:val="toc 3"/>
    <w:basedOn w:val="Normal"/>
    <w:next w:val="Normal"/>
    <w:autoRedefine/>
    <w:uiPriority w:val="39"/>
    <w:unhideWhenUsed/>
    <w:rsid w:val="00A25CE7"/>
    <w:pPr>
      <w:spacing w:after="100"/>
      <w:ind w:left="440"/>
    </w:pPr>
  </w:style>
  <w:style w:type="table" w:styleId="TableGrid">
    <w:name w:val="Table Grid"/>
    <w:basedOn w:val="TableNormal"/>
    <w:uiPriority w:val="39"/>
    <w:rsid w:val="0001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1C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3E"/>
    <w:rPr>
      <w:rFonts w:ascii="Segoe UI" w:hAnsi="Segoe UI" w:cs="Segoe UI"/>
      <w:sz w:val="18"/>
      <w:szCs w:val="18"/>
      <w:lang w:val="ro-MD"/>
    </w:rPr>
  </w:style>
  <w:style w:type="character" w:styleId="CommentReference">
    <w:name w:val="annotation reference"/>
    <w:basedOn w:val="DefaultParagraphFont"/>
    <w:uiPriority w:val="99"/>
    <w:semiHidden/>
    <w:unhideWhenUsed/>
    <w:rsid w:val="009E0F7D"/>
    <w:rPr>
      <w:sz w:val="16"/>
      <w:szCs w:val="16"/>
    </w:rPr>
  </w:style>
  <w:style w:type="paragraph" w:styleId="CommentText">
    <w:name w:val="annotation text"/>
    <w:basedOn w:val="Normal"/>
    <w:link w:val="CommentTextChar"/>
    <w:uiPriority w:val="99"/>
    <w:semiHidden/>
    <w:unhideWhenUsed/>
    <w:rsid w:val="009E0F7D"/>
    <w:pPr>
      <w:spacing w:line="240" w:lineRule="auto"/>
    </w:pPr>
    <w:rPr>
      <w:sz w:val="20"/>
      <w:szCs w:val="20"/>
    </w:rPr>
  </w:style>
  <w:style w:type="character" w:customStyle="1" w:styleId="CommentTextChar">
    <w:name w:val="Comment Text Char"/>
    <w:basedOn w:val="DefaultParagraphFont"/>
    <w:link w:val="CommentText"/>
    <w:uiPriority w:val="99"/>
    <w:semiHidden/>
    <w:rsid w:val="009E0F7D"/>
    <w:rPr>
      <w:sz w:val="20"/>
      <w:szCs w:val="20"/>
      <w:lang w:val="ro-MD"/>
    </w:rPr>
  </w:style>
  <w:style w:type="paragraph" w:styleId="CommentSubject">
    <w:name w:val="annotation subject"/>
    <w:basedOn w:val="CommentText"/>
    <w:next w:val="CommentText"/>
    <w:link w:val="CommentSubjectChar"/>
    <w:uiPriority w:val="99"/>
    <w:semiHidden/>
    <w:unhideWhenUsed/>
    <w:rsid w:val="009E0F7D"/>
    <w:rPr>
      <w:b/>
      <w:bCs/>
    </w:rPr>
  </w:style>
  <w:style w:type="character" w:customStyle="1" w:styleId="CommentSubjectChar">
    <w:name w:val="Comment Subject Char"/>
    <w:basedOn w:val="CommentTextChar"/>
    <w:link w:val="CommentSubject"/>
    <w:uiPriority w:val="99"/>
    <w:semiHidden/>
    <w:rsid w:val="009E0F7D"/>
    <w:rPr>
      <w:b/>
      <w:bCs/>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6911">
      <w:bodyDiv w:val="1"/>
      <w:marLeft w:val="0"/>
      <w:marRight w:val="0"/>
      <w:marTop w:val="0"/>
      <w:marBottom w:val="0"/>
      <w:divBdr>
        <w:top w:val="none" w:sz="0" w:space="0" w:color="auto"/>
        <w:left w:val="none" w:sz="0" w:space="0" w:color="auto"/>
        <w:bottom w:val="none" w:sz="0" w:space="0" w:color="auto"/>
        <w:right w:val="none" w:sz="0" w:space="0" w:color="auto"/>
      </w:divBdr>
    </w:div>
    <w:div w:id="163279231">
      <w:bodyDiv w:val="1"/>
      <w:marLeft w:val="0"/>
      <w:marRight w:val="0"/>
      <w:marTop w:val="0"/>
      <w:marBottom w:val="0"/>
      <w:divBdr>
        <w:top w:val="none" w:sz="0" w:space="0" w:color="auto"/>
        <w:left w:val="none" w:sz="0" w:space="0" w:color="auto"/>
        <w:bottom w:val="none" w:sz="0" w:space="0" w:color="auto"/>
        <w:right w:val="none" w:sz="0" w:space="0" w:color="auto"/>
      </w:divBdr>
    </w:div>
    <w:div w:id="245388210">
      <w:bodyDiv w:val="1"/>
      <w:marLeft w:val="0"/>
      <w:marRight w:val="0"/>
      <w:marTop w:val="0"/>
      <w:marBottom w:val="0"/>
      <w:divBdr>
        <w:top w:val="none" w:sz="0" w:space="0" w:color="auto"/>
        <w:left w:val="none" w:sz="0" w:space="0" w:color="auto"/>
        <w:bottom w:val="none" w:sz="0" w:space="0" w:color="auto"/>
        <w:right w:val="none" w:sz="0" w:space="0" w:color="auto"/>
      </w:divBdr>
    </w:div>
    <w:div w:id="396787687">
      <w:bodyDiv w:val="1"/>
      <w:marLeft w:val="0"/>
      <w:marRight w:val="0"/>
      <w:marTop w:val="0"/>
      <w:marBottom w:val="0"/>
      <w:divBdr>
        <w:top w:val="none" w:sz="0" w:space="0" w:color="auto"/>
        <w:left w:val="none" w:sz="0" w:space="0" w:color="auto"/>
        <w:bottom w:val="none" w:sz="0" w:space="0" w:color="auto"/>
        <w:right w:val="none" w:sz="0" w:space="0" w:color="auto"/>
      </w:divBdr>
    </w:div>
    <w:div w:id="595868632">
      <w:bodyDiv w:val="1"/>
      <w:marLeft w:val="0"/>
      <w:marRight w:val="0"/>
      <w:marTop w:val="0"/>
      <w:marBottom w:val="0"/>
      <w:divBdr>
        <w:top w:val="none" w:sz="0" w:space="0" w:color="auto"/>
        <w:left w:val="none" w:sz="0" w:space="0" w:color="auto"/>
        <w:bottom w:val="none" w:sz="0" w:space="0" w:color="auto"/>
        <w:right w:val="none" w:sz="0" w:space="0" w:color="auto"/>
      </w:divBdr>
    </w:div>
    <w:div w:id="645748257">
      <w:bodyDiv w:val="1"/>
      <w:marLeft w:val="0"/>
      <w:marRight w:val="0"/>
      <w:marTop w:val="0"/>
      <w:marBottom w:val="0"/>
      <w:divBdr>
        <w:top w:val="none" w:sz="0" w:space="0" w:color="auto"/>
        <w:left w:val="none" w:sz="0" w:space="0" w:color="auto"/>
        <w:bottom w:val="none" w:sz="0" w:space="0" w:color="auto"/>
        <w:right w:val="none" w:sz="0" w:space="0" w:color="auto"/>
      </w:divBdr>
    </w:div>
    <w:div w:id="713116773">
      <w:bodyDiv w:val="1"/>
      <w:marLeft w:val="0"/>
      <w:marRight w:val="0"/>
      <w:marTop w:val="0"/>
      <w:marBottom w:val="0"/>
      <w:divBdr>
        <w:top w:val="none" w:sz="0" w:space="0" w:color="auto"/>
        <w:left w:val="none" w:sz="0" w:space="0" w:color="auto"/>
        <w:bottom w:val="none" w:sz="0" w:space="0" w:color="auto"/>
        <w:right w:val="none" w:sz="0" w:space="0" w:color="auto"/>
      </w:divBdr>
    </w:div>
    <w:div w:id="810906198">
      <w:bodyDiv w:val="1"/>
      <w:marLeft w:val="0"/>
      <w:marRight w:val="0"/>
      <w:marTop w:val="0"/>
      <w:marBottom w:val="0"/>
      <w:divBdr>
        <w:top w:val="none" w:sz="0" w:space="0" w:color="auto"/>
        <w:left w:val="none" w:sz="0" w:space="0" w:color="auto"/>
        <w:bottom w:val="none" w:sz="0" w:space="0" w:color="auto"/>
        <w:right w:val="none" w:sz="0" w:space="0" w:color="auto"/>
      </w:divBdr>
    </w:div>
    <w:div w:id="816335625">
      <w:bodyDiv w:val="1"/>
      <w:marLeft w:val="0"/>
      <w:marRight w:val="0"/>
      <w:marTop w:val="0"/>
      <w:marBottom w:val="0"/>
      <w:divBdr>
        <w:top w:val="none" w:sz="0" w:space="0" w:color="auto"/>
        <w:left w:val="none" w:sz="0" w:space="0" w:color="auto"/>
        <w:bottom w:val="none" w:sz="0" w:space="0" w:color="auto"/>
        <w:right w:val="none" w:sz="0" w:space="0" w:color="auto"/>
      </w:divBdr>
    </w:div>
    <w:div w:id="824516602">
      <w:bodyDiv w:val="1"/>
      <w:marLeft w:val="0"/>
      <w:marRight w:val="0"/>
      <w:marTop w:val="0"/>
      <w:marBottom w:val="0"/>
      <w:divBdr>
        <w:top w:val="none" w:sz="0" w:space="0" w:color="auto"/>
        <w:left w:val="none" w:sz="0" w:space="0" w:color="auto"/>
        <w:bottom w:val="none" w:sz="0" w:space="0" w:color="auto"/>
        <w:right w:val="none" w:sz="0" w:space="0" w:color="auto"/>
      </w:divBdr>
    </w:div>
    <w:div w:id="854349593">
      <w:bodyDiv w:val="1"/>
      <w:marLeft w:val="0"/>
      <w:marRight w:val="0"/>
      <w:marTop w:val="0"/>
      <w:marBottom w:val="0"/>
      <w:divBdr>
        <w:top w:val="none" w:sz="0" w:space="0" w:color="auto"/>
        <w:left w:val="none" w:sz="0" w:space="0" w:color="auto"/>
        <w:bottom w:val="none" w:sz="0" w:space="0" w:color="auto"/>
        <w:right w:val="none" w:sz="0" w:space="0" w:color="auto"/>
      </w:divBdr>
    </w:div>
    <w:div w:id="893395514">
      <w:bodyDiv w:val="1"/>
      <w:marLeft w:val="0"/>
      <w:marRight w:val="0"/>
      <w:marTop w:val="0"/>
      <w:marBottom w:val="0"/>
      <w:divBdr>
        <w:top w:val="none" w:sz="0" w:space="0" w:color="auto"/>
        <w:left w:val="none" w:sz="0" w:space="0" w:color="auto"/>
        <w:bottom w:val="none" w:sz="0" w:space="0" w:color="auto"/>
        <w:right w:val="none" w:sz="0" w:space="0" w:color="auto"/>
      </w:divBdr>
    </w:div>
    <w:div w:id="934093682">
      <w:bodyDiv w:val="1"/>
      <w:marLeft w:val="0"/>
      <w:marRight w:val="0"/>
      <w:marTop w:val="0"/>
      <w:marBottom w:val="0"/>
      <w:divBdr>
        <w:top w:val="none" w:sz="0" w:space="0" w:color="auto"/>
        <w:left w:val="none" w:sz="0" w:space="0" w:color="auto"/>
        <w:bottom w:val="none" w:sz="0" w:space="0" w:color="auto"/>
        <w:right w:val="none" w:sz="0" w:space="0" w:color="auto"/>
      </w:divBdr>
    </w:div>
    <w:div w:id="946274846">
      <w:bodyDiv w:val="1"/>
      <w:marLeft w:val="0"/>
      <w:marRight w:val="0"/>
      <w:marTop w:val="0"/>
      <w:marBottom w:val="0"/>
      <w:divBdr>
        <w:top w:val="none" w:sz="0" w:space="0" w:color="auto"/>
        <w:left w:val="none" w:sz="0" w:space="0" w:color="auto"/>
        <w:bottom w:val="none" w:sz="0" w:space="0" w:color="auto"/>
        <w:right w:val="none" w:sz="0" w:space="0" w:color="auto"/>
      </w:divBdr>
    </w:div>
    <w:div w:id="1014310269">
      <w:bodyDiv w:val="1"/>
      <w:marLeft w:val="0"/>
      <w:marRight w:val="0"/>
      <w:marTop w:val="0"/>
      <w:marBottom w:val="0"/>
      <w:divBdr>
        <w:top w:val="none" w:sz="0" w:space="0" w:color="auto"/>
        <w:left w:val="none" w:sz="0" w:space="0" w:color="auto"/>
        <w:bottom w:val="none" w:sz="0" w:space="0" w:color="auto"/>
        <w:right w:val="none" w:sz="0" w:space="0" w:color="auto"/>
      </w:divBdr>
    </w:div>
    <w:div w:id="1150176169">
      <w:bodyDiv w:val="1"/>
      <w:marLeft w:val="0"/>
      <w:marRight w:val="0"/>
      <w:marTop w:val="0"/>
      <w:marBottom w:val="0"/>
      <w:divBdr>
        <w:top w:val="none" w:sz="0" w:space="0" w:color="auto"/>
        <w:left w:val="none" w:sz="0" w:space="0" w:color="auto"/>
        <w:bottom w:val="none" w:sz="0" w:space="0" w:color="auto"/>
        <w:right w:val="none" w:sz="0" w:space="0" w:color="auto"/>
      </w:divBdr>
    </w:div>
    <w:div w:id="1161971717">
      <w:bodyDiv w:val="1"/>
      <w:marLeft w:val="0"/>
      <w:marRight w:val="0"/>
      <w:marTop w:val="0"/>
      <w:marBottom w:val="0"/>
      <w:divBdr>
        <w:top w:val="none" w:sz="0" w:space="0" w:color="auto"/>
        <w:left w:val="none" w:sz="0" w:space="0" w:color="auto"/>
        <w:bottom w:val="none" w:sz="0" w:space="0" w:color="auto"/>
        <w:right w:val="none" w:sz="0" w:space="0" w:color="auto"/>
      </w:divBdr>
    </w:div>
    <w:div w:id="1225482691">
      <w:bodyDiv w:val="1"/>
      <w:marLeft w:val="0"/>
      <w:marRight w:val="0"/>
      <w:marTop w:val="0"/>
      <w:marBottom w:val="0"/>
      <w:divBdr>
        <w:top w:val="none" w:sz="0" w:space="0" w:color="auto"/>
        <w:left w:val="none" w:sz="0" w:space="0" w:color="auto"/>
        <w:bottom w:val="none" w:sz="0" w:space="0" w:color="auto"/>
        <w:right w:val="none" w:sz="0" w:space="0" w:color="auto"/>
      </w:divBdr>
    </w:div>
    <w:div w:id="1225726498">
      <w:bodyDiv w:val="1"/>
      <w:marLeft w:val="0"/>
      <w:marRight w:val="0"/>
      <w:marTop w:val="0"/>
      <w:marBottom w:val="0"/>
      <w:divBdr>
        <w:top w:val="none" w:sz="0" w:space="0" w:color="auto"/>
        <w:left w:val="none" w:sz="0" w:space="0" w:color="auto"/>
        <w:bottom w:val="none" w:sz="0" w:space="0" w:color="auto"/>
        <w:right w:val="none" w:sz="0" w:space="0" w:color="auto"/>
      </w:divBdr>
    </w:div>
    <w:div w:id="1273632333">
      <w:bodyDiv w:val="1"/>
      <w:marLeft w:val="0"/>
      <w:marRight w:val="0"/>
      <w:marTop w:val="0"/>
      <w:marBottom w:val="0"/>
      <w:divBdr>
        <w:top w:val="none" w:sz="0" w:space="0" w:color="auto"/>
        <w:left w:val="none" w:sz="0" w:space="0" w:color="auto"/>
        <w:bottom w:val="none" w:sz="0" w:space="0" w:color="auto"/>
        <w:right w:val="none" w:sz="0" w:space="0" w:color="auto"/>
      </w:divBdr>
    </w:div>
    <w:div w:id="1413894408">
      <w:bodyDiv w:val="1"/>
      <w:marLeft w:val="0"/>
      <w:marRight w:val="0"/>
      <w:marTop w:val="0"/>
      <w:marBottom w:val="0"/>
      <w:divBdr>
        <w:top w:val="none" w:sz="0" w:space="0" w:color="auto"/>
        <w:left w:val="none" w:sz="0" w:space="0" w:color="auto"/>
        <w:bottom w:val="none" w:sz="0" w:space="0" w:color="auto"/>
        <w:right w:val="none" w:sz="0" w:space="0" w:color="auto"/>
      </w:divBdr>
    </w:div>
    <w:div w:id="1458256877">
      <w:bodyDiv w:val="1"/>
      <w:marLeft w:val="0"/>
      <w:marRight w:val="0"/>
      <w:marTop w:val="0"/>
      <w:marBottom w:val="0"/>
      <w:divBdr>
        <w:top w:val="none" w:sz="0" w:space="0" w:color="auto"/>
        <w:left w:val="none" w:sz="0" w:space="0" w:color="auto"/>
        <w:bottom w:val="none" w:sz="0" w:space="0" w:color="auto"/>
        <w:right w:val="none" w:sz="0" w:space="0" w:color="auto"/>
      </w:divBdr>
    </w:div>
    <w:div w:id="1520050119">
      <w:bodyDiv w:val="1"/>
      <w:marLeft w:val="0"/>
      <w:marRight w:val="0"/>
      <w:marTop w:val="0"/>
      <w:marBottom w:val="0"/>
      <w:divBdr>
        <w:top w:val="none" w:sz="0" w:space="0" w:color="auto"/>
        <w:left w:val="none" w:sz="0" w:space="0" w:color="auto"/>
        <w:bottom w:val="none" w:sz="0" w:space="0" w:color="auto"/>
        <w:right w:val="none" w:sz="0" w:space="0" w:color="auto"/>
      </w:divBdr>
    </w:div>
    <w:div w:id="1543206743">
      <w:bodyDiv w:val="1"/>
      <w:marLeft w:val="0"/>
      <w:marRight w:val="0"/>
      <w:marTop w:val="0"/>
      <w:marBottom w:val="0"/>
      <w:divBdr>
        <w:top w:val="none" w:sz="0" w:space="0" w:color="auto"/>
        <w:left w:val="none" w:sz="0" w:space="0" w:color="auto"/>
        <w:bottom w:val="none" w:sz="0" w:space="0" w:color="auto"/>
        <w:right w:val="none" w:sz="0" w:space="0" w:color="auto"/>
      </w:divBdr>
    </w:div>
    <w:div w:id="1636135125">
      <w:bodyDiv w:val="1"/>
      <w:marLeft w:val="0"/>
      <w:marRight w:val="0"/>
      <w:marTop w:val="0"/>
      <w:marBottom w:val="0"/>
      <w:divBdr>
        <w:top w:val="none" w:sz="0" w:space="0" w:color="auto"/>
        <w:left w:val="none" w:sz="0" w:space="0" w:color="auto"/>
        <w:bottom w:val="none" w:sz="0" w:space="0" w:color="auto"/>
        <w:right w:val="none" w:sz="0" w:space="0" w:color="auto"/>
      </w:divBdr>
    </w:div>
    <w:div w:id="1719664985">
      <w:bodyDiv w:val="1"/>
      <w:marLeft w:val="0"/>
      <w:marRight w:val="0"/>
      <w:marTop w:val="0"/>
      <w:marBottom w:val="0"/>
      <w:divBdr>
        <w:top w:val="none" w:sz="0" w:space="0" w:color="auto"/>
        <w:left w:val="none" w:sz="0" w:space="0" w:color="auto"/>
        <w:bottom w:val="none" w:sz="0" w:space="0" w:color="auto"/>
        <w:right w:val="none" w:sz="0" w:space="0" w:color="auto"/>
      </w:divBdr>
    </w:div>
    <w:div w:id="1760062037">
      <w:bodyDiv w:val="1"/>
      <w:marLeft w:val="0"/>
      <w:marRight w:val="0"/>
      <w:marTop w:val="0"/>
      <w:marBottom w:val="0"/>
      <w:divBdr>
        <w:top w:val="none" w:sz="0" w:space="0" w:color="auto"/>
        <w:left w:val="none" w:sz="0" w:space="0" w:color="auto"/>
        <w:bottom w:val="none" w:sz="0" w:space="0" w:color="auto"/>
        <w:right w:val="none" w:sz="0" w:space="0" w:color="auto"/>
      </w:divBdr>
    </w:div>
    <w:div w:id="1762287886">
      <w:bodyDiv w:val="1"/>
      <w:marLeft w:val="0"/>
      <w:marRight w:val="0"/>
      <w:marTop w:val="0"/>
      <w:marBottom w:val="0"/>
      <w:divBdr>
        <w:top w:val="none" w:sz="0" w:space="0" w:color="auto"/>
        <w:left w:val="none" w:sz="0" w:space="0" w:color="auto"/>
        <w:bottom w:val="none" w:sz="0" w:space="0" w:color="auto"/>
        <w:right w:val="none" w:sz="0" w:space="0" w:color="auto"/>
      </w:divBdr>
    </w:div>
    <w:div w:id="1769807699">
      <w:bodyDiv w:val="1"/>
      <w:marLeft w:val="0"/>
      <w:marRight w:val="0"/>
      <w:marTop w:val="0"/>
      <w:marBottom w:val="0"/>
      <w:divBdr>
        <w:top w:val="none" w:sz="0" w:space="0" w:color="auto"/>
        <w:left w:val="none" w:sz="0" w:space="0" w:color="auto"/>
        <w:bottom w:val="none" w:sz="0" w:space="0" w:color="auto"/>
        <w:right w:val="none" w:sz="0" w:space="0" w:color="auto"/>
      </w:divBdr>
    </w:div>
    <w:div w:id="1810631595">
      <w:bodyDiv w:val="1"/>
      <w:marLeft w:val="0"/>
      <w:marRight w:val="0"/>
      <w:marTop w:val="0"/>
      <w:marBottom w:val="0"/>
      <w:divBdr>
        <w:top w:val="none" w:sz="0" w:space="0" w:color="auto"/>
        <w:left w:val="none" w:sz="0" w:space="0" w:color="auto"/>
        <w:bottom w:val="none" w:sz="0" w:space="0" w:color="auto"/>
        <w:right w:val="none" w:sz="0" w:space="0" w:color="auto"/>
      </w:divBdr>
    </w:div>
    <w:div w:id="1815246272">
      <w:bodyDiv w:val="1"/>
      <w:marLeft w:val="0"/>
      <w:marRight w:val="0"/>
      <w:marTop w:val="0"/>
      <w:marBottom w:val="0"/>
      <w:divBdr>
        <w:top w:val="none" w:sz="0" w:space="0" w:color="auto"/>
        <w:left w:val="none" w:sz="0" w:space="0" w:color="auto"/>
        <w:bottom w:val="none" w:sz="0" w:space="0" w:color="auto"/>
        <w:right w:val="none" w:sz="0" w:space="0" w:color="auto"/>
      </w:divBdr>
    </w:div>
    <w:div w:id="1836801397">
      <w:bodyDiv w:val="1"/>
      <w:marLeft w:val="0"/>
      <w:marRight w:val="0"/>
      <w:marTop w:val="0"/>
      <w:marBottom w:val="0"/>
      <w:divBdr>
        <w:top w:val="none" w:sz="0" w:space="0" w:color="auto"/>
        <w:left w:val="none" w:sz="0" w:space="0" w:color="auto"/>
        <w:bottom w:val="none" w:sz="0" w:space="0" w:color="auto"/>
        <w:right w:val="none" w:sz="0" w:space="0" w:color="auto"/>
      </w:divBdr>
    </w:div>
    <w:div w:id="1840385389">
      <w:bodyDiv w:val="1"/>
      <w:marLeft w:val="0"/>
      <w:marRight w:val="0"/>
      <w:marTop w:val="0"/>
      <w:marBottom w:val="0"/>
      <w:divBdr>
        <w:top w:val="none" w:sz="0" w:space="0" w:color="auto"/>
        <w:left w:val="none" w:sz="0" w:space="0" w:color="auto"/>
        <w:bottom w:val="none" w:sz="0" w:space="0" w:color="auto"/>
        <w:right w:val="none" w:sz="0" w:space="0" w:color="auto"/>
      </w:divBdr>
    </w:div>
    <w:div w:id="1842811403">
      <w:bodyDiv w:val="1"/>
      <w:marLeft w:val="0"/>
      <w:marRight w:val="0"/>
      <w:marTop w:val="0"/>
      <w:marBottom w:val="0"/>
      <w:divBdr>
        <w:top w:val="none" w:sz="0" w:space="0" w:color="auto"/>
        <w:left w:val="none" w:sz="0" w:space="0" w:color="auto"/>
        <w:bottom w:val="none" w:sz="0" w:space="0" w:color="auto"/>
        <w:right w:val="none" w:sz="0" w:space="0" w:color="auto"/>
      </w:divBdr>
    </w:div>
    <w:div w:id="2021664323">
      <w:bodyDiv w:val="1"/>
      <w:marLeft w:val="0"/>
      <w:marRight w:val="0"/>
      <w:marTop w:val="0"/>
      <w:marBottom w:val="0"/>
      <w:divBdr>
        <w:top w:val="none" w:sz="0" w:space="0" w:color="auto"/>
        <w:left w:val="none" w:sz="0" w:space="0" w:color="auto"/>
        <w:bottom w:val="none" w:sz="0" w:space="0" w:color="auto"/>
        <w:right w:val="none" w:sz="0" w:space="0" w:color="auto"/>
      </w:divBdr>
    </w:div>
    <w:div w:id="2095320069">
      <w:bodyDiv w:val="1"/>
      <w:marLeft w:val="0"/>
      <w:marRight w:val="0"/>
      <w:marTop w:val="0"/>
      <w:marBottom w:val="0"/>
      <w:divBdr>
        <w:top w:val="none" w:sz="0" w:space="0" w:color="auto"/>
        <w:left w:val="none" w:sz="0" w:space="0" w:color="auto"/>
        <w:bottom w:val="none" w:sz="0" w:space="0" w:color="auto"/>
        <w:right w:val="none" w:sz="0" w:space="0" w:color="auto"/>
      </w:divBdr>
    </w:div>
    <w:div w:id="2111242398">
      <w:bodyDiv w:val="1"/>
      <w:marLeft w:val="0"/>
      <w:marRight w:val="0"/>
      <w:marTop w:val="0"/>
      <w:marBottom w:val="0"/>
      <w:divBdr>
        <w:top w:val="none" w:sz="0" w:space="0" w:color="auto"/>
        <w:left w:val="none" w:sz="0" w:space="0" w:color="auto"/>
        <w:bottom w:val="none" w:sz="0" w:space="0" w:color="auto"/>
        <w:right w:val="none" w:sz="0" w:space="0" w:color="auto"/>
      </w:divBdr>
    </w:div>
    <w:div w:id="211709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ome.lan.bnm.md/apps/regul/file.jsp?ID=171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mailto:ccrm@ccrm.m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s://bnm.md/files/Situatii%20financiare%20_semnat_RAI.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o-MD" sz="1200" b="1">
                <a:solidFill>
                  <a:schemeClr val="tx1"/>
                </a:solidFill>
                <a:latin typeface="Times New Roman" panose="02020603050405020304" pitchFamily="18" charset="0"/>
                <a:cs typeface="Times New Roman" panose="02020603050405020304" pitchFamily="18" charset="0"/>
              </a:rPr>
              <a:t>Soldul profitului BNM transferat la BS pe parcursul anilor</a:t>
            </a:r>
            <a:r>
              <a:rPr lang="ro-MD" sz="1200" b="1" baseline="0">
                <a:solidFill>
                  <a:schemeClr val="tx1"/>
                </a:solidFill>
                <a:latin typeface="Times New Roman" panose="02020603050405020304" pitchFamily="18" charset="0"/>
                <a:cs typeface="Times New Roman" panose="02020603050405020304" pitchFamily="18" charset="0"/>
              </a:rPr>
              <a:t> 2020-2022</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Aprobat</c:v>
                </c:pt>
              </c:strCache>
            </c:strRef>
          </c:tx>
          <c:spPr>
            <a:solidFill>
              <a:schemeClr val="accent1"/>
            </a:solidFill>
            <a:ln>
              <a:noFill/>
            </a:ln>
            <a:effectLst/>
          </c:spPr>
          <c:invertIfNegative val="0"/>
          <c:dLbls>
            <c:dLbl>
              <c:idx val="2"/>
              <c:layout>
                <c:manualLayout>
                  <c:x val="-2.0601565718993131E-3"/>
                  <c:y val="0.153444183838722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E-477B-8641-953D8E9B0BB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2020</c:v>
                </c:pt>
                <c:pt idx="1">
                  <c:v>Anul 2021</c:v>
                </c:pt>
                <c:pt idx="2">
                  <c:v>Anul 2022</c:v>
                </c:pt>
              </c:strCache>
            </c:strRef>
          </c:cat>
          <c:val>
            <c:numRef>
              <c:f>Sheet1!$B$2:$B$4</c:f>
              <c:numCache>
                <c:formatCode>#,##0.0</c:formatCode>
                <c:ptCount val="3"/>
                <c:pt idx="0">
                  <c:v>0</c:v>
                </c:pt>
                <c:pt idx="1">
                  <c:v>350</c:v>
                </c:pt>
                <c:pt idx="2">
                  <c:v>133</c:v>
                </c:pt>
              </c:numCache>
            </c:numRef>
          </c:val>
          <c:extLst>
            <c:ext xmlns:c16="http://schemas.microsoft.com/office/drawing/2014/chart" uri="{C3380CC4-5D6E-409C-BE32-E72D297353CC}">
              <c16:uniqueId val="{00000000-0834-47DB-AEEB-17CC18008908}"/>
            </c:ext>
          </c:extLst>
        </c:ser>
        <c:ser>
          <c:idx val="1"/>
          <c:order val="1"/>
          <c:tx>
            <c:strRef>
              <c:f>Sheet1!$C$1</c:f>
              <c:strCache>
                <c:ptCount val="1"/>
                <c:pt idx="0">
                  <c:v>Precizat</c:v>
                </c:pt>
              </c:strCache>
            </c:strRef>
          </c:tx>
          <c:spPr>
            <a:solidFill>
              <a:schemeClr val="accent3"/>
            </a:solidFill>
            <a:ln>
              <a:noFill/>
            </a:ln>
            <a:effectLst/>
          </c:spPr>
          <c:invertIfNegative val="0"/>
          <c:dLbls>
            <c:dLbl>
              <c:idx val="2"/>
              <c:layout>
                <c:manualLayout>
                  <c:x val="0"/>
                  <c:y val="0.162883695389140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0E-477B-8641-953D8E9B0B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2020</c:v>
                </c:pt>
                <c:pt idx="1">
                  <c:v>Anul 2021</c:v>
                </c:pt>
                <c:pt idx="2">
                  <c:v>Anul 2022</c:v>
                </c:pt>
              </c:strCache>
            </c:strRef>
          </c:cat>
          <c:val>
            <c:numRef>
              <c:f>Sheet1!$C$2:$C$4</c:f>
              <c:numCache>
                <c:formatCode>#,##0.0</c:formatCode>
                <c:ptCount val="3"/>
                <c:pt idx="0">
                  <c:v>218.42099999999999</c:v>
                </c:pt>
                <c:pt idx="1">
                  <c:v>406.37</c:v>
                </c:pt>
                <c:pt idx="2">
                  <c:v>147.13300000000001</c:v>
                </c:pt>
              </c:numCache>
            </c:numRef>
          </c:val>
          <c:extLst>
            <c:ext xmlns:c16="http://schemas.microsoft.com/office/drawing/2014/chart" uri="{C3380CC4-5D6E-409C-BE32-E72D297353CC}">
              <c16:uniqueId val="{00000001-0834-47DB-AEEB-17CC18008908}"/>
            </c:ext>
          </c:extLst>
        </c:ser>
        <c:dLbls>
          <c:dLblPos val="ctr"/>
          <c:showLegendKey val="0"/>
          <c:showVal val="1"/>
          <c:showCatName val="0"/>
          <c:showSerName val="0"/>
          <c:showPercent val="0"/>
          <c:showBubbleSize val="0"/>
        </c:dLbls>
        <c:gapWidth val="219"/>
        <c:axId val="1440530608"/>
        <c:axId val="1440540176"/>
      </c:barChart>
      <c:lineChart>
        <c:grouping val="standard"/>
        <c:varyColors val="0"/>
        <c:ser>
          <c:idx val="2"/>
          <c:order val="2"/>
          <c:tx>
            <c:strRef>
              <c:f>Sheet1!$D$1</c:f>
              <c:strCache>
                <c:ptCount val="1"/>
                <c:pt idx="0">
                  <c:v>Executat</c:v>
                </c:pt>
              </c:strCache>
            </c:strRef>
          </c:tx>
          <c:spPr>
            <a:ln w="28575" cap="rnd">
              <a:solidFill>
                <a:schemeClr val="accent5"/>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2020</c:v>
                </c:pt>
                <c:pt idx="1">
                  <c:v>Anul 2021</c:v>
                </c:pt>
                <c:pt idx="2">
                  <c:v>Anul 2022</c:v>
                </c:pt>
              </c:strCache>
            </c:strRef>
          </c:cat>
          <c:val>
            <c:numRef>
              <c:f>Sheet1!$D$2:$D$4</c:f>
              <c:numCache>
                <c:formatCode>#,##0.0</c:formatCode>
                <c:ptCount val="3"/>
                <c:pt idx="0">
                  <c:v>218.42099999999999</c:v>
                </c:pt>
                <c:pt idx="1">
                  <c:v>406.983</c:v>
                </c:pt>
                <c:pt idx="2">
                  <c:v>147.13300000000001</c:v>
                </c:pt>
              </c:numCache>
            </c:numRef>
          </c:val>
          <c:smooth val="0"/>
          <c:extLst>
            <c:ext xmlns:c16="http://schemas.microsoft.com/office/drawing/2014/chart" uri="{C3380CC4-5D6E-409C-BE32-E72D297353CC}">
              <c16:uniqueId val="{00000002-0834-47DB-AEEB-17CC18008908}"/>
            </c:ext>
          </c:extLst>
        </c:ser>
        <c:dLbls>
          <c:dLblPos val="ctr"/>
          <c:showLegendKey val="0"/>
          <c:showVal val="1"/>
          <c:showCatName val="0"/>
          <c:showSerName val="0"/>
          <c:showPercent val="0"/>
          <c:showBubbleSize val="0"/>
        </c:dLbls>
        <c:marker val="1"/>
        <c:smooth val="0"/>
        <c:axId val="1440530608"/>
        <c:axId val="1440540176"/>
      </c:lineChart>
      <c:catAx>
        <c:axId val="144053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crossAx val="1440540176"/>
        <c:crosses val="autoZero"/>
        <c:auto val="1"/>
        <c:lblAlgn val="ctr"/>
        <c:lblOffset val="100"/>
        <c:noMultiLvlLbl val="0"/>
      </c:catAx>
      <c:valAx>
        <c:axId val="1440540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053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o-MD" sz="1200" b="1">
                <a:solidFill>
                  <a:schemeClr val="tx1"/>
                </a:solidFill>
                <a:latin typeface="Times New Roman" panose="02020603050405020304" pitchFamily="18" charset="0"/>
                <a:cs typeface="Times New Roman" panose="02020603050405020304" pitchFamily="18" charset="0"/>
              </a:rPr>
              <a:t>Dinamica cheltuielilor de reprezentanță executate de către BNM </a:t>
            </a:r>
          </a:p>
          <a:p>
            <a:pPr>
              <a:defRPr sz="1200" b="1">
                <a:solidFill>
                  <a:schemeClr val="tx1"/>
                </a:solidFill>
                <a:latin typeface="Times New Roman" panose="02020603050405020304" pitchFamily="18" charset="0"/>
                <a:cs typeface="Times New Roman" panose="02020603050405020304" pitchFamily="18" charset="0"/>
              </a:defRPr>
            </a:pPr>
            <a:r>
              <a:rPr lang="ro-MD" sz="1200" b="1">
                <a:solidFill>
                  <a:schemeClr val="tx1"/>
                </a:solidFill>
                <a:latin typeface="Times New Roman" panose="02020603050405020304" pitchFamily="18" charset="0"/>
                <a:cs typeface="Times New Roman" panose="02020603050405020304" pitchFamily="18" charset="0"/>
              </a:rPr>
              <a:t>în anii 2019-2022, mii lei</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3601743178329124"/>
          <c:y val="3.98179749715585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99763742085734"/>
          <c:y val="0.26684718449495126"/>
          <c:w val="0.89900237333534405"/>
          <c:h val="0.4694587455414227"/>
        </c:manualLayout>
      </c:layout>
      <c:bar3DChart>
        <c:barDir val="col"/>
        <c:grouping val="clustered"/>
        <c:varyColors val="0"/>
        <c:ser>
          <c:idx val="0"/>
          <c:order val="0"/>
          <c:tx>
            <c:strRef>
              <c:f>Sheet1!$B$1</c:f>
              <c:strCache>
                <c:ptCount val="1"/>
                <c:pt idx="0">
                  <c:v>Aprobat </c:v>
                </c:pt>
              </c:strCache>
            </c:strRef>
          </c:tx>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8-EB95-42B2-91E6-3BD8FFC2FB0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9-EB95-42B2-91E6-3BD8FFC2FB0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A-EB95-42B2-91E6-3BD8FFC2FB0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B-EB95-42B2-91E6-3BD8FFC2FB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Anul 2019</c:v>
                </c:pt>
                <c:pt idx="1">
                  <c:v>Anul 2020</c:v>
                </c:pt>
                <c:pt idx="2">
                  <c:v>Anul 2021</c:v>
                </c:pt>
                <c:pt idx="3">
                  <c:v>Anul 2022</c:v>
                </c:pt>
              </c:strCache>
            </c:strRef>
          </c:cat>
          <c:val>
            <c:numRef>
              <c:f>Sheet1!$B$2:$B$5</c:f>
              <c:numCache>
                <c:formatCode>_-* #,##0.0_-;\-* #,##0.0_-;_-* "-"??_-;_-@_-</c:formatCode>
                <c:ptCount val="4"/>
                <c:pt idx="0">
                  <c:v>3093</c:v>
                </c:pt>
                <c:pt idx="1">
                  <c:v>899</c:v>
                </c:pt>
                <c:pt idx="2">
                  <c:v>798</c:v>
                </c:pt>
                <c:pt idx="3">
                  <c:v>1175</c:v>
                </c:pt>
              </c:numCache>
            </c:numRef>
          </c:val>
          <c:shape val="cylinder"/>
          <c:extLst>
            <c:ext xmlns:c16="http://schemas.microsoft.com/office/drawing/2014/chart" uri="{C3380CC4-5D6E-409C-BE32-E72D297353CC}">
              <c16:uniqueId val="{00000000-AA26-4293-BA8B-293BC47DB743}"/>
            </c:ext>
          </c:extLst>
        </c:ser>
        <c:ser>
          <c:idx val="1"/>
          <c:order val="1"/>
          <c:tx>
            <c:strRef>
              <c:f>Sheet1!$C$1</c:f>
              <c:strCache>
                <c:ptCount val="1"/>
                <c:pt idx="0">
                  <c:v>Efectiv</c:v>
                </c:pt>
              </c:strCache>
            </c:strRef>
          </c:tx>
          <c:spPr>
            <a:solidFill>
              <a:schemeClr val="accent3"/>
            </a:solidFill>
            <a:ln>
              <a:noFill/>
            </a:ln>
            <a:effectLst/>
            <a:sp3d/>
          </c:spPr>
          <c:invertIfNegative val="0"/>
          <c:dPt>
            <c:idx val="0"/>
            <c:invertIfNegative val="0"/>
            <c:bubble3D val="0"/>
            <c:spPr>
              <a:solidFill>
                <a:schemeClr val="accent3"/>
              </a:solidFill>
              <a:ln>
                <a:noFill/>
              </a:ln>
              <a:effectLst/>
              <a:sp3d/>
            </c:spPr>
            <c:extLst>
              <c:ext xmlns:c16="http://schemas.microsoft.com/office/drawing/2014/chart" uri="{C3380CC4-5D6E-409C-BE32-E72D297353CC}">
                <c16:uniqueId val="{00000000-B765-4D18-91AE-B607BA1E8DAB}"/>
              </c:ext>
            </c:extLst>
          </c:dPt>
          <c:dPt>
            <c:idx val="1"/>
            <c:invertIfNegative val="0"/>
            <c:bubble3D val="0"/>
            <c:spPr>
              <a:solidFill>
                <a:schemeClr val="accent3"/>
              </a:solidFill>
              <a:ln>
                <a:noFill/>
              </a:ln>
              <a:effectLst/>
              <a:sp3d/>
            </c:spPr>
            <c:extLst>
              <c:ext xmlns:c16="http://schemas.microsoft.com/office/drawing/2014/chart" uri="{C3380CC4-5D6E-409C-BE32-E72D297353CC}">
                <c16:uniqueId val="{00000001-B765-4D18-91AE-B607BA1E8DAB}"/>
              </c:ext>
            </c:extLst>
          </c:dPt>
          <c:dPt>
            <c:idx val="2"/>
            <c:invertIfNegative val="0"/>
            <c:bubble3D val="0"/>
            <c:spPr>
              <a:solidFill>
                <a:schemeClr val="accent3"/>
              </a:solidFill>
              <a:ln>
                <a:noFill/>
              </a:ln>
              <a:effectLst/>
              <a:sp3d/>
            </c:spPr>
            <c:extLst>
              <c:ext xmlns:c16="http://schemas.microsoft.com/office/drawing/2014/chart" uri="{C3380CC4-5D6E-409C-BE32-E72D297353CC}">
                <c16:uniqueId val="{00000002-B765-4D18-91AE-B607BA1E8DAB}"/>
              </c:ext>
            </c:extLst>
          </c:dPt>
          <c:dPt>
            <c:idx val="3"/>
            <c:invertIfNegative val="0"/>
            <c:bubble3D val="0"/>
            <c:spPr>
              <a:solidFill>
                <a:schemeClr val="accent3"/>
              </a:solidFill>
              <a:ln>
                <a:noFill/>
              </a:ln>
              <a:effectLst/>
              <a:sp3d/>
            </c:spPr>
            <c:extLst>
              <c:ext xmlns:c16="http://schemas.microsoft.com/office/drawing/2014/chart" uri="{C3380CC4-5D6E-409C-BE32-E72D297353CC}">
                <c16:uniqueId val="{00000003-B765-4D18-91AE-B607BA1E8DAB}"/>
              </c:ext>
            </c:extLst>
          </c:dPt>
          <c:dLbls>
            <c:dLbl>
              <c:idx val="0"/>
              <c:layout>
                <c:manualLayout>
                  <c:x val="1.8239854081167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65-4D18-91AE-B607BA1E8DAB}"/>
                </c:ext>
              </c:extLst>
            </c:dLbl>
            <c:dLbl>
              <c:idx val="1"/>
              <c:layout>
                <c:manualLayout>
                  <c:x val="1.823985408116735E-2"/>
                  <c:y val="-9.79333416001537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65-4D18-91AE-B607BA1E8DAB}"/>
                </c:ext>
              </c:extLst>
            </c:dLbl>
            <c:dLbl>
              <c:idx val="2"/>
              <c:layout>
                <c:manualLayout>
                  <c:x val="2.0519835841313186E-2"/>
                  <c:y val="-9.79333416001537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65-4D18-91AE-B607BA1E8DAB}"/>
                </c:ext>
              </c:extLst>
            </c:dLbl>
            <c:dLbl>
              <c:idx val="3"/>
              <c:layout>
                <c:manualLayout>
                  <c:x val="2.2799817601459188E-2"/>
                  <c:y val="-9.79333416001537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65-4D18-91AE-B607BA1E8D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Anul 2019</c:v>
                </c:pt>
                <c:pt idx="1">
                  <c:v>Anul 2020</c:v>
                </c:pt>
                <c:pt idx="2">
                  <c:v>Anul 2021</c:v>
                </c:pt>
                <c:pt idx="3">
                  <c:v>Anul 2022</c:v>
                </c:pt>
              </c:strCache>
            </c:strRef>
          </c:cat>
          <c:val>
            <c:numRef>
              <c:f>Sheet1!$C$2:$C$5</c:f>
              <c:numCache>
                <c:formatCode>_-* #,##0.0_-;\-* #,##0.0_-;_-* "-"??_-;_-@_-</c:formatCode>
                <c:ptCount val="4"/>
                <c:pt idx="0">
                  <c:v>790.02</c:v>
                </c:pt>
                <c:pt idx="1">
                  <c:v>100.74</c:v>
                </c:pt>
                <c:pt idx="2">
                  <c:v>308.86</c:v>
                </c:pt>
                <c:pt idx="3">
                  <c:v>498.71</c:v>
                </c:pt>
              </c:numCache>
            </c:numRef>
          </c:val>
          <c:extLst>
            <c:ext xmlns:c16="http://schemas.microsoft.com/office/drawing/2014/chart" uri="{C3380CC4-5D6E-409C-BE32-E72D297353CC}">
              <c16:uniqueId val="{00000001-AA26-4293-BA8B-293BC47DB743}"/>
            </c:ext>
          </c:extLst>
        </c:ser>
        <c:dLbls>
          <c:showLegendKey val="0"/>
          <c:showVal val="0"/>
          <c:showCatName val="0"/>
          <c:showSerName val="0"/>
          <c:showPercent val="0"/>
          <c:showBubbleSize val="0"/>
        </c:dLbls>
        <c:gapWidth val="150"/>
        <c:shape val="box"/>
        <c:axId val="2075230511"/>
        <c:axId val="2075237167"/>
        <c:axId val="0"/>
      </c:bar3DChart>
      <c:catAx>
        <c:axId val="20752305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75237167"/>
        <c:crosses val="autoZero"/>
        <c:auto val="1"/>
        <c:lblAlgn val="ctr"/>
        <c:lblOffset val="100"/>
        <c:noMultiLvlLbl val="0"/>
      </c:catAx>
      <c:valAx>
        <c:axId val="2075237167"/>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5230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o-MD" sz="1200" b="1">
                <a:solidFill>
                  <a:schemeClr val="tx1"/>
                </a:solidFill>
                <a:latin typeface="Times New Roman" panose="02020603050405020304" pitchFamily="18" charset="0"/>
                <a:cs typeface="Times New Roman" panose="02020603050405020304" pitchFamily="18" charset="0"/>
              </a:rPr>
              <a:t>Sinteza alocațiilor planificate, contractate și executate</a:t>
            </a:r>
          </a:p>
          <a:p>
            <a:pPr>
              <a:defRPr sz="1200" b="1">
                <a:solidFill>
                  <a:schemeClr val="tx1"/>
                </a:solidFill>
                <a:latin typeface="Times New Roman" panose="02020603050405020304" pitchFamily="18" charset="0"/>
                <a:cs typeface="Times New Roman" panose="02020603050405020304" pitchFamily="18" charset="0"/>
              </a:defRPr>
            </a:pPr>
            <a:r>
              <a:rPr lang="ro-MD" sz="1200" b="1">
                <a:solidFill>
                  <a:schemeClr val="tx1"/>
                </a:solidFill>
                <a:latin typeface="Times New Roman" panose="02020603050405020304" pitchFamily="18" charset="0"/>
                <a:cs typeface="Times New Roman" panose="02020603050405020304" pitchFamily="18" charset="0"/>
              </a:rPr>
              <a:t> în perioada 2019-2022 (mil. lei)</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Planificat modificat</c:v>
                </c:pt>
              </c:strCache>
            </c:strRef>
          </c:tx>
          <c:spPr>
            <a:solidFill>
              <a:schemeClr val="accent1"/>
            </a:solidFill>
            <a:ln>
              <a:noFill/>
            </a:ln>
            <a:effectLst>
              <a:innerShdw blurRad="63500" dist="50800" dir="5400000">
                <a:prstClr val="black">
                  <a:alpha val="50000"/>
                </a:prstClr>
              </a:innerShdw>
            </a:effectLst>
            <a:sp3d/>
          </c:spPr>
          <c:invertIfNegative val="0"/>
          <c:dPt>
            <c:idx val="0"/>
            <c:invertIfNegative val="0"/>
            <c:bubble3D val="0"/>
            <c:spPr>
              <a:solidFill>
                <a:schemeClr val="accent1"/>
              </a:solidFill>
              <a:ln>
                <a:noFill/>
              </a:ln>
              <a:effectLst>
                <a:innerShdw blurRad="63500" dist="50800" dir="8100000">
                  <a:prstClr val="black">
                    <a:alpha val="50000"/>
                  </a:prstClr>
                </a:innerShdw>
              </a:effectLst>
              <a:sp3d/>
            </c:spPr>
            <c:extLst>
              <c:ext xmlns:c16="http://schemas.microsoft.com/office/drawing/2014/chart" uri="{C3380CC4-5D6E-409C-BE32-E72D297353CC}">
                <c16:uniqueId val="{00000002-EEC8-4D57-8ED0-4C19A66C4508}"/>
              </c:ext>
            </c:extLst>
          </c:dPt>
          <c:dPt>
            <c:idx val="3"/>
            <c:invertIfNegative val="0"/>
            <c:bubble3D val="0"/>
            <c:spPr>
              <a:solidFill>
                <a:schemeClr val="accent1"/>
              </a:solidFill>
              <a:ln>
                <a:noFill/>
              </a:ln>
              <a:effectLst>
                <a:innerShdw blurRad="63500" dist="50800" dir="5400000">
                  <a:prstClr val="black">
                    <a:alpha val="62000"/>
                  </a:prstClr>
                </a:innerShdw>
              </a:effectLst>
              <a:sp3d/>
            </c:spPr>
            <c:extLst>
              <c:ext xmlns:c16="http://schemas.microsoft.com/office/drawing/2014/chart" uri="{C3380CC4-5D6E-409C-BE32-E72D297353CC}">
                <c16:uniqueId val="{00000003-EEC8-4D57-8ED0-4C19A66C450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Anul 2019</c:v>
                </c:pt>
                <c:pt idx="1">
                  <c:v>Anul 2020</c:v>
                </c:pt>
                <c:pt idx="2">
                  <c:v>Anul 2021</c:v>
                </c:pt>
                <c:pt idx="3">
                  <c:v>Anul 2022</c:v>
                </c:pt>
              </c:strCache>
            </c:strRef>
          </c:cat>
          <c:val>
            <c:numRef>
              <c:f>Sheet1!$B$2:$B$5</c:f>
              <c:numCache>
                <c:formatCode>General</c:formatCode>
                <c:ptCount val="4"/>
                <c:pt idx="0">
                  <c:v>218.7</c:v>
                </c:pt>
                <c:pt idx="1">
                  <c:v>177.8</c:v>
                </c:pt>
                <c:pt idx="2">
                  <c:v>214.9</c:v>
                </c:pt>
                <c:pt idx="3">
                  <c:v>179.6</c:v>
                </c:pt>
              </c:numCache>
            </c:numRef>
          </c:val>
          <c:extLst>
            <c:ext xmlns:c16="http://schemas.microsoft.com/office/drawing/2014/chart" uri="{C3380CC4-5D6E-409C-BE32-E72D297353CC}">
              <c16:uniqueId val="{00000000-AF5E-4093-8C09-1BA9AF860B08}"/>
            </c:ext>
          </c:extLst>
        </c:ser>
        <c:ser>
          <c:idx val="1"/>
          <c:order val="1"/>
          <c:tx>
            <c:strRef>
              <c:f>Sheet1!$C$1</c:f>
              <c:strCache>
                <c:ptCount val="1"/>
                <c:pt idx="0">
                  <c:v>Contractat</c:v>
                </c:pt>
              </c:strCache>
            </c:strRef>
          </c:tx>
          <c:spPr>
            <a:solidFill>
              <a:schemeClr val="accent3"/>
            </a:solidFill>
            <a:ln>
              <a:noFill/>
            </a:ln>
            <a:effectLst/>
            <a:sp3d/>
          </c:spPr>
          <c:invertIfNegative val="0"/>
          <c:dLbls>
            <c:dLbl>
              <c:idx val="0"/>
              <c:layout>
                <c:manualLayout>
                  <c:x val="1.8939393939393902E-2"/>
                  <c:y val="-4.9382716049382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C8-4D57-8ED0-4C19A66C4508}"/>
                </c:ext>
              </c:extLst>
            </c:dLbl>
            <c:dLbl>
              <c:idx val="1"/>
              <c:layout>
                <c:manualLayout>
                  <c:x val="1.2626262626262626E-2"/>
                  <c:y val="-4.3209876543209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C8-4D57-8ED0-4C19A66C4508}"/>
                </c:ext>
              </c:extLst>
            </c:dLbl>
            <c:dLbl>
              <c:idx val="2"/>
              <c:layout>
                <c:manualLayout>
                  <c:x val="1.0521885521885523E-2"/>
                  <c:y val="-3.0864197530864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C8-4D57-8ED0-4C19A66C4508}"/>
                </c:ext>
              </c:extLst>
            </c:dLbl>
            <c:dLbl>
              <c:idx val="3"/>
              <c:layout>
                <c:manualLayout>
                  <c:x val="1.2626262626262626E-2"/>
                  <c:y val="-3.0864197530864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EC8-4D57-8ED0-4C19A66C45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Anul 2019</c:v>
                </c:pt>
                <c:pt idx="1">
                  <c:v>Anul 2020</c:v>
                </c:pt>
                <c:pt idx="2">
                  <c:v>Anul 2021</c:v>
                </c:pt>
                <c:pt idx="3">
                  <c:v>Anul 2022</c:v>
                </c:pt>
              </c:strCache>
            </c:strRef>
          </c:cat>
          <c:val>
            <c:numRef>
              <c:f>Sheet1!$C$2:$C$5</c:f>
              <c:numCache>
                <c:formatCode>General</c:formatCode>
                <c:ptCount val="4"/>
                <c:pt idx="0">
                  <c:v>35.5</c:v>
                </c:pt>
                <c:pt idx="1">
                  <c:v>33.799999999999997</c:v>
                </c:pt>
                <c:pt idx="2">
                  <c:v>72.3</c:v>
                </c:pt>
                <c:pt idx="3">
                  <c:v>46.4</c:v>
                </c:pt>
              </c:numCache>
            </c:numRef>
          </c:val>
          <c:extLst>
            <c:ext xmlns:c16="http://schemas.microsoft.com/office/drawing/2014/chart" uri="{C3380CC4-5D6E-409C-BE32-E72D297353CC}">
              <c16:uniqueId val="{00000001-AF5E-4093-8C09-1BA9AF860B08}"/>
            </c:ext>
          </c:extLst>
        </c:ser>
        <c:ser>
          <c:idx val="2"/>
          <c:order val="2"/>
          <c:tx>
            <c:strRef>
              <c:f>Sheet1!$D$1</c:f>
              <c:strCache>
                <c:ptCount val="1"/>
                <c:pt idx="0">
                  <c:v>Executat</c:v>
                </c:pt>
              </c:strCache>
            </c:strRef>
          </c:tx>
          <c:spPr>
            <a:solidFill>
              <a:schemeClr val="accent5"/>
            </a:solidFill>
            <a:ln>
              <a:noFill/>
            </a:ln>
            <a:effectLst/>
            <a:sp3d/>
          </c:spPr>
          <c:invertIfNegative val="0"/>
          <c:dLbls>
            <c:dLbl>
              <c:idx val="0"/>
              <c:layout>
                <c:manualLayout>
                  <c:x val="1.47306397306397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C8-4D57-8ED0-4C19A66C4508}"/>
                </c:ext>
              </c:extLst>
            </c:dLbl>
            <c:dLbl>
              <c:idx val="1"/>
              <c:layout>
                <c:manualLayout>
                  <c:x val="1.0521885521885523E-2"/>
                  <c:y val="-1.131674169601777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C8-4D57-8ED0-4C19A66C4508}"/>
                </c:ext>
              </c:extLst>
            </c:dLbl>
            <c:dLbl>
              <c:idx val="2"/>
              <c:layout>
                <c:manualLayout>
                  <c:x val="1.473063973063957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C8-4D57-8ED0-4C19A66C4508}"/>
                </c:ext>
              </c:extLst>
            </c:dLbl>
            <c:dLbl>
              <c:idx val="3"/>
              <c:layout>
                <c:manualLayout>
                  <c:x val="1.473063973063973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C8-4D57-8ED0-4C19A66C45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Anul 2019</c:v>
                </c:pt>
                <c:pt idx="1">
                  <c:v>Anul 2020</c:v>
                </c:pt>
                <c:pt idx="2">
                  <c:v>Anul 2021</c:v>
                </c:pt>
                <c:pt idx="3">
                  <c:v>Anul 2022</c:v>
                </c:pt>
              </c:strCache>
            </c:strRef>
          </c:cat>
          <c:val>
            <c:numRef>
              <c:f>Sheet1!$D$2:$D$5</c:f>
              <c:numCache>
                <c:formatCode>General</c:formatCode>
                <c:ptCount val="4"/>
                <c:pt idx="0">
                  <c:v>29.7</c:v>
                </c:pt>
                <c:pt idx="1">
                  <c:v>18.600000000000001</c:v>
                </c:pt>
                <c:pt idx="2">
                  <c:v>45.4</c:v>
                </c:pt>
                <c:pt idx="3">
                  <c:v>41.7</c:v>
                </c:pt>
              </c:numCache>
            </c:numRef>
          </c:val>
          <c:shape val="cylinder"/>
          <c:extLst>
            <c:ext xmlns:c16="http://schemas.microsoft.com/office/drawing/2014/chart" uri="{C3380CC4-5D6E-409C-BE32-E72D297353CC}">
              <c16:uniqueId val="{00000002-AF5E-4093-8C09-1BA9AF860B08}"/>
            </c:ext>
          </c:extLst>
        </c:ser>
        <c:dLbls>
          <c:showLegendKey val="0"/>
          <c:showVal val="1"/>
          <c:showCatName val="0"/>
          <c:showSerName val="0"/>
          <c:showPercent val="0"/>
          <c:showBubbleSize val="0"/>
        </c:dLbls>
        <c:gapWidth val="150"/>
        <c:shape val="box"/>
        <c:axId val="1843976127"/>
        <c:axId val="1843976959"/>
        <c:axId val="0"/>
      </c:bar3DChart>
      <c:catAx>
        <c:axId val="18439761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3976959"/>
        <c:crosses val="autoZero"/>
        <c:auto val="1"/>
        <c:lblAlgn val="ctr"/>
        <c:lblOffset val="100"/>
        <c:noMultiLvlLbl val="0"/>
      </c:catAx>
      <c:valAx>
        <c:axId val="1843976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3976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32F20-BEF0-46CF-AB49-02FDEBE7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62</Pages>
  <Words>29435</Words>
  <Characters>167784</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Maia Savva</cp:lastModifiedBy>
  <cp:revision>150</cp:revision>
  <dcterms:created xsi:type="dcterms:W3CDTF">2024-02-12T08:54:00Z</dcterms:created>
  <dcterms:modified xsi:type="dcterms:W3CDTF">2024-02-21T12:02:00Z</dcterms:modified>
</cp:coreProperties>
</file>